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8892901" w:displacedByCustomXml="next"/>
    <w:sdt>
      <w:sdtPr>
        <w:rPr>
          <w:rFonts w:ascii="Verdana" w:hAnsi="Verdana"/>
          <w:b/>
          <w:bCs/>
          <w:color w:val="00694B" w:themeColor="accent3"/>
        </w:rPr>
        <w:id w:val="-1649280474"/>
        <w:docPartObj>
          <w:docPartGallery w:val="Cover Pages"/>
          <w:docPartUnique/>
        </w:docPartObj>
      </w:sdtPr>
      <w:sdtEndPr>
        <w:rPr>
          <w:color w:val="auto"/>
        </w:rPr>
      </w:sdtEndPr>
      <w:sdtContent>
        <w:p w14:paraId="2C3FAC92" w14:textId="67AC2091" w:rsidR="00501469" w:rsidRPr="002322B7" w:rsidRDefault="00543750" w:rsidP="00257319">
          <w:r w:rsidRPr="002322B7">
            <w:rPr>
              <w:noProof/>
            </w:rPr>
            <w:drawing>
              <wp:anchor distT="0" distB="0" distL="114300" distR="114300" simplePos="0" relativeHeight="251658240" behindDoc="1" locked="1" layoutInCell="1" allowOverlap="1" wp14:anchorId="65ED824E" wp14:editId="32094BED">
                <wp:simplePos x="0" y="0"/>
                <wp:positionH relativeFrom="margin">
                  <wp:posOffset>-678815</wp:posOffset>
                </wp:positionH>
                <wp:positionV relativeFrom="page">
                  <wp:posOffset>-60960</wp:posOffset>
                </wp:positionV>
                <wp:extent cx="7620000" cy="1081024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620000" cy="10810240"/>
                        </a:xfrm>
                        <a:prstGeom prst="rect">
                          <a:avLst/>
                        </a:prstGeom>
                      </pic:spPr>
                    </pic:pic>
                  </a:graphicData>
                </a:graphic>
                <wp14:sizeRelH relativeFrom="page">
                  <wp14:pctWidth>0</wp14:pctWidth>
                </wp14:sizeRelH>
                <wp14:sizeRelV relativeFrom="page">
                  <wp14:pctHeight>0</wp14:pctHeight>
                </wp14:sizeRelV>
              </wp:anchor>
            </w:drawing>
          </w:r>
        </w:p>
        <w:p w14:paraId="21CC38E7" w14:textId="77777777" w:rsidR="00501469" w:rsidRPr="002322B7" w:rsidRDefault="00501469" w:rsidP="00257319"/>
        <w:p w14:paraId="32AFC3EB" w14:textId="77777777" w:rsidR="00501469" w:rsidRPr="002322B7" w:rsidRDefault="00501469" w:rsidP="00257319"/>
        <w:p w14:paraId="1BFBEB96" w14:textId="14650FA5" w:rsidR="00DE709D" w:rsidRPr="002322B7" w:rsidRDefault="00E704C3" w:rsidP="00257319">
          <w:pPr>
            <w:pStyle w:val="Coverpage-header"/>
            <w:jc w:val="left"/>
            <w:rPr>
              <w:lang w:val="en-AU"/>
            </w:rPr>
          </w:pPr>
          <w:bookmarkStart w:id="1" w:name="_Hlk118890678"/>
          <w:r w:rsidRPr="002322B7">
            <w:rPr>
              <w:lang w:val="en-AU"/>
            </w:rPr>
            <w:t>Why Australia</w:t>
          </w:r>
        </w:p>
        <w:bookmarkEnd w:id="1"/>
        <w:p w14:paraId="2A898B79" w14:textId="77777777" w:rsidR="00B4699C" w:rsidRPr="002322B7" w:rsidRDefault="00B4699C" w:rsidP="00257319">
          <w:pPr>
            <w:pStyle w:val="Subtitle"/>
            <w:jc w:val="left"/>
          </w:pPr>
        </w:p>
        <w:p w14:paraId="79B85A59" w14:textId="77777777" w:rsidR="00B4699C" w:rsidRPr="002322B7" w:rsidRDefault="00B4699C" w:rsidP="00257319">
          <w:pPr>
            <w:pStyle w:val="Subtitle"/>
            <w:jc w:val="left"/>
          </w:pPr>
        </w:p>
        <w:p w14:paraId="306F0DC8" w14:textId="1F147E2C" w:rsidR="00B4699C" w:rsidRPr="002322B7" w:rsidRDefault="00E704C3" w:rsidP="00257319">
          <w:pPr>
            <w:pStyle w:val="Coverpage-subtitleanddate"/>
            <w:jc w:val="left"/>
          </w:pPr>
          <w:r w:rsidRPr="002322B7">
            <w:t>Benchmark Report 202</w:t>
          </w:r>
          <w:r w:rsidR="005B368E" w:rsidRPr="002322B7">
            <w:t>4</w:t>
          </w:r>
        </w:p>
        <w:p w14:paraId="2F707877" w14:textId="77777777" w:rsidR="00B4699C" w:rsidRPr="002322B7" w:rsidRDefault="00B4699C" w:rsidP="00257319">
          <w:pPr>
            <w:pStyle w:val="Subtitle"/>
            <w:jc w:val="left"/>
          </w:pPr>
        </w:p>
        <w:p w14:paraId="08CA39A9" w14:textId="4DDC845A" w:rsidR="00B4699C" w:rsidRPr="002322B7" w:rsidRDefault="005F6C6C" w:rsidP="00257319">
          <w:pPr>
            <w:pStyle w:val="CoverPageSubtitle"/>
            <w:jc w:val="left"/>
          </w:pPr>
          <w:r w:rsidRPr="002322B7">
            <w:t>Ju</w:t>
          </w:r>
          <w:r w:rsidR="00F513D0">
            <w:t>ly</w:t>
          </w:r>
          <w:r w:rsidR="008D6A73" w:rsidRPr="002322B7">
            <w:t xml:space="preserve"> 2024</w:t>
          </w:r>
        </w:p>
        <w:p w14:paraId="5112C65C" w14:textId="77777777" w:rsidR="003E38E3" w:rsidRPr="002322B7" w:rsidRDefault="003E38E3" w:rsidP="00257319">
          <w:pPr>
            <w:pStyle w:val="Heading2"/>
          </w:pPr>
        </w:p>
        <w:p w14:paraId="58509994" w14:textId="77777777" w:rsidR="00B11AF6" w:rsidRPr="002322B7" w:rsidRDefault="00B11AF6" w:rsidP="00257319"/>
        <w:p w14:paraId="27209AA9" w14:textId="77777777" w:rsidR="00B11AF6" w:rsidRPr="002322B7" w:rsidRDefault="00B11AF6" w:rsidP="00257319"/>
        <w:p w14:paraId="28D9FB58" w14:textId="77777777" w:rsidR="00B11AF6" w:rsidRPr="002322B7" w:rsidRDefault="00B11AF6" w:rsidP="00257319"/>
        <w:p w14:paraId="4D8C306A" w14:textId="77777777" w:rsidR="00B11AF6" w:rsidRPr="002322B7" w:rsidRDefault="00B11AF6" w:rsidP="00257319"/>
        <w:p w14:paraId="162A3D5C" w14:textId="77777777" w:rsidR="005E3CF0" w:rsidRPr="002322B7" w:rsidRDefault="005E3CF0" w:rsidP="00257319">
          <w:r w:rsidRPr="002322B7">
            <w:br w:type="page"/>
          </w:r>
        </w:p>
        <w:p w14:paraId="6F4C23CB" w14:textId="77777777" w:rsidR="002C65C2" w:rsidRPr="002322B7" w:rsidRDefault="002C65C2" w:rsidP="00257319">
          <w:pPr>
            <w:pStyle w:val="Heading-level1"/>
          </w:pPr>
          <w:bookmarkStart w:id="2" w:name="_Toc171500303"/>
          <w:r w:rsidRPr="002322B7">
            <w:lastRenderedPageBreak/>
            <w:t>Contents</w:t>
          </w:r>
          <w:bookmarkEnd w:id="2"/>
        </w:p>
        <w:sdt>
          <w:sdtPr>
            <w:id w:val="782928278"/>
            <w:docPartObj>
              <w:docPartGallery w:val="Table of Contents"/>
              <w:docPartUnique/>
            </w:docPartObj>
          </w:sdtPr>
          <w:sdtEndPr>
            <w:rPr>
              <w:b/>
              <w:bCs/>
              <w:noProof/>
            </w:rPr>
          </w:sdtEndPr>
          <w:sdtContent>
            <w:p w14:paraId="3F76CFE9" w14:textId="50615740" w:rsidR="002459CF" w:rsidRDefault="00145000">
              <w:pPr>
                <w:pStyle w:val="TOC1"/>
                <w:rPr>
                  <w:rFonts w:eastAsiaTheme="minorEastAsia"/>
                  <w:noProof/>
                  <w:kern w:val="2"/>
                  <w:sz w:val="24"/>
                  <w:szCs w:val="24"/>
                  <w:lang w:eastAsia="en-AU"/>
                  <w14:ligatures w14:val="standardContextual"/>
                </w:rPr>
              </w:pPr>
              <w:r w:rsidRPr="002322B7">
                <w:fldChar w:fldCharType="begin"/>
              </w:r>
              <w:r w:rsidRPr="002322B7">
                <w:instrText xml:space="preserve"> TOC \o "1-4" \h \z \t "Heading - level 2,2" </w:instrText>
              </w:r>
              <w:r w:rsidRPr="002322B7">
                <w:fldChar w:fldCharType="separate"/>
              </w:r>
              <w:hyperlink w:anchor="_Toc171500303" w:history="1">
                <w:r w:rsidR="002459CF" w:rsidRPr="00836FE1">
                  <w:rPr>
                    <w:rStyle w:val="Hyperlink"/>
                    <w:noProof/>
                  </w:rPr>
                  <w:t>Contents</w:t>
                </w:r>
                <w:r w:rsidR="002459CF">
                  <w:rPr>
                    <w:noProof/>
                    <w:webHidden/>
                  </w:rPr>
                  <w:tab/>
                </w:r>
                <w:r w:rsidR="002459CF">
                  <w:rPr>
                    <w:noProof/>
                    <w:webHidden/>
                  </w:rPr>
                  <w:fldChar w:fldCharType="begin"/>
                </w:r>
                <w:r w:rsidR="002459CF">
                  <w:rPr>
                    <w:noProof/>
                    <w:webHidden/>
                  </w:rPr>
                  <w:instrText xml:space="preserve"> PAGEREF _Toc171500303 \h </w:instrText>
                </w:r>
                <w:r w:rsidR="002459CF">
                  <w:rPr>
                    <w:noProof/>
                    <w:webHidden/>
                  </w:rPr>
                </w:r>
                <w:r w:rsidR="002459CF">
                  <w:rPr>
                    <w:noProof/>
                    <w:webHidden/>
                  </w:rPr>
                  <w:fldChar w:fldCharType="separate"/>
                </w:r>
                <w:r w:rsidR="002459CF">
                  <w:rPr>
                    <w:noProof/>
                    <w:webHidden/>
                  </w:rPr>
                  <w:t>1</w:t>
                </w:r>
                <w:r w:rsidR="002459CF">
                  <w:rPr>
                    <w:noProof/>
                    <w:webHidden/>
                  </w:rPr>
                  <w:fldChar w:fldCharType="end"/>
                </w:r>
              </w:hyperlink>
            </w:p>
            <w:p w14:paraId="4C12EEA4" w14:textId="5F2A2545" w:rsidR="002459CF" w:rsidRDefault="00CF16FA">
              <w:pPr>
                <w:pStyle w:val="TOC1"/>
                <w:rPr>
                  <w:rFonts w:eastAsiaTheme="minorEastAsia"/>
                  <w:noProof/>
                  <w:kern w:val="2"/>
                  <w:sz w:val="24"/>
                  <w:szCs w:val="24"/>
                  <w:lang w:eastAsia="en-AU"/>
                  <w14:ligatures w14:val="standardContextual"/>
                </w:rPr>
              </w:pPr>
              <w:hyperlink w:anchor="_Toc171500304" w:history="1">
                <w:r w:rsidR="002459CF" w:rsidRPr="00836FE1">
                  <w:rPr>
                    <w:rStyle w:val="Hyperlink"/>
                    <w:noProof/>
                  </w:rPr>
                  <w:t>CEO’s foreword</w:t>
                </w:r>
                <w:r w:rsidR="002459CF">
                  <w:rPr>
                    <w:noProof/>
                    <w:webHidden/>
                  </w:rPr>
                  <w:tab/>
                </w:r>
                <w:r w:rsidR="002459CF">
                  <w:rPr>
                    <w:noProof/>
                    <w:webHidden/>
                  </w:rPr>
                  <w:fldChar w:fldCharType="begin"/>
                </w:r>
                <w:r w:rsidR="002459CF">
                  <w:rPr>
                    <w:noProof/>
                    <w:webHidden/>
                  </w:rPr>
                  <w:instrText xml:space="preserve"> PAGEREF _Toc171500304 \h </w:instrText>
                </w:r>
                <w:r w:rsidR="002459CF">
                  <w:rPr>
                    <w:noProof/>
                    <w:webHidden/>
                  </w:rPr>
                </w:r>
                <w:r w:rsidR="002459CF">
                  <w:rPr>
                    <w:noProof/>
                    <w:webHidden/>
                  </w:rPr>
                  <w:fldChar w:fldCharType="separate"/>
                </w:r>
                <w:r w:rsidR="002459CF">
                  <w:rPr>
                    <w:noProof/>
                    <w:webHidden/>
                  </w:rPr>
                  <w:t>5</w:t>
                </w:r>
                <w:r w:rsidR="002459CF">
                  <w:rPr>
                    <w:noProof/>
                    <w:webHidden/>
                  </w:rPr>
                  <w:fldChar w:fldCharType="end"/>
                </w:r>
              </w:hyperlink>
            </w:p>
            <w:p w14:paraId="0D59F0FC" w14:textId="6AA3E3A3" w:rsidR="002459CF" w:rsidRDefault="00CF16FA">
              <w:pPr>
                <w:pStyle w:val="TOC1"/>
                <w:rPr>
                  <w:rFonts w:eastAsiaTheme="minorEastAsia"/>
                  <w:noProof/>
                  <w:kern w:val="2"/>
                  <w:sz w:val="24"/>
                  <w:szCs w:val="24"/>
                  <w:lang w:eastAsia="en-AU"/>
                  <w14:ligatures w14:val="standardContextual"/>
                </w:rPr>
              </w:pPr>
              <w:hyperlink w:anchor="_Toc171500305" w:history="1">
                <w:r w:rsidR="002459CF" w:rsidRPr="00836FE1">
                  <w:rPr>
                    <w:rStyle w:val="Hyperlink"/>
                    <w:noProof/>
                  </w:rPr>
                  <w:t>Chapter 1 – Fundamentals</w:t>
                </w:r>
                <w:r w:rsidR="002459CF">
                  <w:rPr>
                    <w:noProof/>
                    <w:webHidden/>
                  </w:rPr>
                  <w:tab/>
                </w:r>
                <w:r w:rsidR="002459CF">
                  <w:rPr>
                    <w:noProof/>
                    <w:webHidden/>
                  </w:rPr>
                  <w:fldChar w:fldCharType="begin"/>
                </w:r>
                <w:r w:rsidR="002459CF">
                  <w:rPr>
                    <w:noProof/>
                    <w:webHidden/>
                  </w:rPr>
                  <w:instrText xml:space="preserve"> PAGEREF _Toc171500305 \h </w:instrText>
                </w:r>
                <w:r w:rsidR="002459CF">
                  <w:rPr>
                    <w:noProof/>
                    <w:webHidden/>
                  </w:rPr>
                </w:r>
                <w:r w:rsidR="002459CF">
                  <w:rPr>
                    <w:noProof/>
                    <w:webHidden/>
                  </w:rPr>
                  <w:fldChar w:fldCharType="separate"/>
                </w:r>
                <w:r w:rsidR="002459CF">
                  <w:rPr>
                    <w:noProof/>
                    <w:webHidden/>
                  </w:rPr>
                  <w:t>6</w:t>
                </w:r>
                <w:r w:rsidR="002459CF">
                  <w:rPr>
                    <w:noProof/>
                    <w:webHidden/>
                  </w:rPr>
                  <w:fldChar w:fldCharType="end"/>
                </w:r>
              </w:hyperlink>
            </w:p>
            <w:p w14:paraId="4E7E9A22" w14:textId="33CA54CD" w:rsidR="002459CF" w:rsidRDefault="00CF16FA">
              <w:pPr>
                <w:pStyle w:val="TOC2"/>
                <w:rPr>
                  <w:rFonts w:cstheme="minorBidi"/>
                  <w:noProof/>
                  <w:kern w:val="2"/>
                  <w:sz w:val="24"/>
                  <w:szCs w:val="24"/>
                  <w:lang w:val="en-AU" w:eastAsia="en-AU"/>
                  <w14:ligatures w14:val="standardContextual"/>
                </w:rPr>
              </w:pPr>
              <w:hyperlink w:anchor="_Toc171500306" w:history="1">
                <w:r w:rsidR="002459CF" w:rsidRPr="00836FE1">
                  <w:rPr>
                    <w:rStyle w:val="Hyperlink"/>
                    <w:noProof/>
                  </w:rPr>
                  <w:t>The world’s 13</w:t>
                </w:r>
                <w:r w:rsidR="002459CF" w:rsidRPr="00836FE1">
                  <w:rPr>
                    <w:rStyle w:val="Hyperlink"/>
                    <w:noProof/>
                    <w:vertAlign w:val="superscript"/>
                  </w:rPr>
                  <w:t>th</w:t>
                </w:r>
                <w:r w:rsidR="002459CF" w:rsidRPr="00836FE1">
                  <w:rPr>
                    <w:rStyle w:val="Hyperlink"/>
                    <w:noProof/>
                  </w:rPr>
                  <w:t>-la</w:t>
                </w:r>
                <w:r w:rsidR="002459CF" w:rsidRPr="00836FE1">
                  <w:rPr>
                    <w:rStyle w:val="Hyperlink"/>
                    <w:noProof/>
                  </w:rPr>
                  <w:t>r</w:t>
                </w:r>
                <w:r w:rsidR="002459CF" w:rsidRPr="00836FE1">
                  <w:rPr>
                    <w:rStyle w:val="Hyperlink"/>
                    <w:noProof/>
                  </w:rPr>
                  <w:t>gest economy</w:t>
                </w:r>
                <w:r w:rsidR="002459CF">
                  <w:rPr>
                    <w:noProof/>
                    <w:webHidden/>
                  </w:rPr>
                  <w:tab/>
                </w:r>
                <w:r w:rsidR="002459CF">
                  <w:rPr>
                    <w:noProof/>
                    <w:webHidden/>
                  </w:rPr>
                  <w:fldChar w:fldCharType="begin"/>
                </w:r>
                <w:r w:rsidR="002459CF">
                  <w:rPr>
                    <w:noProof/>
                    <w:webHidden/>
                  </w:rPr>
                  <w:instrText xml:space="preserve"> PAGEREF _Toc171500306 \h </w:instrText>
                </w:r>
                <w:r w:rsidR="002459CF">
                  <w:rPr>
                    <w:noProof/>
                    <w:webHidden/>
                  </w:rPr>
                </w:r>
                <w:r w:rsidR="002459CF">
                  <w:rPr>
                    <w:noProof/>
                    <w:webHidden/>
                  </w:rPr>
                  <w:fldChar w:fldCharType="separate"/>
                </w:r>
                <w:r w:rsidR="002459CF">
                  <w:rPr>
                    <w:noProof/>
                    <w:webHidden/>
                  </w:rPr>
                  <w:t>7</w:t>
                </w:r>
                <w:r w:rsidR="002459CF">
                  <w:rPr>
                    <w:noProof/>
                    <w:webHidden/>
                  </w:rPr>
                  <w:fldChar w:fldCharType="end"/>
                </w:r>
              </w:hyperlink>
            </w:p>
            <w:p w14:paraId="69EBF918" w14:textId="196CC967" w:rsidR="002459CF" w:rsidRDefault="00CF16FA">
              <w:pPr>
                <w:pStyle w:val="TOC2"/>
                <w:rPr>
                  <w:rFonts w:cstheme="minorBidi"/>
                  <w:noProof/>
                  <w:kern w:val="2"/>
                  <w:sz w:val="24"/>
                  <w:szCs w:val="24"/>
                  <w:lang w:val="en-AU" w:eastAsia="en-AU"/>
                  <w14:ligatures w14:val="standardContextual"/>
                </w:rPr>
              </w:pPr>
              <w:hyperlink w:anchor="_Toc171500307" w:history="1">
                <w:r w:rsidR="002459CF" w:rsidRPr="00836FE1">
                  <w:rPr>
                    <w:rStyle w:val="Hyperlink"/>
                    <w:noProof/>
                  </w:rPr>
                  <w:t>Our outperforming economy</w:t>
                </w:r>
                <w:r w:rsidR="002459CF">
                  <w:rPr>
                    <w:noProof/>
                    <w:webHidden/>
                  </w:rPr>
                  <w:tab/>
                </w:r>
                <w:r w:rsidR="002459CF">
                  <w:rPr>
                    <w:noProof/>
                    <w:webHidden/>
                  </w:rPr>
                  <w:fldChar w:fldCharType="begin"/>
                </w:r>
                <w:r w:rsidR="002459CF">
                  <w:rPr>
                    <w:noProof/>
                    <w:webHidden/>
                  </w:rPr>
                  <w:instrText xml:space="preserve"> PAGEREF _Toc171500307 \h </w:instrText>
                </w:r>
                <w:r w:rsidR="002459CF">
                  <w:rPr>
                    <w:noProof/>
                    <w:webHidden/>
                  </w:rPr>
                </w:r>
                <w:r w:rsidR="002459CF">
                  <w:rPr>
                    <w:noProof/>
                    <w:webHidden/>
                  </w:rPr>
                  <w:fldChar w:fldCharType="separate"/>
                </w:r>
                <w:r w:rsidR="002459CF">
                  <w:rPr>
                    <w:noProof/>
                    <w:webHidden/>
                  </w:rPr>
                  <w:t>8</w:t>
                </w:r>
                <w:r w:rsidR="002459CF">
                  <w:rPr>
                    <w:noProof/>
                    <w:webHidden/>
                  </w:rPr>
                  <w:fldChar w:fldCharType="end"/>
                </w:r>
              </w:hyperlink>
            </w:p>
            <w:p w14:paraId="1CBFF965" w14:textId="05B9092D" w:rsidR="002459CF" w:rsidRDefault="00CF16FA">
              <w:pPr>
                <w:pStyle w:val="TOC2"/>
                <w:rPr>
                  <w:rFonts w:cstheme="minorBidi"/>
                  <w:noProof/>
                  <w:kern w:val="2"/>
                  <w:sz w:val="24"/>
                  <w:szCs w:val="24"/>
                  <w:lang w:val="en-AU" w:eastAsia="en-AU"/>
                  <w14:ligatures w14:val="standardContextual"/>
                </w:rPr>
              </w:pPr>
              <w:hyperlink w:anchor="_Toc171500308" w:history="1">
                <w:r w:rsidR="002459CF" w:rsidRPr="00836FE1">
                  <w:rPr>
                    <w:rStyle w:val="Hyperlink"/>
                    <w:noProof/>
                  </w:rPr>
                  <w:t>Australia is a low-tax country</w:t>
                </w:r>
                <w:r w:rsidR="002459CF">
                  <w:rPr>
                    <w:noProof/>
                    <w:webHidden/>
                  </w:rPr>
                  <w:tab/>
                </w:r>
                <w:r w:rsidR="002459CF">
                  <w:rPr>
                    <w:noProof/>
                    <w:webHidden/>
                  </w:rPr>
                  <w:fldChar w:fldCharType="begin"/>
                </w:r>
                <w:r w:rsidR="002459CF">
                  <w:rPr>
                    <w:noProof/>
                    <w:webHidden/>
                  </w:rPr>
                  <w:instrText xml:space="preserve"> PAGEREF _Toc171500308 \h </w:instrText>
                </w:r>
                <w:r w:rsidR="002459CF">
                  <w:rPr>
                    <w:noProof/>
                    <w:webHidden/>
                  </w:rPr>
                </w:r>
                <w:r w:rsidR="002459CF">
                  <w:rPr>
                    <w:noProof/>
                    <w:webHidden/>
                  </w:rPr>
                  <w:fldChar w:fldCharType="separate"/>
                </w:r>
                <w:r w:rsidR="002459CF">
                  <w:rPr>
                    <w:noProof/>
                    <w:webHidden/>
                  </w:rPr>
                  <w:t>9</w:t>
                </w:r>
                <w:r w:rsidR="002459CF">
                  <w:rPr>
                    <w:noProof/>
                    <w:webHidden/>
                  </w:rPr>
                  <w:fldChar w:fldCharType="end"/>
                </w:r>
              </w:hyperlink>
            </w:p>
            <w:p w14:paraId="0BCF4BD8" w14:textId="3849B471" w:rsidR="002459CF" w:rsidRDefault="00CF16FA">
              <w:pPr>
                <w:pStyle w:val="TOC2"/>
                <w:rPr>
                  <w:rFonts w:cstheme="minorBidi"/>
                  <w:noProof/>
                  <w:kern w:val="2"/>
                  <w:sz w:val="24"/>
                  <w:szCs w:val="24"/>
                  <w:lang w:val="en-AU" w:eastAsia="en-AU"/>
                  <w14:ligatures w14:val="standardContextual"/>
                </w:rPr>
              </w:pPr>
              <w:hyperlink w:anchor="_Toc171500309" w:history="1">
                <w:r w:rsidR="002459CF" w:rsidRPr="00836FE1">
                  <w:rPr>
                    <w:rStyle w:val="Hyperlink"/>
                    <w:noProof/>
                  </w:rPr>
                  <w:t>Good governance, strong institutions and the rule of law</w:t>
                </w:r>
                <w:r w:rsidR="002459CF">
                  <w:rPr>
                    <w:noProof/>
                    <w:webHidden/>
                  </w:rPr>
                  <w:tab/>
                </w:r>
                <w:r w:rsidR="002459CF">
                  <w:rPr>
                    <w:noProof/>
                    <w:webHidden/>
                  </w:rPr>
                  <w:fldChar w:fldCharType="begin"/>
                </w:r>
                <w:r w:rsidR="002459CF">
                  <w:rPr>
                    <w:noProof/>
                    <w:webHidden/>
                  </w:rPr>
                  <w:instrText xml:space="preserve"> PAGEREF _Toc171500309 \h </w:instrText>
                </w:r>
                <w:r w:rsidR="002459CF">
                  <w:rPr>
                    <w:noProof/>
                    <w:webHidden/>
                  </w:rPr>
                </w:r>
                <w:r w:rsidR="002459CF">
                  <w:rPr>
                    <w:noProof/>
                    <w:webHidden/>
                  </w:rPr>
                  <w:fldChar w:fldCharType="separate"/>
                </w:r>
                <w:r w:rsidR="002459CF">
                  <w:rPr>
                    <w:noProof/>
                    <w:webHidden/>
                  </w:rPr>
                  <w:t>10</w:t>
                </w:r>
                <w:r w:rsidR="002459CF">
                  <w:rPr>
                    <w:noProof/>
                    <w:webHidden/>
                  </w:rPr>
                  <w:fldChar w:fldCharType="end"/>
                </w:r>
              </w:hyperlink>
            </w:p>
            <w:p w14:paraId="2A9D6121" w14:textId="4ED79B49" w:rsidR="002459CF" w:rsidRDefault="00CF16FA">
              <w:pPr>
                <w:pStyle w:val="TOC2"/>
                <w:rPr>
                  <w:rFonts w:cstheme="minorBidi"/>
                  <w:noProof/>
                  <w:kern w:val="2"/>
                  <w:sz w:val="24"/>
                  <w:szCs w:val="24"/>
                  <w:lang w:val="en-AU" w:eastAsia="en-AU"/>
                  <w14:ligatures w14:val="standardContextual"/>
                </w:rPr>
              </w:pPr>
              <w:hyperlink w:anchor="_Toc171500310" w:history="1">
                <w:r w:rsidR="002459CF" w:rsidRPr="00836FE1">
                  <w:rPr>
                    <w:rStyle w:val="Hyperlink"/>
                    <w:noProof/>
                  </w:rPr>
                  <w:t>Australia: open and business-friendly</w:t>
                </w:r>
                <w:r w:rsidR="002459CF">
                  <w:rPr>
                    <w:noProof/>
                    <w:webHidden/>
                  </w:rPr>
                  <w:tab/>
                </w:r>
                <w:r w:rsidR="002459CF">
                  <w:rPr>
                    <w:noProof/>
                    <w:webHidden/>
                  </w:rPr>
                  <w:fldChar w:fldCharType="begin"/>
                </w:r>
                <w:r w:rsidR="002459CF">
                  <w:rPr>
                    <w:noProof/>
                    <w:webHidden/>
                  </w:rPr>
                  <w:instrText xml:space="preserve"> PAGEREF _Toc171500310 \h </w:instrText>
                </w:r>
                <w:r w:rsidR="002459CF">
                  <w:rPr>
                    <w:noProof/>
                    <w:webHidden/>
                  </w:rPr>
                </w:r>
                <w:r w:rsidR="002459CF">
                  <w:rPr>
                    <w:noProof/>
                    <w:webHidden/>
                  </w:rPr>
                  <w:fldChar w:fldCharType="separate"/>
                </w:r>
                <w:r w:rsidR="002459CF">
                  <w:rPr>
                    <w:noProof/>
                    <w:webHidden/>
                  </w:rPr>
                  <w:t>11</w:t>
                </w:r>
                <w:r w:rsidR="002459CF">
                  <w:rPr>
                    <w:noProof/>
                    <w:webHidden/>
                  </w:rPr>
                  <w:fldChar w:fldCharType="end"/>
                </w:r>
              </w:hyperlink>
            </w:p>
            <w:p w14:paraId="72A409A6" w14:textId="2665061B" w:rsidR="002459CF" w:rsidRDefault="00CF16FA">
              <w:pPr>
                <w:pStyle w:val="TOC2"/>
                <w:rPr>
                  <w:rFonts w:cstheme="minorBidi"/>
                  <w:noProof/>
                  <w:kern w:val="2"/>
                  <w:sz w:val="24"/>
                  <w:szCs w:val="24"/>
                  <w:lang w:val="en-AU" w:eastAsia="en-AU"/>
                  <w14:ligatures w14:val="standardContextual"/>
                </w:rPr>
              </w:pPr>
              <w:hyperlink w:anchor="_Toc171500311" w:history="1">
                <w:r w:rsidR="002459CF" w:rsidRPr="00836FE1">
                  <w:rPr>
                    <w:rStyle w:val="Hyperlink"/>
                    <w:noProof/>
                  </w:rPr>
                  <w:t>A strong and dynamic financial system</w:t>
                </w:r>
                <w:r w:rsidR="002459CF">
                  <w:rPr>
                    <w:noProof/>
                    <w:webHidden/>
                  </w:rPr>
                  <w:tab/>
                </w:r>
                <w:r w:rsidR="002459CF">
                  <w:rPr>
                    <w:noProof/>
                    <w:webHidden/>
                  </w:rPr>
                  <w:fldChar w:fldCharType="begin"/>
                </w:r>
                <w:r w:rsidR="002459CF">
                  <w:rPr>
                    <w:noProof/>
                    <w:webHidden/>
                  </w:rPr>
                  <w:instrText xml:space="preserve"> PAGEREF _Toc171500311 \h </w:instrText>
                </w:r>
                <w:r w:rsidR="002459CF">
                  <w:rPr>
                    <w:noProof/>
                    <w:webHidden/>
                  </w:rPr>
                </w:r>
                <w:r w:rsidR="002459CF">
                  <w:rPr>
                    <w:noProof/>
                    <w:webHidden/>
                  </w:rPr>
                  <w:fldChar w:fldCharType="separate"/>
                </w:r>
                <w:r w:rsidR="002459CF">
                  <w:rPr>
                    <w:noProof/>
                    <w:webHidden/>
                  </w:rPr>
                  <w:t>12</w:t>
                </w:r>
                <w:r w:rsidR="002459CF">
                  <w:rPr>
                    <w:noProof/>
                    <w:webHidden/>
                  </w:rPr>
                  <w:fldChar w:fldCharType="end"/>
                </w:r>
              </w:hyperlink>
            </w:p>
            <w:p w14:paraId="1A131D44" w14:textId="2DBF4715" w:rsidR="002459CF" w:rsidRDefault="00CF16FA">
              <w:pPr>
                <w:pStyle w:val="TOC2"/>
                <w:rPr>
                  <w:rFonts w:cstheme="minorBidi"/>
                  <w:noProof/>
                  <w:kern w:val="2"/>
                  <w:sz w:val="24"/>
                  <w:szCs w:val="24"/>
                  <w:lang w:val="en-AU" w:eastAsia="en-AU"/>
                  <w14:ligatures w14:val="standardContextual"/>
                </w:rPr>
              </w:pPr>
              <w:hyperlink w:anchor="_Toc171500312" w:history="1">
                <w:r w:rsidR="002459CF" w:rsidRPr="00836FE1">
                  <w:rPr>
                    <w:rStyle w:val="Hyperlink"/>
                    <w:noProof/>
                  </w:rPr>
                  <w:t>The world’s 5</w:t>
                </w:r>
                <w:r w:rsidR="002459CF" w:rsidRPr="00836FE1">
                  <w:rPr>
                    <w:rStyle w:val="Hyperlink"/>
                    <w:noProof/>
                    <w:vertAlign w:val="superscript"/>
                  </w:rPr>
                  <w:t>th</w:t>
                </w:r>
                <w:r w:rsidR="002459CF" w:rsidRPr="00836FE1">
                  <w:rPr>
                    <w:rStyle w:val="Hyperlink"/>
                    <w:noProof/>
                  </w:rPr>
                  <w:t>-most-valuable pension system</w:t>
                </w:r>
                <w:r w:rsidR="002459CF">
                  <w:rPr>
                    <w:noProof/>
                    <w:webHidden/>
                  </w:rPr>
                  <w:tab/>
                </w:r>
                <w:r w:rsidR="002459CF">
                  <w:rPr>
                    <w:noProof/>
                    <w:webHidden/>
                  </w:rPr>
                  <w:fldChar w:fldCharType="begin"/>
                </w:r>
                <w:r w:rsidR="002459CF">
                  <w:rPr>
                    <w:noProof/>
                    <w:webHidden/>
                  </w:rPr>
                  <w:instrText xml:space="preserve"> PAGEREF _Toc171500312 \h </w:instrText>
                </w:r>
                <w:r w:rsidR="002459CF">
                  <w:rPr>
                    <w:noProof/>
                    <w:webHidden/>
                  </w:rPr>
                </w:r>
                <w:r w:rsidR="002459CF">
                  <w:rPr>
                    <w:noProof/>
                    <w:webHidden/>
                  </w:rPr>
                  <w:fldChar w:fldCharType="separate"/>
                </w:r>
                <w:r w:rsidR="002459CF">
                  <w:rPr>
                    <w:noProof/>
                    <w:webHidden/>
                  </w:rPr>
                  <w:t>13</w:t>
                </w:r>
                <w:r w:rsidR="002459CF">
                  <w:rPr>
                    <w:noProof/>
                    <w:webHidden/>
                  </w:rPr>
                  <w:fldChar w:fldCharType="end"/>
                </w:r>
              </w:hyperlink>
            </w:p>
            <w:p w14:paraId="6A568C32" w14:textId="0DE48269" w:rsidR="002459CF" w:rsidRDefault="00CF16FA">
              <w:pPr>
                <w:pStyle w:val="TOC2"/>
                <w:rPr>
                  <w:rFonts w:cstheme="minorBidi"/>
                  <w:noProof/>
                  <w:kern w:val="2"/>
                  <w:sz w:val="24"/>
                  <w:szCs w:val="24"/>
                  <w:lang w:val="en-AU" w:eastAsia="en-AU"/>
                  <w14:ligatures w14:val="standardContextual"/>
                </w:rPr>
              </w:pPr>
              <w:hyperlink w:anchor="_Toc171500313" w:history="1">
                <w:r w:rsidR="002459CF" w:rsidRPr="00836FE1">
                  <w:rPr>
                    <w:rStyle w:val="Hyperlink"/>
                    <w:noProof/>
                  </w:rPr>
                  <w:t>Australia’s cashless society</w:t>
                </w:r>
                <w:r w:rsidR="002459CF">
                  <w:rPr>
                    <w:noProof/>
                    <w:webHidden/>
                  </w:rPr>
                  <w:tab/>
                </w:r>
                <w:r w:rsidR="002459CF">
                  <w:rPr>
                    <w:noProof/>
                    <w:webHidden/>
                  </w:rPr>
                  <w:fldChar w:fldCharType="begin"/>
                </w:r>
                <w:r w:rsidR="002459CF">
                  <w:rPr>
                    <w:noProof/>
                    <w:webHidden/>
                  </w:rPr>
                  <w:instrText xml:space="preserve"> PAGEREF _Toc171500313 \h </w:instrText>
                </w:r>
                <w:r w:rsidR="002459CF">
                  <w:rPr>
                    <w:noProof/>
                    <w:webHidden/>
                  </w:rPr>
                </w:r>
                <w:r w:rsidR="002459CF">
                  <w:rPr>
                    <w:noProof/>
                    <w:webHidden/>
                  </w:rPr>
                  <w:fldChar w:fldCharType="separate"/>
                </w:r>
                <w:r w:rsidR="002459CF">
                  <w:rPr>
                    <w:noProof/>
                    <w:webHidden/>
                  </w:rPr>
                  <w:t>14</w:t>
                </w:r>
                <w:r w:rsidR="002459CF">
                  <w:rPr>
                    <w:noProof/>
                    <w:webHidden/>
                  </w:rPr>
                  <w:fldChar w:fldCharType="end"/>
                </w:r>
              </w:hyperlink>
            </w:p>
            <w:p w14:paraId="154D59D8" w14:textId="31AF1B52" w:rsidR="002459CF" w:rsidRDefault="00CF16FA">
              <w:pPr>
                <w:pStyle w:val="TOC1"/>
                <w:rPr>
                  <w:rFonts w:eastAsiaTheme="minorEastAsia"/>
                  <w:noProof/>
                  <w:kern w:val="2"/>
                  <w:sz w:val="24"/>
                  <w:szCs w:val="24"/>
                  <w:lang w:eastAsia="en-AU"/>
                  <w14:ligatures w14:val="standardContextual"/>
                </w:rPr>
              </w:pPr>
              <w:hyperlink w:anchor="_Toc171500314" w:history="1">
                <w:r w:rsidR="002459CF" w:rsidRPr="00836FE1">
                  <w:rPr>
                    <w:rStyle w:val="Hyperlink"/>
                    <w:noProof/>
                  </w:rPr>
                  <w:t>Chapter 2 – Australia: A global resource for a net zero future</w:t>
                </w:r>
                <w:r w:rsidR="002459CF">
                  <w:rPr>
                    <w:noProof/>
                    <w:webHidden/>
                  </w:rPr>
                  <w:tab/>
                </w:r>
                <w:r w:rsidR="002459CF">
                  <w:rPr>
                    <w:noProof/>
                    <w:webHidden/>
                  </w:rPr>
                  <w:fldChar w:fldCharType="begin"/>
                </w:r>
                <w:r w:rsidR="002459CF">
                  <w:rPr>
                    <w:noProof/>
                    <w:webHidden/>
                  </w:rPr>
                  <w:instrText xml:space="preserve"> PAGEREF _Toc171500314 \h </w:instrText>
                </w:r>
                <w:r w:rsidR="002459CF">
                  <w:rPr>
                    <w:noProof/>
                    <w:webHidden/>
                  </w:rPr>
                </w:r>
                <w:r w:rsidR="002459CF">
                  <w:rPr>
                    <w:noProof/>
                    <w:webHidden/>
                  </w:rPr>
                  <w:fldChar w:fldCharType="separate"/>
                </w:r>
                <w:r w:rsidR="002459CF">
                  <w:rPr>
                    <w:noProof/>
                    <w:webHidden/>
                  </w:rPr>
                  <w:t>15</w:t>
                </w:r>
                <w:r w:rsidR="002459CF">
                  <w:rPr>
                    <w:noProof/>
                    <w:webHidden/>
                  </w:rPr>
                  <w:fldChar w:fldCharType="end"/>
                </w:r>
              </w:hyperlink>
            </w:p>
            <w:p w14:paraId="537C7ABA" w14:textId="43B76932" w:rsidR="002459CF" w:rsidRDefault="00CF16FA">
              <w:pPr>
                <w:pStyle w:val="TOC2"/>
                <w:rPr>
                  <w:rFonts w:cstheme="minorBidi"/>
                  <w:noProof/>
                  <w:kern w:val="2"/>
                  <w:sz w:val="24"/>
                  <w:szCs w:val="24"/>
                  <w:lang w:val="en-AU" w:eastAsia="en-AU"/>
                  <w14:ligatures w14:val="standardContextual"/>
                </w:rPr>
              </w:pPr>
              <w:hyperlink w:anchor="_Toc171500315" w:history="1">
                <w:r w:rsidR="002459CF" w:rsidRPr="00836FE1">
                  <w:rPr>
                    <w:rStyle w:val="Hyperlink"/>
                    <w:noProof/>
                  </w:rPr>
                  <w:t>A partner of choice in a net zero world</w:t>
                </w:r>
                <w:r w:rsidR="002459CF">
                  <w:rPr>
                    <w:noProof/>
                    <w:webHidden/>
                  </w:rPr>
                  <w:tab/>
                </w:r>
                <w:r w:rsidR="002459CF">
                  <w:rPr>
                    <w:noProof/>
                    <w:webHidden/>
                  </w:rPr>
                  <w:fldChar w:fldCharType="begin"/>
                </w:r>
                <w:r w:rsidR="002459CF">
                  <w:rPr>
                    <w:noProof/>
                    <w:webHidden/>
                  </w:rPr>
                  <w:instrText xml:space="preserve"> PAGEREF _Toc171500315 \h </w:instrText>
                </w:r>
                <w:r w:rsidR="002459CF">
                  <w:rPr>
                    <w:noProof/>
                    <w:webHidden/>
                  </w:rPr>
                </w:r>
                <w:r w:rsidR="002459CF">
                  <w:rPr>
                    <w:noProof/>
                    <w:webHidden/>
                  </w:rPr>
                  <w:fldChar w:fldCharType="separate"/>
                </w:r>
                <w:r w:rsidR="002459CF">
                  <w:rPr>
                    <w:noProof/>
                    <w:webHidden/>
                  </w:rPr>
                  <w:t>15</w:t>
                </w:r>
                <w:r w:rsidR="002459CF">
                  <w:rPr>
                    <w:noProof/>
                    <w:webHidden/>
                  </w:rPr>
                  <w:fldChar w:fldCharType="end"/>
                </w:r>
              </w:hyperlink>
            </w:p>
            <w:p w14:paraId="697D0171" w14:textId="0907255F" w:rsidR="002459CF" w:rsidRDefault="00CF16FA">
              <w:pPr>
                <w:pStyle w:val="TOC2"/>
                <w:rPr>
                  <w:rFonts w:cstheme="minorBidi"/>
                  <w:noProof/>
                  <w:kern w:val="2"/>
                  <w:sz w:val="24"/>
                  <w:szCs w:val="24"/>
                  <w:lang w:val="en-AU" w:eastAsia="en-AU"/>
                  <w14:ligatures w14:val="standardContextual"/>
                </w:rPr>
              </w:pPr>
              <w:hyperlink w:anchor="_Toc171500316" w:history="1">
                <w:r w:rsidR="002459CF" w:rsidRPr="00836FE1">
                  <w:rPr>
                    <w:rStyle w:val="Hyperlink"/>
                    <w:noProof/>
                  </w:rPr>
                  <w:t>A natural leader in clean energy</w:t>
                </w:r>
                <w:r w:rsidR="002459CF">
                  <w:rPr>
                    <w:noProof/>
                    <w:webHidden/>
                  </w:rPr>
                  <w:tab/>
                </w:r>
                <w:r w:rsidR="002459CF">
                  <w:rPr>
                    <w:noProof/>
                    <w:webHidden/>
                  </w:rPr>
                  <w:fldChar w:fldCharType="begin"/>
                </w:r>
                <w:r w:rsidR="002459CF">
                  <w:rPr>
                    <w:noProof/>
                    <w:webHidden/>
                  </w:rPr>
                  <w:instrText xml:space="preserve"> PAGEREF _Toc171500316 \h </w:instrText>
                </w:r>
                <w:r w:rsidR="002459CF">
                  <w:rPr>
                    <w:noProof/>
                    <w:webHidden/>
                  </w:rPr>
                </w:r>
                <w:r w:rsidR="002459CF">
                  <w:rPr>
                    <w:noProof/>
                    <w:webHidden/>
                  </w:rPr>
                  <w:fldChar w:fldCharType="separate"/>
                </w:r>
                <w:r w:rsidR="002459CF">
                  <w:rPr>
                    <w:noProof/>
                    <w:webHidden/>
                  </w:rPr>
                  <w:t>16</w:t>
                </w:r>
                <w:r w:rsidR="002459CF">
                  <w:rPr>
                    <w:noProof/>
                    <w:webHidden/>
                  </w:rPr>
                  <w:fldChar w:fldCharType="end"/>
                </w:r>
              </w:hyperlink>
            </w:p>
            <w:p w14:paraId="7BAD3E03" w14:textId="15C9A304" w:rsidR="002459CF" w:rsidRDefault="00CF16FA">
              <w:pPr>
                <w:pStyle w:val="TOC2"/>
                <w:rPr>
                  <w:rFonts w:cstheme="minorBidi"/>
                  <w:noProof/>
                  <w:kern w:val="2"/>
                  <w:sz w:val="24"/>
                  <w:szCs w:val="24"/>
                  <w:lang w:val="en-AU" w:eastAsia="en-AU"/>
                  <w14:ligatures w14:val="standardContextual"/>
                </w:rPr>
              </w:pPr>
              <w:hyperlink w:anchor="_Toc171500317" w:history="1">
                <w:r w:rsidR="002459CF" w:rsidRPr="00836FE1">
                  <w:rPr>
                    <w:rStyle w:val="Hyperlink"/>
                    <w:noProof/>
                  </w:rPr>
                  <w:t>Abundant minerals for a net zero transformation</w:t>
                </w:r>
                <w:r w:rsidR="002459CF">
                  <w:rPr>
                    <w:noProof/>
                    <w:webHidden/>
                  </w:rPr>
                  <w:tab/>
                </w:r>
                <w:r w:rsidR="002459CF">
                  <w:rPr>
                    <w:noProof/>
                    <w:webHidden/>
                  </w:rPr>
                  <w:fldChar w:fldCharType="begin"/>
                </w:r>
                <w:r w:rsidR="002459CF">
                  <w:rPr>
                    <w:noProof/>
                    <w:webHidden/>
                  </w:rPr>
                  <w:instrText xml:space="preserve"> PAGEREF _Toc171500317 \h </w:instrText>
                </w:r>
                <w:r w:rsidR="002459CF">
                  <w:rPr>
                    <w:noProof/>
                    <w:webHidden/>
                  </w:rPr>
                </w:r>
                <w:r w:rsidR="002459CF">
                  <w:rPr>
                    <w:noProof/>
                    <w:webHidden/>
                  </w:rPr>
                  <w:fldChar w:fldCharType="separate"/>
                </w:r>
                <w:r w:rsidR="002459CF">
                  <w:rPr>
                    <w:noProof/>
                    <w:webHidden/>
                  </w:rPr>
                  <w:t>17</w:t>
                </w:r>
                <w:r w:rsidR="002459CF">
                  <w:rPr>
                    <w:noProof/>
                    <w:webHidden/>
                  </w:rPr>
                  <w:fldChar w:fldCharType="end"/>
                </w:r>
              </w:hyperlink>
            </w:p>
            <w:p w14:paraId="403103DB" w14:textId="3DCCBBB6" w:rsidR="002459CF" w:rsidRDefault="00CF16FA">
              <w:pPr>
                <w:pStyle w:val="TOC2"/>
                <w:rPr>
                  <w:rFonts w:cstheme="minorBidi"/>
                  <w:noProof/>
                  <w:kern w:val="2"/>
                  <w:sz w:val="24"/>
                  <w:szCs w:val="24"/>
                  <w:lang w:val="en-AU" w:eastAsia="en-AU"/>
                  <w14:ligatures w14:val="standardContextual"/>
                </w:rPr>
              </w:pPr>
              <w:hyperlink w:anchor="_Toc171500318" w:history="1">
                <w:r w:rsidR="002459CF" w:rsidRPr="00836FE1">
                  <w:rPr>
                    <w:rStyle w:val="Hyperlink"/>
                    <w:noProof/>
                  </w:rPr>
                  <w:t>A top destination for renewables investment</w:t>
                </w:r>
                <w:r w:rsidR="002459CF">
                  <w:rPr>
                    <w:noProof/>
                    <w:webHidden/>
                  </w:rPr>
                  <w:tab/>
                </w:r>
                <w:r w:rsidR="002459CF">
                  <w:rPr>
                    <w:noProof/>
                    <w:webHidden/>
                  </w:rPr>
                  <w:fldChar w:fldCharType="begin"/>
                </w:r>
                <w:r w:rsidR="002459CF">
                  <w:rPr>
                    <w:noProof/>
                    <w:webHidden/>
                  </w:rPr>
                  <w:instrText xml:space="preserve"> PAGEREF _Toc171500318 \h </w:instrText>
                </w:r>
                <w:r w:rsidR="002459CF">
                  <w:rPr>
                    <w:noProof/>
                    <w:webHidden/>
                  </w:rPr>
                </w:r>
                <w:r w:rsidR="002459CF">
                  <w:rPr>
                    <w:noProof/>
                    <w:webHidden/>
                  </w:rPr>
                  <w:fldChar w:fldCharType="separate"/>
                </w:r>
                <w:r w:rsidR="002459CF">
                  <w:rPr>
                    <w:noProof/>
                    <w:webHidden/>
                  </w:rPr>
                  <w:t>18</w:t>
                </w:r>
                <w:r w:rsidR="002459CF">
                  <w:rPr>
                    <w:noProof/>
                    <w:webHidden/>
                  </w:rPr>
                  <w:fldChar w:fldCharType="end"/>
                </w:r>
              </w:hyperlink>
            </w:p>
            <w:p w14:paraId="336DD1AF" w14:textId="5C999780" w:rsidR="002459CF" w:rsidRDefault="00CF16FA">
              <w:pPr>
                <w:pStyle w:val="TOC2"/>
                <w:rPr>
                  <w:rFonts w:cstheme="minorBidi"/>
                  <w:noProof/>
                  <w:kern w:val="2"/>
                  <w:sz w:val="24"/>
                  <w:szCs w:val="24"/>
                  <w:lang w:val="en-AU" w:eastAsia="en-AU"/>
                  <w14:ligatures w14:val="standardContextual"/>
                </w:rPr>
              </w:pPr>
              <w:hyperlink w:anchor="_Toc171500319" w:history="1">
                <w:r w:rsidR="002459CF" w:rsidRPr="00836FE1">
                  <w:rPr>
                    <w:rStyle w:val="Hyperlink"/>
                    <w:noProof/>
                  </w:rPr>
                  <w:t>Rapid growth in renewable energy</w:t>
                </w:r>
                <w:r w:rsidR="002459CF">
                  <w:rPr>
                    <w:noProof/>
                    <w:webHidden/>
                  </w:rPr>
                  <w:tab/>
                </w:r>
                <w:r w:rsidR="002459CF">
                  <w:rPr>
                    <w:noProof/>
                    <w:webHidden/>
                  </w:rPr>
                  <w:fldChar w:fldCharType="begin"/>
                </w:r>
                <w:r w:rsidR="002459CF">
                  <w:rPr>
                    <w:noProof/>
                    <w:webHidden/>
                  </w:rPr>
                  <w:instrText xml:space="preserve"> PAGEREF _Toc171500319 \h </w:instrText>
                </w:r>
                <w:r w:rsidR="002459CF">
                  <w:rPr>
                    <w:noProof/>
                    <w:webHidden/>
                  </w:rPr>
                </w:r>
                <w:r w:rsidR="002459CF">
                  <w:rPr>
                    <w:noProof/>
                    <w:webHidden/>
                  </w:rPr>
                  <w:fldChar w:fldCharType="separate"/>
                </w:r>
                <w:r w:rsidR="002459CF">
                  <w:rPr>
                    <w:noProof/>
                    <w:webHidden/>
                  </w:rPr>
                  <w:t>19</w:t>
                </w:r>
                <w:r w:rsidR="002459CF">
                  <w:rPr>
                    <w:noProof/>
                    <w:webHidden/>
                  </w:rPr>
                  <w:fldChar w:fldCharType="end"/>
                </w:r>
              </w:hyperlink>
            </w:p>
            <w:p w14:paraId="1711FA59" w14:textId="51F5896E" w:rsidR="002459CF" w:rsidRDefault="00CF16FA">
              <w:pPr>
                <w:pStyle w:val="TOC2"/>
                <w:rPr>
                  <w:rFonts w:cstheme="minorBidi"/>
                  <w:noProof/>
                  <w:kern w:val="2"/>
                  <w:sz w:val="24"/>
                  <w:szCs w:val="24"/>
                  <w:lang w:val="en-AU" w:eastAsia="en-AU"/>
                  <w14:ligatures w14:val="standardContextual"/>
                </w:rPr>
              </w:pPr>
              <w:hyperlink w:anchor="_Toc171500320" w:history="1">
                <w:r w:rsidR="002459CF" w:rsidRPr="00836FE1">
                  <w:rPr>
                    <w:rStyle w:val="Hyperlink"/>
                    <w:noProof/>
                  </w:rPr>
                  <w:t>Solar power: Australia’s next gold rush</w:t>
                </w:r>
                <w:r w:rsidR="002459CF">
                  <w:rPr>
                    <w:noProof/>
                    <w:webHidden/>
                  </w:rPr>
                  <w:tab/>
                </w:r>
                <w:r w:rsidR="002459CF">
                  <w:rPr>
                    <w:noProof/>
                    <w:webHidden/>
                  </w:rPr>
                  <w:fldChar w:fldCharType="begin"/>
                </w:r>
                <w:r w:rsidR="002459CF">
                  <w:rPr>
                    <w:noProof/>
                    <w:webHidden/>
                  </w:rPr>
                  <w:instrText xml:space="preserve"> PAGEREF _Toc171500320 \h </w:instrText>
                </w:r>
                <w:r w:rsidR="002459CF">
                  <w:rPr>
                    <w:noProof/>
                    <w:webHidden/>
                  </w:rPr>
                </w:r>
                <w:r w:rsidR="002459CF">
                  <w:rPr>
                    <w:noProof/>
                    <w:webHidden/>
                  </w:rPr>
                  <w:fldChar w:fldCharType="separate"/>
                </w:r>
                <w:r w:rsidR="002459CF">
                  <w:rPr>
                    <w:noProof/>
                    <w:webHidden/>
                  </w:rPr>
                  <w:t>20</w:t>
                </w:r>
                <w:r w:rsidR="002459CF">
                  <w:rPr>
                    <w:noProof/>
                    <w:webHidden/>
                  </w:rPr>
                  <w:fldChar w:fldCharType="end"/>
                </w:r>
              </w:hyperlink>
            </w:p>
            <w:p w14:paraId="27BDDEA8" w14:textId="0594C6F5" w:rsidR="002459CF" w:rsidRDefault="00CF16FA">
              <w:pPr>
                <w:pStyle w:val="TOC2"/>
                <w:rPr>
                  <w:rFonts w:cstheme="minorBidi"/>
                  <w:noProof/>
                  <w:kern w:val="2"/>
                  <w:sz w:val="24"/>
                  <w:szCs w:val="24"/>
                  <w:lang w:val="en-AU" w:eastAsia="en-AU"/>
                  <w14:ligatures w14:val="standardContextual"/>
                </w:rPr>
              </w:pPr>
              <w:hyperlink w:anchor="_Toc171500321" w:history="1">
                <w:r w:rsidR="002459CF" w:rsidRPr="00836FE1">
                  <w:rPr>
                    <w:rStyle w:val="Hyperlink"/>
                    <w:noProof/>
                  </w:rPr>
                  <w:t>The southern hemisphere’s solar powerhouse</w:t>
                </w:r>
                <w:r w:rsidR="002459CF">
                  <w:rPr>
                    <w:noProof/>
                    <w:webHidden/>
                  </w:rPr>
                  <w:tab/>
                </w:r>
                <w:r w:rsidR="002459CF">
                  <w:rPr>
                    <w:noProof/>
                    <w:webHidden/>
                  </w:rPr>
                  <w:fldChar w:fldCharType="begin"/>
                </w:r>
                <w:r w:rsidR="002459CF">
                  <w:rPr>
                    <w:noProof/>
                    <w:webHidden/>
                  </w:rPr>
                  <w:instrText xml:space="preserve"> PAGEREF _Toc171500321 \h </w:instrText>
                </w:r>
                <w:r w:rsidR="002459CF">
                  <w:rPr>
                    <w:noProof/>
                    <w:webHidden/>
                  </w:rPr>
                </w:r>
                <w:r w:rsidR="002459CF">
                  <w:rPr>
                    <w:noProof/>
                    <w:webHidden/>
                  </w:rPr>
                  <w:fldChar w:fldCharType="separate"/>
                </w:r>
                <w:r w:rsidR="002459CF">
                  <w:rPr>
                    <w:noProof/>
                    <w:webHidden/>
                  </w:rPr>
                  <w:t>21</w:t>
                </w:r>
                <w:r w:rsidR="002459CF">
                  <w:rPr>
                    <w:noProof/>
                    <w:webHidden/>
                  </w:rPr>
                  <w:fldChar w:fldCharType="end"/>
                </w:r>
              </w:hyperlink>
            </w:p>
            <w:p w14:paraId="3A13A0F5" w14:textId="37C8AE08" w:rsidR="002459CF" w:rsidRDefault="00CF16FA">
              <w:pPr>
                <w:pStyle w:val="TOC2"/>
                <w:rPr>
                  <w:rFonts w:cstheme="minorBidi"/>
                  <w:noProof/>
                  <w:kern w:val="2"/>
                  <w:sz w:val="24"/>
                  <w:szCs w:val="24"/>
                  <w:lang w:val="en-AU" w:eastAsia="en-AU"/>
                  <w14:ligatures w14:val="standardContextual"/>
                </w:rPr>
              </w:pPr>
              <w:hyperlink w:anchor="_Toc171500322" w:history="1">
                <w:r w:rsidR="002459CF" w:rsidRPr="00836FE1">
                  <w:rPr>
                    <w:rStyle w:val="Hyperlink"/>
                    <w:noProof/>
                  </w:rPr>
                  <w:t>Efficient solar power generation</w:t>
                </w:r>
                <w:r w:rsidR="002459CF">
                  <w:rPr>
                    <w:noProof/>
                    <w:webHidden/>
                  </w:rPr>
                  <w:tab/>
                </w:r>
                <w:r w:rsidR="002459CF">
                  <w:rPr>
                    <w:noProof/>
                    <w:webHidden/>
                  </w:rPr>
                  <w:fldChar w:fldCharType="begin"/>
                </w:r>
                <w:r w:rsidR="002459CF">
                  <w:rPr>
                    <w:noProof/>
                    <w:webHidden/>
                  </w:rPr>
                  <w:instrText xml:space="preserve"> PAGEREF _Toc171500322 \h </w:instrText>
                </w:r>
                <w:r w:rsidR="002459CF">
                  <w:rPr>
                    <w:noProof/>
                    <w:webHidden/>
                  </w:rPr>
                </w:r>
                <w:r w:rsidR="002459CF">
                  <w:rPr>
                    <w:noProof/>
                    <w:webHidden/>
                  </w:rPr>
                  <w:fldChar w:fldCharType="separate"/>
                </w:r>
                <w:r w:rsidR="002459CF">
                  <w:rPr>
                    <w:noProof/>
                    <w:webHidden/>
                  </w:rPr>
                  <w:t>22</w:t>
                </w:r>
                <w:r w:rsidR="002459CF">
                  <w:rPr>
                    <w:noProof/>
                    <w:webHidden/>
                  </w:rPr>
                  <w:fldChar w:fldCharType="end"/>
                </w:r>
              </w:hyperlink>
            </w:p>
            <w:p w14:paraId="1E12AD40" w14:textId="001152AD" w:rsidR="002459CF" w:rsidRDefault="00CF16FA">
              <w:pPr>
                <w:pStyle w:val="TOC2"/>
                <w:rPr>
                  <w:rFonts w:cstheme="minorBidi"/>
                  <w:noProof/>
                  <w:kern w:val="2"/>
                  <w:sz w:val="24"/>
                  <w:szCs w:val="24"/>
                  <w:lang w:val="en-AU" w:eastAsia="en-AU"/>
                  <w14:ligatures w14:val="standardContextual"/>
                </w:rPr>
              </w:pPr>
              <w:hyperlink w:anchor="_Toc171500323" w:history="1">
                <w:r w:rsidR="002459CF" w:rsidRPr="00836FE1">
                  <w:rPr>
                    <w:rStyle w:val="Hyperlink"/>
                    <w:noProof/>
                  </w:rPr>
                  <w:t>Investment in industrial-scale hydrogen</w:t>
                </w:r>
                <w:r w:rsidR="002459CF">
                  <w:rPr>
                    <w:noProof/>
                    <w:webHidden/>
                  </w:rPr>
                  <w:tab/>
                </w:r>
                <w:r w:rsidR="002459CF">
                  <w:rPr>
                    <w:noProof/>
                    <w:webHidden/>
                  </w:rPr>
                  <w:fldChar w:fldCharType="begin"/>
                </w:r>
                <w:r w:rsidR="002459CF">
                  <w:rPr>
                    <w:noProof/>
                    <w:webHidden/>
                  </w:rPr>
                  <w:instrText xml:space="preserve"> PAGEREF _Toc171500323 \h </w:instrText>
                </w:r>
                <w:r w:rsidR="002459CF">
                  <w:rPr>
                    <w:noProof/>
                    <w:webHidden/>
                  </w:rPr>
                </w:r>
                <w:r w:rsidR="002459CF">
                  <w:rPr>
                    <w:noProof/>
                    <w:webHidden/>
                  </w:rPr>
                  <w:fldChar w:fldCharType="separate"/>
                </w:r>
                <w:r w:rsidR="002459CF">
                  <w:rPr>
                    <w:noProof/>
                    <w:webHidden/>
                  </w:rPr>
                  <w:t>23</w:t>
                </w:r>
                <w:r w:rsidR="002459CF">
                  <w:rPr>
                    <w:noProof/>
                    <w:webHidden/>
                  </w:rPr>
                  <w:fldChar w:fldCharType="end"/>
                </w:r>
              </w:hyperlink>
            </w:p>
            <w:p w14:paraId="4D8D2659" w14:textId="08DF5DDA" w:rsidR="002459CF" w:rsidRDefault="00CF16FA">
              <w:pPr>
                <w:pStyle w:val="TOC1"/>
                <w:rPr>
                  <w:rFonts w:eastAsiaTheme="minorEastAsia"/>
                  <w:noProof/>
                  <w:kern w:val="2"/>
                  <w:sz w:val="24"/>
                  <w:szCs w:val="24"/>
                  <w:lang w:eastAsia="en-AU"/>
                  <w14:ligatures w14:val="standardContextual"/>
                </w:rPr>
              </w:pPr>
              <w:hyperlink w:anchor="_Toc171500324" w:history="1">
                <w:r w:rsidR="002459CF" w:rsidRPr="00836FE1">
                  <w:rPr>
                    <w:rStyle w:val="Hyperlink"/>
                    <w:noProof/>
                  </w:rPr>
                  <w:t>Chapter 3 – Our skills and innovation</w:t>
                </w:r>
                <w:r w:rsidR="002459CF">
                  <w:rPr>
                    <w:noProof/>
                    <w:webHidden/>
                  </w:rPr>
                  <w:tab/>
                </w:r>
                <w:r w:rsidR="002459CF">
                  <w:rPr>
                    <w:noProof/>
                    <w:webHidden/>
                  </w:rPr>
                  <w:fldChar w:fldCharType="begin"/>
                </w:r>
                <w:r w:rsidR="002459CF">
                  <w:rPr>
                    <w:noProof/>
                    <w:webHidden/>
                  </w:rPr>
                  <w:instrText xml:space="preserve"> PAGEREF _Toc171500324 \h </w:instrText>
                </w:r>
                <w:r w:rsidR="002459CF">
                  <w:rPr>
                    <w:noProof/>
                    <w:webHidden/>
                  </w:rPr>
                </w:r>
                <w:r w:rsidR="002459CF">
                  <w:rPr>
                    <w:noProof/>
                    <w:webHidden/>
                  </w:rPr>
                  <w:fldChar w:fldCharType="separate"/>
                </w:r>
                <w:r w:rsidR="002459CF">
                  <w:rPr>
                    <w:noProof/>
                    <w:webHidden/>
                  </w:rPr>
                  <w:t>24</w:t>
                </w:r>
                <w:r w:rsidR="002459CF">
                  <w:rPr>
                    <w:noProof/>
                    <w:webHidden/>
                  </w:rPr>
                  <w:fldChar w:fldCharType="end"/>
                </w:r>
              </w:hyperlink>
            </w:p>
            <w:p w14:paraId="3B0503B7" w14:textId="3C41C876" w:rsidR="002459CF" w:rsidRDefault="00CF16FA">
              <w:pPr>
                <w:pStyle w:val="TOC2"/>
                <w:rPr>
                  <w:rFonts w:cstheme="minorBidi"/>
                  <w:noProof/>
                  <w:kern w:val="2"/>
                  <w:sz w:val="24"/>
                  <w:szCs w:val="24"/>
                  <w:lang w:val="en-AU" w:eastAsia="en-AU"/>
                  <w14:ligatures w14:val="standardContextual"/>
                </w:rPr>
              </w:pPr>
              <w:hyperlink w:anchor="_Toc171500325" w:history="1">
                <w:r w:rsidR="002459CF" w:rsidRPr="00836FE1">
                  <w:rPr>
                    <w:rStyle w:val="Hyperlink"/>
                    <w:noProof/>
                  </w:rPr>
                  <w:t>Top performers: from academia to quantum and beyond</w:t>
                </w:r>
                <w:r w:rsidR="002459CF">
                  <w:rPr>
                    <w:noProof/>
                    <w:webHidden/>
                  </w:rPr>
                  <w:tab/>
                </w:r>
                <w:r w:rsidR="002459CF">
                  <w:rPr>
                    <w:noProof/>
                    <w:webHidden/>
                  </w:rPr>
                  <w:fldChar w:fldCharType="begin"/>
                </w:r>
                <w:r w:rsidR="002459CF">
                  <w:rPr>
                    <w:noProof/>
                    <w:webHidden/>
                  </w:rPr>
                  <w:instrText xml:space="preserve"> PAGEREF _Toc171500325 \h </w:instrText>
                </w:r>
                <w:r w:rsidR="002459CF">
                  <w:rPr>
                    <w:noProof/>
                    <w:webHidden/>
                  </w:rPr>
                </w:r>
                <w:r w:rsidR="002459CF">
                  <w:rPr>
                    <w:noProof/>
                    <w:webHidden/>
                  </w:rPr>
                  <w:fldChar w:fldCharType="separate"/>
                </w:r>
                <w:r w:rsidR="002459CF">
                  <w:rPr>
                    <w:noProof/>
                    <w:webHidden/>
                  </w:rPr>
                  <w:t>24</w:t>
                </w:r>
                <w:r w:rsidR="002459CF">
                  <w:rPr>
                    <w:noProof/>
                    <w:webHidden/>
                  </w:rPr>
                  <w:fldChar w:fldCharType="end"/>
                </w:r>
              </w:hyperlink>
            </w:p>
            <w:p w14:paraId="4A6C6616" w14:textId="661CA87D" w:rsidR="002459CF" w:rsidRDefault="00CF16FA">
              <w:pPr>
                <w:pStyle w:val="TOC2"/>
                <w:rPr>
                  <w:rFonts w:cstheme="minorBidi"/>
                  <w:noProof/>
                  <w:kern w:val="2"/>
                  <w:sz w:val="24"/>
                  <w:szCs w:val="24"/>
                  <w:lang w:val="en-AU" w:eastAsia="en-AU"/>
                  <w14:ligatures w14:val="standardContextual"/>
                </w:rPr>
              </w:pPr>
              <w:hyperlink w:anchor="_Toc171500326" w:history="1">
                <w:r w:rsidR="002459CF" w:rsidRPr="00836FE1">
                  <w:rPr>
                    <w:rStyle w:val="Hyperlink"/>
                    <w:noProof/>
                  </w:rPr>
                  <w:t>Australia’s smart tech sectors</w:t>
                </w:r>
                <w:r w:rsidR="002459CF">
                  <w:rPr>
                    <w:noProof/>
                    <w:webHidden/>
                  </w:rPr>
                  <w:tab/>
                </w:r>
                <w:r w:rsidR="002459CF">
                  <w:rPr>
                    <w:noProof/>
                    <w:webHidden/>
                  </w:rPr>
                  <w:fldChar w:fldCharType="begin"/>
                </w:r>
                <w:r w:rsidR="002459CF">
                  <w:rPr>
                    <w:noProof/>
                    <w:webHidden/>
                  </w:rPr>
                  <w:instrText xml:space="preserve"> PAGEREF _Toc171500326 \h </w:instrText>
                </w:r>
                <w:r w:rsidR="002459CF">
                  <w:rPr>
                    <w:noProof/>
                    <w:webHidden/>
                  </w:rPr>
                </w:r>
                <w:r w:rsidR="002459CF">
                  <w:rPr>
                    <w:noProof/>
                    <w:webHidden/>
                  </w:rPr>
                  <w:fldChar w:fldCharType="separate"/>
                </w:r>
                <w:r w:rsidR="002459CF">
                  <w:rPr>
                    <w:noProof/>
                    <w:webHidden/>
                  </w:rPr>
                  <w:t>25</w:t>
                </w:r>
                <w:r w:rsidR="002459CF">
                  <w:rPr>
                    <w:noProof/>
                    <w:webHidden/>
                  </w:rPr>
                  <w:fldChar w:fldCharType="end"/>
                </w:r>
              </w:hyperlink>
            </w:p>
            <w:p w14:paraId="3B953555" w14:textId="0EC055A8" w:rsidR="002459CF" w:rsidRDefault="00CF16FA">
              <w:pPr>
                <w:pStyle w:val="TOC2"/>
                <w:rPr>
                  <w:rFonts w:cstheme="minorBidi"/>
                  <w:noProof/>
                  <w:kern w:val="2"/>
                  <w:sz w:val="24"/>
                  <w:szCs w:val="24"/>
                  <w:lang w:val="en-AU" w:eastAsia="en-AU"/>
                  <w14:ligatures w14:val="standardContextual"/>
                </w:rPr>
              </w:pPr>
              <w:hyperlink w:anchor="_Toc171500327" w:history="1">
                <w:r w:rsidR="002459CF" w:rsidRPr="00836FE1">
                  <w:rPr>
                    <w:rStyle w:val="Hyperlink"/>
                    <w:noProof/>
                  </w:rPr>
                  <w:t>#1 for new tech skills</w:t>
                </w:r>
                <w:r w:rsidR="002459CF">
                  <w:rPr>
                    <w:noProof/>
                    <w:webHidden/>
                  </w:rPr>
                  <w:tab/>
                </w:r>
                <w:r w:rsidR="002459CF">
                  <w:rPr>
                    <w:noProof/>
                    <w:webHidden/>
                  </w:rPr>
                  <w:fldChar w:fldCharType="begin"/>
                </w:r>
                <w:r w:rsidR="002459CF">
                  <w:rPr>
                    <w:noProof/>
                    <w:webHidden/>
                  </w:rPr>
                  <w:instrText xml:space="preserve"> PAGEREF _Toc171500327 \h </w:instrText>
                </w:r>
                <w:r w:rsidR="002459CF">
                  <w:rPr>
                    <w:noProof/>
                    <w:webHidden/>
                  </w:rPr>
                </w:r>
                <w:r w:rsidR="002459CF">
                  <w:rPr>
                    <w:noProof/>
                    <w:webHidden/>
                  </w:rPr>
                  <w:fldChar w:fldCharType="separate"/>
                </w:r>
                <w:r w:rsidR="002459CF">
                  <w:rPr>
                    <w:noProof/>
                    <w:webHidden/>
                  </w:rPr>
                  <w:t>26</w:t>
                </w:r>
                <w:r w:rsidR="002459CF">
                  <w:rPr>
                    <w:noProof/>
                    <w:webHidden/>
                  </w:rPr>
                  <w:fldChar w:fldCharType="end"/>
                </w:r>
              </w:hyperlink>
            </w:p>
            <w:p w14:paraId="662BC176" w14:textId="534C27FD" w:rsidR="002459CF" w:rsidRDefault="00CF16FA">
              <w:pPr>
                <w:pStyle w:val="TOC2"/>
                <w:rPr>
                  <w:rFonts w:cstheme="minorBidi"/>
                  <w:noProof/>
                  <w:kern w:val="2"/>
                  <w:sz w:val="24"/>
                  <w:szCs w:val="24"/>
                  <w:lang w:val="en-AU" w:eastAsia="en-AU"/>
                  <w14:ligatures w14:val="standardContextual"/>
                </w:rPr>
              </w:pPr>
              <w:hyperlink w:anchor="_Toc171500328" w:history="1">
                <w:r w:rsidR="002459CF" w:rsidRPr="00836FE1">
                  <w:rPr>
                    <w:rStyle w:val="Hyperlink"/>
                    <w:noProof/>
                  </w:rPr>
                  <w:t>A leader in digital government</w:t>
                </w:r>
                <w:r w:rsidR="002459CF">
                  <w:rPr>
                    <w:noProof/>
                    <w:webHidden/>
                  </w:rPr>
                  <w:tab/>
                </w:r>
                <w:r w:rsidR="002459CF">
                  <w:rPr>
                    <w:noProof/>
                    <w:webHidden/>
                  </w:rPr>
                  <w:fldChar w:fldCharType="begin"/>
                </w:r>
                <w:r w:rsidR="002459CF">
                  <w:rPr>
                    <w:noProof/>
                    <w:webHidden/>
                  </w:rPr>
                  <w:instrText xml:space="preserve"> PAGEREF _Toc171500328 \h </w:instrText>
                </w:r>
                <w:r w:rsidR="002459CF">
                  <w:rPr>
                    <w:noProof/>
                    <w:webHidden/>
                  </w:rPr>
                </w:r>
                <w:r w:rsidR="002459CF">
                  <w:rPr>
                    <w:noProof/>
                    <w:webHidden/>
                  </w:rPr>
                  <w:fldChar w:fldCharType="separate"/>
                </w:r>
                <w:r w:rsidR="002459CF">
                  <w:rPr>
                    <w:noProof/>
                    <w:webHidden/>
                  </w:rPr>
                  <w:t>27</w:t>
                </w:r>
                <w:r w:rsidR="002459CF">
                  <w:rPr>
                    <w:noProof/>
                    <w:webHidden/>
                  </w:rPr>
                  <w:fldChar w:fldCharType="end"/>
                </w:r>
              </w:hyperlink>
            </w:p>
            <w:p w14:paraId="37A9C5ED" w14:textId="52B8E6D1" w:rsidR="002459CF" w:rsidRDefault="00CF16FA">
              <w:pPr>
                <w:pStyle w:val="TOC2"/>
                <w:rPr>
                  <w:rFonts w:cstheme="minorBidi"/>
                  <w:noProof/>
                  <w:kern w:val="2"/>
                  <w:sz w:val="24"/>
                  <w:szCs w:val="24"/>
                  <w:lang w:val="en-AU" w:eastAsia="en-AU"/>
                  <w14:ligatures w14:val="standardContextual"/>
                </w:rPr>
              </w:pPr>
              <w:hyperlink w:anchor="_Toc171500329" w:history="1">
                <w:r w:rsidR="002459CF" w:rsidRPr="00836FE1">
                  <w:rPr>
                    <w:rStyle w:val="Hyperlink"/>
                    <w:noProof/>
                  </w:rPr>
                  <w:t>A pioneer in renewables R&amp;D</w:t>
                </w:r>
                <w:r w:rsidR="002459CF">
                  <w:rPr>
                    <w:noProof/>
                    <w:webHidden/>
                  </w:rPr>
                  <w:tab/>
                </w:r>
                <w:r w:rsidR="002459CF">
                  <w:rPr>
                    <w:noProof/>
                    <w:webHidden/>
                  </w:rPr>
                  <w:fldChar w:fldCharType="begin"/>
                </w:r>
                <w:r w:rsidR="002459CF">
                  <w:rPr>
                    <w:noProof/>
                    <w:webHidden/>
                  </w:rPr>
                  <w:instrText xml:space="preserve"> PAGEREF _Toc171500329 \h </w:instrText>
                </w:r>
                <w:r w:rsidR="002459CF">
                  <w:rPr>
                    <w:noProof/>
                    <w:webHidden/>
                  </w:rPr>
                </w:r>
                <w:r w:rsidR="002459CF">
                  <w:rPr>
                    <w:noProof/>
                    <w:webHidden/>
                  </w:rPr>
                  <w:fldChar w:fldCharType="separate"/>
                </w:r>
                <w:r w:rsidR="002459CF">
                  <w:rPr>
                    <w:noProof/>
                    <w:webHidden/>
                  </w:rPr>
                  <w:t>28</w:t>
                </w:r>
                <w:r w:rsidR="002459CF">
                  <w:rPr>
                    <w:noProof/>
                    <w:webHidden/>
                  </w:rPr>
                  <w:fldChar w:fldCharType="end"/>
                </w:r>
              </w:hyperlink>
            </w:p>
            <w:p w14:paraId="071AEAD2" w14:textId="0970F0AB" w:rsidR="002459CF" w:rsidRDefault="00CF16FA">
              <w:pPr>
                <w:pStyle w:val="TOC2"/>
                <w:rPr>
                  <w:rFonts w:cstheme="minorBidi"/>
                  <w:noProof/>
                  <w:kern w:val="2"/>
                  <w:sz w:val="24"/>
                  <w:szCs w:val="24"/>
                  <w:lang w:val="en-AU" w:eastAsia="en-AU"/>
                  <w14:ligatures w14:val="standardContextual"/>
                </w:rPr>
              </w:pPr>
              <w:hyperlink w:anchor="_Toc171500330" w:history="1">
                <w:r w:rsidR="002459CF" w:rsidRPr="00836FE1">
                  <w:rPr>
                    <w:rStyle w:val="Hyperlink"/>
                    <w:noProof/>
                  </w:rPr>
                  <w:t>Advanced research in hydrogen</w:t>
                </w:r>
                <w:r w:rsidR="002459CF">
                  <w:rPr>
                    <w:noProof/>
                    <w:webHidden/>
                  </w:rPr>
                  <w:tab/>
                </w:r>
                <w:r w:rsidR="002459CF">
                  <w:rPr>
                    <w:noProof/>
                    <w:webHidden/>
                  </w:rPr>
                  <w:fldChar w:fldCharType="begin"/>
                </w:r>
                <w:r w:rsidR="002459CF">
                  <w:rPr>
                    <w:noProof/>
                    <w:webHidden/>
                  </w:rPr>
                  <w:instrText xml:space="preserve"> PAGEREF _Toc171500330 \h </w:instrText>
                </w:r>
                <w:r w:rsidR="002459CF">
                  <w:rPr>
                    <w:noProof/>
                    <w:webHidden/>
                  </w:rPr>
                </w:r>
                <w:r w:rsidR="002459CF">
                  <w:rPr>
                    <w:noProof/>
                    <w:webHidden/>
                  </w:rPr>
                  <w:fldChar w:fldCharType="separate"/>
                </w:r>
                <w:r w:rsidR="002459CF">
                  <w:rPr>
                    <w:noProof/>
                    <w:webHidden/>
                  </w:rPr>
                  <w:t>29</w:t>
                </w:r>
                <w:r w:rsidR="002459CF">
                  <w:rPr>
                    <w:noProof/>
                    <w:webHidden/>
                  </w:rPr>
                  <w:fldChar w:fldCharType="end"/>
                </w:r>
              </w:hyperlink>
            </w:p>
            <w:p w14:paraId="2EAF25F9" w14:textId="5AA35066" w:rsidR="002459CF" w:rsidRDefault="00CF16FA">
              <w:pPr>
                <w:pStyle w:val="TOC2"/>
                <w:rPr>
                  <w:rFonts w:cstheme="minorBidi"/>
                  <w:noProof/>
                  <w:kern w:val="2"/>
                  <w:sz w:val="24"/>
                  <w:szCs w:val="24"/>
                  <w:lang w:val="en-AU" w:eastAsia="en-AU"/>
                  <w14:ligatures w14:val="standardContextual"/>
                </w:rPr>
              </w:pPr>
              <w:hyperlink w:anchor="_Toc171500331" w:history="1">
                <w:r w:rsidR="002459CF" w:rsidRPr="00836FE1">
                  <w:rPr>
                    <w:rStyle w:val="Hyperlink"/>
                    <w:noProof/>
                  </w:rPr>
                  <w:t>Academic excellence — from neuroscience to space</w:t>
                </w:r>
                <w:r w:rsidR="002459CF">
                  <w:rPr>
                    <w:noProof/>
                    <w:webHidden/>
                  </w:rPr>
                  <w:tab/>
                </w:r>
                <w:r w:rsidR="002459CF">
                  <w:rPr>
                    <w:noProof/>
                    <w:webHidden/>
                  </w:rPr>
                  <w:fldChar w:fldCharType="begin"/>
                </w:r>
                <w:r w:rsidR="002459CF">
                  <w:rPr>
                    <w:noProof/>
                    <w:webHidden/>
                  </w:rPr>
                  <w:instrText xml:space="preserve"> PAGEREF _Toc171500331 \h </w:instrText>
                </w:r>
                <w:r w:rsidR="002459CF">
                  <w:rPr>
                    <w:noProof/>
                    <w:webHidden/>
                  </w:rPr>
                </w:r>
                <w:r w:rsidR="002459CF">
                  <w:rPr>
                    <w:noProof/>
                    <w:webHidden/>
                  </w:rPr>
                  <w:fldChar w:fldCharType="separate"/>
                </w:r>
                <w:r w:rsidR="002459CF">
                  <w:rPr>
                    <w:noProof/>
                    <w:webHidden/>
                  </w:rPr>
                  <w:t>30</w:t>
                </w:r>
                <w:r w:rsidR="002459CF">
                  <w:rPr>
                    <w:noProof/>
                    <w:webHidden/>
                  </w:rPr>
                  <w:fldChar w:fldCharType="end"/>
                </w:r>
              </w:hyperlink>
            </w:p>
            <w:p w14:paraId="10509754" w14:textId="2B7D03E3" w:rsidR="002459CF" w:rsidRDefault="00CF16FA">
              <w:pPr>
                <w:pStyle w:val="TOC2"/>
                <w:rPr>
                  <w:rFonts w:cstheme="minorBidi"/>
                  <w:noProof/>
                  <w:kern w:val="2"/>
                  <w:sz w:val="24"/>
                  <w:szCs w:val="24"/>
                  <w:lang w:val="en-AU" w:eastAsia="en-AU"/>
                  <w14:ligatures w14:val="standardContextual"/>
                </w:rPr>
              </w:pPr>
              <w:hyperlink w:anchor="_Toc171500332" w:history="1">
                <w:r w:rsidR="002459CF" w:rsidRPr="00836FE1">
                  <w:rPr>
                    <w:rStyle w:val="Hyperlink"/>
                    <w:noProof/>
                  </w:rPr>
                  <w:t>Skilled workforce and innovation indicators</w:t>
                </w:r>
                <w:r w:rsidR="002459CF">
                  <w:rPr>
                    <w:noProof/>
                    <w:webHidden/>
                  </w:rPr>
                  <w:tab/>
                </w:r>
                <w:r w:rsidR="002459CF">
                  <w:rPr>
                    <w:noProof/>
                    <w:webHidden/>
                  </w:rPr>
                  <w:fldChar w:fldCharType="begin"/>
                </w:r>
                <w:r w:rsidR="002459CF">
                  <w:rPr>
                    <w:noProof/>
                    <w:webHidden/>
                  </w:rPr>
                  <w:instrText xml:space="preserve"> PAGEREF _Toc171500332 \h </w:instrText>
                </w:r>
                <w:r w:rsidR="002459CF">
                  <w:rPr>
                    <w:noProof/>
                    <w:webHidden/>
                  </w:rPr>
                </w:r>
                <w:r w:rsidR="002459CF">
                  <w:rPr>
                    <w:noProof/>
                    <w:webHidden/>
                  </w:rPr>
                  <w:fldChar w:fldCharType="separate"/>
                </w:r>
                <w:r w:rsidR="002459CF">
                  <w:rPr>
                    <w:noProof/>
                    <w:webHidden/>
                  </w:rPr>
                  <w:t>31</w:t>
                </w:r>
                <w:r w:rsidR="002459CF">
                  <w:rPr>
                    <w:noProof/>
                    <w:webHidden/>
                  </w:rPr>
                  <w:fldChar w:fldCharType="end"/>
                </w:r>
              </w:hyperlink>
            </w:p>
            <w:p w14:paraId="7ECA2B22" w14:textId="01FD3E72" w:rsidR="002459CF" w:rsidRDefault="00CF16FA">
              <w:pPr>
                <w:pStyle w:val="TOC2"/>
                <w:rPr>
                  <w:rFonts w:cstheme="minorBidi"/>
                  <w:noProof/>
                  <w:kern w:val="2"/>
                  <w:sz w:val="24"/>
                  <w:szCs w:val="24"/>
                  <w:lang w:val="en-AU" w:eastAsia="en-AU"/>
                  <w14:ligatures w14:val="standardContextual"/>
                </w:rPr>
              </w:pPr>
              <w:hyperlink w:anchor="_Toc171500333" w:history="1">
                <w:r w:rsidR="002459CF" w:rsidRPr="00836FE1">
                  <w:rPr>
                    <w:rStyle w:val="Hyperlink"/>
                    <w:noProof/>
                  </w:rPr>
                  <w:t>Australia's highly educated workforce</w:t>
                </w:r>
                <w:r w:rsidR="002459CF">
                  <w:rPr>
                    <w:noProof/>
                    <w:webHidden/>
                  </w:rPr>
                  <w:tab/>
                </w:r>
                <w:r w:rsidR="002459CF">
                  <w:rPr>
                    <w:noProof/>
                    <w:webHidden/>
                  </w:rPr>
                  <w:fldChar w:fldCharType="begin"/>
                </w:r>
                <w:r w:rsidR="002459CF">
                  <w:rPr>
                    <w:noProof/>
                    <w:webHidden/>
                  </w:rPr>
                  <w:instrText xml:space="preserve"> PAGEREF _Toc171500333 \h </w:instrText>
                </w:r>
                <w:r w:rsidR="002459CF">
                  <w:rPr>
                    <w:noProof/>
                    <w:webHidden/>
                  </w:rPr>
                </w:r>
                <w:r w:rsidR="002459CF">
                  <w:rPr>
                    <w:noProof/>
                    <w:webHidden/>
                  </w:rPr>
                  <w:fldChar w:fldCharType="separate"/>
                </w:r>
                <w:r w:rsidR="002459CF">
                  <w:rPr>
                    <w:noProof/>
                    <w:webHidden/>
                  </w:rPr>
                  <w:t>32</w:t>
                </w:r>
                <w:r w:rsidR="002459CF">
                  <w:rPr>
                    <w:noProof/>
                    <w:webHidden/>
                  </w:rPr>
                  <w:fldChar w:fldCharType="end"/>
                </w:r>
              </w:hyperlink>
            </w:p>
            <w:p w14:paraId="2CE5AB58" w14:textId="368EEA03" w:rsidR="002459CF" w:rsidRDefault="00CF16FA">
              <w:pPr>
                <w:pStyle w:val="TOC2"/>
                <w:rPr>
                  <w:rFonts w:cstheme="minorBidi"/>
                  <w:noProof/>
                  <w:kern w:val="2"/>
                  <w:sz w:val="24"/>
                  <w:szCs w:val="24"/>
                  <w:lang w:val="en-AU" w:eastAsia="en-AU"/>
                  <w14:ligatures w14:val="standardContextual"/>
                </w:rPr>
              </w:pPr>
              <w:hyperlink w:anchor="_Toc171500334" w:history="1">
                <w:r w:rsidR="002459CF" w:rsidRPr="00836FE1">
                  <w:rPr>
                    <w:rStyle w:val="Hyperlink"/>
                    <w:noProof/>
                  </w:rPr>
                  <w:t>A big investor in education</w:t>
                </w:r>
                <w:r w:rsidR="002459CF">
                  <w:rPr>
                    <w:noProof/>
                    <w:webHidden/>
                  </w:rPr>
                  <w:tab/>
                </w:r>
                <w:r w:rsidR="002459CF">
                  <w:rPr>
                    <w:noProof/>
                    <w:webHidden/>
                  </w:rPr>
                  <w:fldChar w:fldCharType="begin"/>
                </w:r>
                <w:r w:rsidR="002459CF">
                  <w:rPr>
                    <w:noProof/>
                    <w:webHidden/>
                  </w:rPr>
                  <w:instrText xml:space="preserve"> PAGEREF _Toc171500334 \h </w:instrText>
                </w:r>
                <w:r w:rsidR="002459CF">
                  <w:rPr>
                    <w:noProof/>
                    <w:webHidden/>
                  </w:rPr>
                </w:r>
                <w:r w:rsidR="002459CF">
                  <w:rPr>
                    <w:noProof/>
                    <w:webHidden/>
                  </w:rPr>
                  <w:fldChar w:fldCharType="separate"/>
                </w:r>
                <w:r w:rsidR="002459CF">
                  <w:rPr>
                    <w:noProof/>
                    <w:webHidden/>
                  </w:rPr>
                  <w:t>33</w:t>
                </w:r>
                <w:r w:rsidR="002459CF">
                  <w:rPr>
                    <w:noProof/>
                    <w:webHidden/>
                  </w:rPr>
                  <w:fldChar w:fldCharType="end"/>
                </w:r>
              </w:hyperlink>
            </w:p>
            <w:p w14:paraId="01EB0958" w14:textId="69598776" w:rsidR="002459CF" w:rsidRDefault="00CF16FA">
              <w:pPr>
                <w:pStyle w:val="TOC2"/>
                <w:rPr>
                  <w:rFonts w:cstheme="minorBidi"/>
                  <w:noProof/>
                  <w:kern w:val="2"/>
                  <w:sz w:val="24"/>
                  <w:szCs w:val="24"/>
                  <w:lang w:val="en-AU" w:eastAsia="en-AU"/>
                  <w14:ligatures w14:val="standardContextual"/>
                </w:rPr>
              </w:pPr>
              <w:hyperlink w:anchor="_Toc171500335" w:history="1">
                <w:r w:rsidR="002459CF" w:rsidRPr="00836FE1">
                  <w:rPr>
                    <w:rStyle w:val="Hyperlink"/>
                    <w:noProof/>
                  </w:rPr>
                  <w:t>Australia at #4 globally for top-ranked universities</w:t>
                </w:r>
                <w:r w:rsidR="002459CF">
                  <w:rPr>
                    <w:noProof/>
                    <w:webHidden/>
                  </w:rPr>
                  <w:tab/>
                </w:r>
                <w:r w:rsidR="002459CF">
                  <w:rPr>
                    <w:noProof/>
                    <w:webHidden/>
                  </w:rPr>
                  <w:fldChar w:fldCharType="begin"/>
                </w:r>
                <w:r w:rsidR="002459CF">
                  <w:rPr>
                    <w:noProof/>
                    <w:webHidden/>
                  </w:rPr>
                  <w:instrText xml:space="preserve"> PAGEREF _Toc171500335 \h </w:instrText>
                </w:r>
                <w:r w:rsidR="002459CF">
                  <w:rPr>
                    <w:noProof/>
                    <w:webHidden/>
                  </w:rPr>
                </w:r>
                <w:r w:rsidR="002459CF">
                  <w:rPr>
                    <w:noProof/>
                    <w:webHidden/>
                  </w:rPr>
                  <w:fldChar w:fldCharType="separate"/>
                </w:r>
                <w:r w:rsidR="002459CF">
                  <w:rPr>
                    <w:noProof/>
                    <w:webHidden/>
                  </w:rPr>
                  <w:t>34</w:t>
                </w:r>
                <w:r w:rsidR="002459CF">
                  <w:rPr>
                    <w:noProof/>
                    <w:webHidden/>
                  </w:rPr>
                  <w:fldChar w:fldCharType="end"/>
                </w:r>
              </w:hyperlink>
            </w:p>
            <w:p w14:paraId="30D21530" w14:textId="5733A49E" w:rsidR="002459CF" w:rsidRDefault="00CF16FA">
              <w:pPr>
                <w:pStyle w:val="TOC2"/>
                <w:rPr>
                  <w:rFonts w:cstheme="minorBidi"/>
                  <w:noProof/>
                  <w:kern w:val="2"/>
                  <w:sz w:val="24"/>
                  <w:szCs w:val="24"/>
                  <w:lang w:val="en-AU" w:eastAsia="en-AU"/>
                  <w14:ligatures w14:val="standardContextual"/>
                </w:rPr>
              </w:pPr>
              <w:hyperlink w:anchor="_Toc171500336" w:history="1">
                <w:r w:rsidR="002459CF" w:rsidRPr="00836FE1">
                  <w:rPr>
                    <w:rStyle w:val="Hyperlink"/>
                    <w:noProof/>
                  </w:rPr>
                  <w:t>Australian research pursues UN goals</w:t>
                </w:r>
                <w:r w:rsidR="002459CF">
                  <w:rPr>
                    <w:noProof/>
                    <w:webHidden/>
                  </w:rPr>
                  <w:tab/>
                </w:r>
                <w:r w:rsidR="002459CF">
                  <w:rPr>
                    <w:noProof/>
                    <w:webHidden/>
                  </w:rPr>
                  <w:fldChar w:fldCharType="begin"/>
                </w:r>
                <w:r w:rsidR="002459CF">
                  <w:rPr>
                    <w:noProof/>
                    <w:webHidden/>
                  </w:rPr>
                  <w:instrText xml:space="preserve"> PAGEREF _Toc171500336 \h </w:instrText>
                </w:r>
                <w:r w:rsidR="002459CF">
                  <w:rPr>
                    <w:noProof/>
                    <w:webHidden/>
                  </w:rPr>
                </w:r>
                <w:r w:rsidR="002459CF">
                  <w:rPr>
                    <w:noProof/>
                    <w:webHidden/>
                  </w:rPr>
                  <w:fldChar w:fldCharType="separate"/>
                </w:r>
                <w:r w:rsidR="002459CF">
                  <w:rPr>
                    <w:noProof/>
                    <w:webHidden/>
                  </w:rPr>
                  <w:t>35</w:t>
                </w:r>
                <w:r w:rsidR="002459CF">
                  <w:rPr>
                    <w:noProof/>
                    <w:webHidden/>
                  </w:rPr>
                  <w:fldChar w:fldCharType="end"/>
                </w:r>
              </w:hyperlink>
            </w:p>
            <w:p w14:paraId="0683B054" w14:textId="729587ED" w:rsidR="002459CF" w:rsidRDefault="00CF16FA">
              <w:pPr>
                <w:pStyle w:val="TOC1"/>
                <w:rPr>
                  <w:rFonts w:eastAsiaTheme="minorEastAsia"/>
                  <w:noProof/>
                  <w:kern w:val="2"/>
                  <w:sz w:val="24"/>
                  <w:szCs w:val="24"/>
                  <w:lang w:eastAsia="en-AU"/>
                  <w14:ligatures w14:val="standardContextual"/>
                </w:rPr>
              </w:pPr>
              <w:hyperlink w:anchor="_Toc171500337" w:history="1">
                <w:r w:rsidR="002459CF" w:rsidRPr="00836FE1">
                  <w:rPr>
                    <w:rStyle w:val="Hyperlink"/>
                    <w:noProof/>
                  </w:rPr>
                  <w:t>Chapter 4 – Global ties &amp; open markets</w:t>
                </w:r>
                <w:r w:rsidR="002459CF">
                  <w:rPr>
                    <w:noProof/>
                    <w:webHidden/>
                  </w:rPr>
                  <w:tab/>
                </w:r>
                <w:r w:rsidR="002459CF">
                  <w:rPr>
                    <w:noProof/>
                    <w:webHidden/>
                  </w:rPr>
                  <w:fldChar w:fldCharType="begin"/>
                </w:r>
                <w:r w:rsidR="002459CF">
                  <w:rPr>
                    <w:noProof/>
                    <w:webHidden/>
                  </w:rPr>
                  <w:instrText xml:space="preserve"> PAGEREF _Toc171500337 \h </w:instrText>
                </w:r>
                <w:r w:rsidR="002459CF">
                  <w:rPr>
                    <w:noProof/>
                    <w:webHidden/>
                  </w:rPr>
                </w:r>
                <w:r w:rsidR="002459CF">
                  <w:rPr>
                    <w:noProof/>
                    <w:webHidden/>
                  </w:rPr>
                  <w:fldChar w:fldCharType="separate"/>
                </w:r>
                <w:r w:rsidR="002459CF">
                  <w:rPr>
                    <w:noProof/>
                    <w:webHidden/>
                  </w:rPr>
                  <w:t>36</w:t>
                </w:r>
                <w:r w:rsidR="002459CF">
                  <w:rPr>
                    <w:noProof/>
                    <w:webHidden/>
                  </w:rPr>
                  <w:fldChar w:fldCharType="end"/>
                </w:r>
              </w:hyperlink>
            </w:p>
            <w:p w14:paraId="0510417D" w14:textId="57AC3F4F" w:rsidR="002459CF" w:rsidRDefault="00CF16FA">
              <w:pPr>
                <w:pStyle w:val="TOC2"/>
                <w:rPr>
                  <w:rFonts w:cstheme="minorBidi"/>
                  <w:noProof/>
                  <w:kern w:val="2"/>
                  <w:sz w:val="24"/>
                  <w:szCs w:val="24"/>
                  <w:lang w:val="en-AU" w:eastAsia="en-AU"/>
                  <w14:ligatures w14:val="standardContextual"/>
                </w:rPr>
              </w:pPr>
              <w:hyperlink w:anchor="_Toc171500338" w:history="1">
                <w:r w:rsidR="002459CF" w:rsidRPr="00836FE1">
                  <w:rPr>
                    <w:rStyle w:val="Hyperlink"/>
                    <w:noProof/>
                  </w:rPr>
                  <w:t>Outward looking with a passion for free trade</w:t>
                </w:r>
                <w:r w:rsidR="002459CF">
                  <w:rPr>
                    <w:noProof/>
                    <w:webHidden/>
                  </w:rPr>
                  <w:tab/>
                </w:r>
                <w:r w:rsidR="002459CF">
                  <w:rPr>
                    <w:noProof/>
                    <w:webHidden/>
                  </w:rPr>
                  <w:fldChar w:fldCharType="begin"/>
                </w:r>
                <w:r w:rsidR="002459CF">
                  <w:rPr>
                    <w:noProof/>
                    <w:webHidden/>
                  </w:rPr>
                  <w:instrText xml:space="preserve"> PAGEREF _Toc171500338 \h </w:instrText>
                </w:r>
                <w:r w:rsidR="002459CF">
                  <w:rPr>
                    <w:noProof/>
                    <w:webHidden/>
                  </w:rPr>
                </w:r>
                <w:r w:rsidR="002459CF">
                  <w:rPr>
                    <w:noProof/>
                    <w:webHidden/>
                  </w:rPr>
                  <w:fldChar w:fldCharType="separate"/>
                </w:r>
                <w:r w:rsidR="002459CF">
                  <w:rPr>
                    <w:noProof/>
                    <w:webHidden/>
                  </w:rPr>
                  <w:t>36</w:t>
                </w:r>
                <w:r w:rsidR="002459CF">
                  <w:rPr>
                    <w:noProof/>
                    <w:webHidden/>
                  </w:rPr>
                  <w:fldChar w:fldCharType="end"/>
                </w:r>
              </w:hyperlink>
            </w:p>
            <w:p w14:paraId="5BAD0A03" w14:textId="055567E9" w:rsidR="002459CF" w:rsidRDefault="00CF16FA">
              <w:pPr>
                <w:pStyle w:val="TOC2"/>
                <w:rPr>
                  <w:rFonts w:cstheme="minorBidi"/>
                  <w:noProof/>
                  <w:kern w:val="2"/>
                  <w:sz w:val="24"/>
                  <w:szCs w:val="24"/>
                  <w:lang w:val="en-AU" w:eastAsia="en-AU"/>
                  <w14:ligatures w14:val="standardContextual"/>
                </w:rPr>
              </w:pPr>
              <w:hyperlink w:anchor="_Toc171500339" w:history="1">
                <w:r w:rsidR="002459CF" w:rsidRPr="00836FE1">
                  <w:rPr>
                    <w:rStyle w:val="Hyperlink"/>
                    <w:noProof/>
                  </w:rPr>
                  <w:t>Proximity to Asia’s powerhouse economies</w:t>
                </w:r>
                <w:r w:rsidR="002459CF">
                  <w:rPr>
                    <w:noProof/>
                    <w:webHidden/>
                  </w:rPr>
                  <w:tab/>
                </w:r>
                <w:r w:rsidR="002459CF">
                  <w:rPr>
                    <w:noProof/>
                    <w:webHidden/>
                  </w:rPr>
                  <w:fldChar w:fldCharType="begin"/>
                </w:r>
                <w:r w:rsidR="002459CF">
                  <w:rPr>
                    <w:noProof/>
                    <w:webHidden/>
                  </w:rPr>
                  <w:instrText xml:space="preserve"> PAGEREF _Toc171500339 \h </w:instrText>
                </w:r>
                <w:r w:rsidR="002459CF">
                  <w:rPr>
                    <w:noProof/>
                    <w:webHidden/>
                  </w:rPr>
                </w:r>
                <w:r w:rsidR="002459CF">
                  <w:rPr>
                    <w:noProof/>
                    <w:webHidden/>
                  </w:rPr>
                  <w:fldChar w:fldCharType="separate"/>
                </w:r>
                <w:r w:rsidR="002459CF">
                  <w:rPr>
                    <w:noProof/>
                    <w:webHidden/>
                  </w:rPr>
                  <w:t>37</w:t>
                </w:r>
                <w:r w:rsidR="002459CF">
                  <w:rPr>
                    <w:noProof/>
                    <w:webHidden/>
                  </w:rPr>
                  <w:fldChar w:fldCharType="end"/>
                </w:r>
              </w:hyperlink>
            </w:p>
            <w:p w14:paraId="1865F85F" w14:textId="1A209489" w:rsidR="002459CF" w:rsidRDefault="00CF16FA">
              <w:pPr>
                <w:pStyle w:val="TOC2"/>
                <w:rPr>
                  <w:rFonts w:cstheme="minorBidi"/>
                  <w:noProof/>
                  <w:kern w:val="2"/>
                  <w:sz w:val="24"/>
                  <w:szCs w:val="24"/>
                  <w:lang w:val="en-AU" w:eastAsia="en-AU"/>
                  <w14:ligatures w14:val="standardContextual"/>
                </w:rPr>
              </w:pPr>
              <w:hyperlink w:anchor="_Toc171500340" w:history="1">
                <w:r w:rsidR="002459CF" w:rsidRPr="00836FE1">
                  <w:rPr>
                    <w:rStyle w:val="Hyperlink"/>
                    <w:noProof/>
                  </w:rPr>
                  <w:t>A broad network of trade agreements</w:t>
                </w:r>
                <w:r w:rsidR="002459CF">
                  <w:rPr>
                    <w:noProof/>
                    <w:webHidden/>
                  </w:rPr>
                  <w:tab/>
                </w:r>
                <w:r w:rsidR="002459CF">
                  <w:rPr>
                    <w:noProof/>
                    <w:webHidden/>
                  </w:rPr>
                  <w:fldChar w:fldCharType="begin"/>
                </w:r>
                <w:r w:rsidR="002459CF">
                  <w:rPr>
                    <w:noProof/>
                    <w:webHidden/>
                  </w:rPr>
                  <w:instrText xml:space="preserve"> PAGEREF _Toc171500340 \h </w:instrText>
                </w:r>
                <w:r w:rsidR="002459CF">
                  <w:rPr>
                    <w:noProof/>
                    <w:webHidden/>
                  </w:rPr>
                </w:r>
                <w:r w:rsidR="002459CF">
                  <w:rPr>
                    <w:noProof/>
                    <w:webHidden/>
                  </w:rPr>
                  <w:fldChar w:fldCharType="separate"/>
                </w:r>
                <w:r w:rsidR="002459CF">
                  <w:rPr>
                    <w:noProof/>
                    <w:webHidden/>
                  </w:rPr>
                  <w:t>38</w:t>
                </w:r>
                <w:r w:rsidR="002459CF">
                  <w:rPr>
                    <w:noProof/>
                    <w:webHidden/>
                  </w:rPr>
                  <w:fldChar w:fldCharType="end"/>
                </w:r>
              </w:hyperlink>
            </w:p>
            <w:p w14:paraId="1AF621D7" w14:textId="12FF7BEE" w:rsidR="002459CF" w:rsidRDefault="00CF16FA">
              <w:pPr>
                <w:pStyle w:val="TOC2"/>
                <w:rPr>
                  <w:rFonts w:cstheme="minorBidi"/>
                  <w:noProof/>
                  <w:kern w:val="2"/>
                  <w:sz w:val="24"/>
                  <w:szCs w:val="24"/>
                  <w:lang w:val="en-AU" w:eastAsia="en-AU"/>
                  <w14:ligatures w14:val="standardContextual"/>
                </w:rPr>
              </w:pPr>
              <w:hyperlink w:anchor="_Toc171500341" w:history="1">
                <w:r w:rsidR="002459CF" w:rsidRPr="00836FE1">
                  <w:rPr>
                    <w:rStyle w:val="Hyperlink"/>
                    <w:noProof/>
                  </w:rPr>
                  <w:t>Pioneering the modernisation of global trade</w:t>
                </w:r>
                <w:r w:rsidR="002459CF">
                  <w:rPr>
                    <w:noProof/>
                    <w:webHidden/>
                  </w:rPr>
                  <w:tab/>
                </w:r>
                <w:r w:rsidR="002459CF">
                  <w:rPr>
                    <w:noProof/>
                    <w:webHidden/>
                  </w:rPr>
                  <w:fldChar w:fldCharType="begin"/>
                </w:r>
                <w:r w:rsidR="002459CF">
                  <w:rPr>
                    <w:noProof/>
                    <w:webHidden/>
                  </w:rPr>
                  <w:instrText xml:space="preserve"> PAGEREF _Toc171500341 \h </w:instrText>
                </w:r>
                <w:r w:rsidR="002459CF">
                  <w:rPr>
                    <w:noProof/>
                    <w:webHidden/>
                  </w:rPr>
                </w:r>
                <w:r w:rsidR="002459CF">
                  <w:rPr>
                    <w:noProof/>
                    <w:webHidden/>
                  </w:rPr>
                  <w:fldChar w:fldCharType="separate"/>
                </w:r>
                <w:r w:rsidR="002459CF">
                  <w:rPr>
                    <w:noProof/>
                    <w:webHidden/>
                  </w:rPr>
                  <w:t>39</w:t>
                </w:r>
                <w:r w:rsidR="002459CF">
                  <w:rPr>
                    <w:noProof/>
                    <w:webHidden/>
                  </w:rPr>
                  <w:fldChar w:fldCharType="end"/>
                </w:r>
              </w:hyperlink>
            </w:p>
            <w:p w14:paraId="6F7CF9F6" w14:textId="786E19BE" w:rsidR="002459CF" w:rsidRDefault="00CF16FA">
              <w:pPr>
                <w:pStyle w:val="TOC2"/>
                <w:rPr>
                  <w:rFonts w:cstheme="minorBidi"/>
                  <w:noProof/>
                  <w:kern w:val="2"/>
                  <w:sz w:val="24"/>
                  <w:szCs w:val="24"/>
                  <w:lang w:val="en-AU" w:eastAsia="en-AU"/>
                  <w14:ligatures w14:val="standardContextual"/>
                </w:rPr>
              </w:pPr>
              <w:hyperlink w:anchor="_Toc171500342" w:history="1">
                <w:r w:rsidR="002459CF" w:rsidRPr="00836FE1">
                  <w:rPr>
                    <w:rStyle w:val="Hyperlink"/>
                    <w:noProof/>
                  </w:rPr>
                  <w:t>A global hub with diverse connections</w:t>
                </w:r>
                <w:r w:rsidR="002459CF">
                  <w:rPr>
                    <w:noProof/>
                    <w:webHidden/>
                  </w:rPr>
                  <w:tab/>
                </w:r>
                <w:r w:rsidR="002459CF">
                  <w:rPr>
                    <w:noProof/>
                    <w:webHidden/>
                  </w:rPr>
                  <w:fldChar w:fldCharType="begin"/>
                </w:r>
                <w:r w:rsidR="002459CF">
                  <w:rPr>
                    <w:noProof/>
                    <w:webHidden/>
                  </w:rPr>
                  <w:instrText xml:space="preserve"> PAGEREF _Toc171500342 \h </w:instrText>
                </w:r>
                <w:r w:rsidR="002459CF">
                  <w:rPr>
                    <w:noProof/>
                    <w:webHidden/>
                  </w:rPr>
                </w:r>
                <w:r w:rsidR="002459CF">
                  <w:rPr>
                    <w:noProof/>
                    <w:webHidden/>
                  </w:rPr>
                  <w:fldChar w:fldCharType="separate"/>
                </w:r>
                <w:r w:rsidR="002459CF">
                  <w:rPr>
                    <w:noProof/>
                    <w:webHidden/>
                  </w:rPr>
                  <w:t>40</w:t>
                </w:r>
                <w:r w:rsidR="002459CF">
                  <w:rPr>
                    <w:noProof/>
                    <w:webHidden/>
                  </w:rPr>
                  <w:fldChar w:fldCharType="end"/>
                </w:r>
              </w:hyperlink>
            </w:p>
            <w:p w14:paraId="288E4FCD" w14:textId="5CB5B4C0" w:rsidR="002459CF" w:rsidRDefault="00CF16FA">
              <w:pPr>
                <w:pStyle w:val="TOC2"/>
                <w:rPr>
                  <w:rFonts w:cstheme="minorBidi"/>
                  <w:noProof/>
                  <w:kern w:val="2"/>
                  <w:sz w:val="24"/>
                  <w:szCs w:val="24"/>
                  <w:lang w:val="en-AU" w:eastAsia="en-AU"/>
                  <w14:ligatures w14:val="standardContextual"/>
                </w:rPr>
              </w:pPr>
              <w:hyperlink w:anchor="_Toc171500343" w:history="1">
                <w:r w:rsidR="002459CF" w:rsidRPr="00836FE1">
                  <w:rPr>
                    <w:rStyle w:val="Hyperlink"/>
                    <w:noProof/>
                  </w:rPr>
                  <w:t>Foreign investment reaches A$4.7 trillion</w:t>
                </w:r>
                <w:r w:rsidR="002459CF">
                  <w:rPr>
                    <w:noProof/>
                    <w:webHidden/>
                  </w:rPr>
                  <w:tab/>
                </w:r>
                <w:r w:rsidR="002459CF">
                  <w:rPr>
                    <w:noProof/>
                    <w:webHidden/>
                  </w:rPr>
                  <w:fldChar w:fldCharType="begin"/>
                </w:r>
                <w:r w:rsidR="002459CF">
                  <w:rPr>
                    <w:noProof/>
                    <w:webHidden/>
                  </w:rPr>
                  <w:instrText xml:space="preserve"> PAGEREF _Toc171500343 \h </w:instrText>
                </w:r>
                <w:r w:rsidR="002459CF">
                  <w:rPr>
                    <w:noProof/>
                    <w:webHidden/>
                  </w:rPr>
                </w:r>
                <w:r w:rsidR="002459CF">
                  <w:rPr>
                    <w:noProof/>
                    <w:webHidden/>
                  </w:rPr>
                  <w:fldChar w:fldCharType="separate"/>
                </w:r>
                <w:r w:rsidR="002459CF">
                  <w:rPr>
                    <w:noProof/>
                    <w:webHidden/>
                  </w:rPr>
                  <w:t>41</w:t>
                </w:r>
                <w:r w:rsidR="002459CF">
                  <w:rPr>
                    <w:noProof/>
                    <w:webHidden/>
                  </w:rPr>
                  <w:fldChar w:fldCharType="end"/>
                </w:r>
              </w:hyperlink>
            </w:p>
            <w:p w14:paraId="769821A5" w14:textId="477CB8C2" w:rsidR="002459CF" w:rsidRDefault="00CF16FA">
              <w:pPr>
                <w:pStyle w:val="TOC2"/>
                <w:rPr>
                  <w:rFonts w:cstheme="minorBidi"/>
                  <w:noProof/>
                  <w:kern w:val="2"/>
                  <w:sz w:val="24"/>
                  <w:szCs w:val="24"/>
                  <w:lang w:val="en-AU" w:eastAsia="en-AU"/>
                  <w14:ligatures w14:val="standardContextual"/>
                </w:rPr>
              </w:pPr>
              <w:hyperlink w:anchor="_Toc171500344" w:history="1">
                <w:r w:rsidR="002459CF" w:rsidRPr="00836FE1">
                  <w:rPr>
                    <w:rStyle w:val="Hyperlink"/>
                    <w:noProof/>
                  </w:rPr>
                  <w:t>Australia attracts investors from America, Europe and Asia</w:t>
                </w:r>
                <w:r w:rsidR="002459CF">
                  <w:rPr>
                    <w:noProof/>
                    <w:webHidden/>
                  </w:rPr>
                  <w:tab/>
                </w:r>
                <w:r w:rsidR="002459CF">
                  <w:rPr>
                    <w:noProof/>
                    <w:webHidden/>
                  </w:rPr>
                  <w:fldChar w:fldCharType="begin"/>
                </w:r>
                <w:r w:rsidR="002459CF">
                  <w:rPr>
                    <w:noProof/>
                    <w:webHidden/>
                  </w:rPr>
                  <w:instrText xml:space="preserve"> PAGEREF _Toc171500344 \h </w:instrText>
                </w:r>
                <w:r w:rsidR="002459CF">
                  <w:rPr>
                    <w:noProof/>
                    <w:webHidden/>
                  </w:rPr>
                </w:r>
                <w:r w:rsidR="002459CF">
                  <w:rPr>
                    <w:noProof/>
                    <w:webHidden/>
                  </w:rPr>
                  <w:fldChar w:fldCharType="separate"/>
                </w:r>
                <w:r w:rsidR="002459CF">
                  <w:rPr>
                    <w:noProof/>
                    <w:webHidden/>
                  </w:rPr>
                  <w:t>42</w:t>
                </w:r>
                <w:r w:rsidR="002459CF">
                  <w:rPr>
                    <w:noProof/>
                    <w:webHidden/>
                  </w:rPr>
                  <w:fldChar w:fldCharType="end"/>
                </w:r>
              </w:hyperlink>
            </w:p>
            <w:p w14:paraId="454F9D4B" w14:textId="4C5164FE" w:rsidR="002459CF" w:rsidRDefault="00CF16FA">
              <w:pPr>
                <w:pStyle w:val="TOC2"/>
                <w:rPr>
                  <w:rFonts w:cstheme="minorBidi"/>
                  <w:noProof/>
                  <w:kern w:val="2"/>
                  <w:sz w:val="24"/>
                  <w:szCs w:val="24"/>
                  <w:lang w:val="en-AU" w:eastAsia="en-AU"/>
                  <w14:ligatures w14:val="standardContextual"/>
                </w:rPr>
              </w:pPr>
              <w:hyperlink w:anchor="_Toc171500345" w:history="1">
                <w:r w:rsidR="002459CF" w:rsidRPr="00836FE1">
                  <w:rPr>
                    <w:rStyle w:val="Hyperlink"/>
                    <w:noProof/>
                  </w:rPr>
                  <w:t>The trillion-dollar trading nation</w:t>
                </w:r>
                <w:r w:rsidR="002459CF">
                  <w:rPr>
                    <w:noProof/>
                    <w:webHidden/>
                  </w:rPr>
                  <w:tab/>
                </w:r>
                <w:r w:rsidR="002459CF">
                  <w:rPr>
                    <w:noProof/>
                    <w:webHidden/>
                  </w:rPr>
                  <w:fldChar w:fldCharType="begin"/>
                </w:r>
                <w:r w:rsidR="002459CF">
                  <w:rPr>
                    <w:noProof/>
                    <w:webHidden/>
                  </w:rPr>
                  <w:instrText xml:space="preserve"> PAGEREF _Toc171500345 \h </w:instrText>
                </w:r>
                <w:r w:rsidR="002459CF">
                  <w:rPr>
                    <w:noProof/>
                    <w:webHidden/>
                  </w:rPr>
                </w:r>
                <w:r w:rsidR="002459CF">
                  <w:rPr>
                    <w:noProof/>
                    <w:webHidden/>
                  </w:rPr>
                  <w:fldChar w:fldCharType="separate"/>
                </w:r>
                <w:r w:rsidR="002459CF">
                  <w:rPr>
                    <w:noProof/>
                    <w:webHidden/>
                  </w:rPr>
                  <w:t>43</w:t>
                </w:r>
                <w:r w:rsidR="002459CF">
                  <w:rPr>
                    <w:noProof/>
                    <w:webHidden/>
                  </w:rPr>
                  <w:fldChar w:fldCharType="end"/>
                </w:r>
              </w:hyperlink>
            </w:p>
            <w:p w14:paraId="1A5224E2" w14:textId="30F55B2F" w:rsidR="002459CF" w:rsidRDefault="00CF16FA">
              <w:pPr>
                <w:pStyle w:val="TOC2"/>
                <w:rPr>
                  <w:rFonts w:cstheme="minorBidi"/>
                  <w:noProof/>
                  <w:kern w:val="2"/>
                  <w:sz w:val="24"/>
                  <w:szCs w:val="24"/>
                  <w:lang w:val="en-AU" w:eastAsia="en-AU"/>
                  <w14:ligatures w14:val="standardContextual"/>
                </w:rPr>
              </w:pPr>
              <w:hyperlink w:anchor="_Toc171500346" w:history="1">
                <w:r w:rsidR="002459CF" w:rsidRPr="00836FE1">
                  <w:rPr>
                    <w:rStyle w:val="Hyperlink"/>
                    <w:noProof/>
                  </w:rPr>
                  <w:t>An open trading economy for services</w:t>
                </w:r>
                <w:r w:rsidR="002459CF">
                  <w:rPr>
                    <w:noProof/>
                    <w:webHidden/>
                  </w:rPr>
                  <w:tab/>
                </w:r>
                <w:r w:rsidR="002459CF">
                  <w:rPr>
                    <w:noProof/>
                    <w:webHidden/>
                  </w:rPr>
                  <w:fldChar w:fldCharType="begin"/>
                </w:r>
                <w:r w:rsidR="002459CF">
                  <w:rPr>
                    <w:noProof/>
                    <w:webHidden/>
                  </w:rPr>
                  <w:instrText xml:space="preserve"> PAGEREF _Toc171500346 \h </w:instrText>
                </w:r>
                <w:r w:rsidR="002459CF">
                  <w:rPr>
                    <w:noProof/>
                    <w:webHidden/>
                  </w:rPr>
                </w:r>
                <w:r w:rsidR="002459CF">
                  <w:rPr>
                    <w:noProof/>
                    <w:webHidden/>
                  </w:rPr>
                  <w:fldChar w:fldCharType="separate"/>
                </w:r>
                <w:r w:rsidR="002459CF">
                  <w:rPr>
                    <w:noProof/>
                    <w:webHidden/>
                  </w:rPr>
                  <w:t>44</w:t>
                </w:r>
                <w:r w:rsidR="002459CF">
                  <w:rPr>
                    <w:noProof/>
                    <w:webHidden/>
                  </w:rPr>
                  <w:fldChar w:fldCharType="end"/>
                </w:r>
              </w:hyperlink>
            </w:p>
            <w:p w14:paraId="5C5DB563" w14:textId="4C6F4733" w:rsidR="002459CF" w:rsidRDefault="00CF16FA">
              <w:pPr>
                <w:pStyle w:val="TOC2"/>
                <w:rPr>
                  <w:rFonts w:cstheme="minorBidi"/>
                  <w:noProof/>
                  <w:kern w:val="2"/>
                  <w:sz w:val="24"/>
                  <w:szCs w:val="24"/>
                  <w:lang w:val="en-AU" w:eastAsia="en-AU"/>
                  <w14:ligatures w14:val="standardContextual"/>
                </w:rPr>
              </w:pPr>
              <w:hyperlink w:anchor="_Toc171500347" w:history="1">
                <w:r w:rsidR="002459CF" w:rsidRPr="00836FE1">
                  <w:rPr>
                    <w:rStyle w:val="Hyperlink"/>
                    <w:noProof/>
                  </w:rPr>
                  <w:t>Abundant energy and resources</w:t>
                </w:r>
                <w:r w:rsidR="002459CF">
                  <w:rPr>
                    <w:noProof/>
                    <w:webHidden/>
                  </w:rPr>
                  <w:tab/>
                </w:r>
                <w:r w:rsidR="002459CF">
                  <w:rPr>
                    <w:noProof/>
                    <w:webHidden/>
                  </w:rPr>
                  <w:fldChar w:fldCharType="begin"/>
                </w:r>
                <w:r w:rsidR="002459CF">
                  <w:rPr>
                    <w:noProof/>
                    <w:webHidden/>
                  </w:rPr>
                  <w:instrText xml:space="preserve"> PAGEREF _Toc171500347 \h </w:instrText>
                </w:r>
                <w:r w:rsidR="002459CF">
                  <w:rPr>
                    <w:noProof/>
                    <w:webHidden/>
                  </w:rPr>
                </w:r>
                <w:r w:rsidR="002459CF">
                  <w:rPr>
                    <w:noProof/>
                    <w:webHidden/>
                  </w:rPr>
                  <w:fldChar w:fldCharType="separate"/>
                </w:r>
                <w:r w:rsidR="002459CF">
                  <w:rPr>
                    <w:noProof/>
                    <w:webHidden/>
                  </w:rPr>
                  <w:t>45</w:t>
                </w:r>
                <w:r w:rsidR="002459CF">
                  <w:rPr>
                    <w:noProof/>
                    <w:webHidden/>
                  </w:rPr>
                  <w:fldChar w:fldCharType="end"/>
                </w:r>
              </w:hyperlink>
            </w:p>
            <w:p w14:paraId="12047527" w14:textId="396314AD" w:rsidR="002459CF" w:rsidRDefault="00CF16FA">
              <w:pPr>
                <w:pStyle w:val="TOC2"/>
                <w:rPr>
                  <w:rFonts w:cstheme="minorBidi"/>
                  <w:noProof/>
                  <w:kern w:val="2"/>
                  <w:sz w:val="24"/>
                  <w:szCs w:val="24"/>
                  <w:lang w:val="en-AU" w:eastAsia="en-AU"/>
                  <w14:ligatures w14:val="standardContextual"/>
                </w:rPr>
              </w:pPr>
              <w:hyperlink w:anchor="_Toc171500348" w:history="1">
                <w:r w:rsidR="002459CF" w:rsidRPr="00836FE1">
                  <w:rPr>
                    <w:rStyle w:val="Hyperlink"/>
                    <w:noProof/>
                  </w:rPr>
                  <w:t>Agrifood exports grow in global and premium markets</w:t>
                </w:r>
                <w:r w:rsidR="002459CF">
                  <w:rPr>
                    <w:noProof/>
                    <w:webHidden/>
                  </w:rPr>
                  <w:tab/>
                </w:r>
                <w:r w:rsidR="002459CF">
                  <w:rPr>
                    <w:noProof/>
                    <w:webHidden/>
                  </w:rPr>
                  <w:fldChar w:fldCharType="begin"/>
                </w:r>
                <w:r w:rsidR="002459CF">
                  <w:rPr>
                    <w:noProof/>
                    <w:webHidden/>
                  </w:rPr>
                  <w:instrText xml:space="preserve"> PAGEREF _Toc171500348 \h </w:instrText>
                </w:r>
                <w:r w:rsidR="002459CF">
                  <w:rPr>
                    <w:noProof/>
                    <w:webHidden/>
                  </w:rPr>
                </w:r>
                <w:r w:rsidR="002459CF">
                  <w:rPr>
                    <w:noProof/>
                    <w:webHidden/>
                  </w:rPr>
                  <w:fldChar w:fldCharType="separate"/>
                </w:r>
                <w:r w:rsidR="002459CF">
                  <w:rPr>
                    <w:noProof/>
                    <w:webHidden/>
                  </w:rPr>
                  <w:t>46</w:t>
                </w:r>
                <w:r w:rsidR="002459CF">
                  <w:rPr>
                    <w:noProof/>
                    <w:webHidden/>
                  </w:rPr>
                  <w:fldChar w:fldCharType="end"/>
                </w:r>
              </w:hyperlink>
            </w:p>
            <w:p w14:paraId="500F1902" w14:textId="68032F04" w:rsidR="002459CF" w:rsidRDefault="00CF16FA">
              <w:pPr>
                <w:pStyle w:val="TOC2"/>
                <w:rPr>
                  <w:rFonts w:cstheme="minorBidi"/>
                  <w:noProof/>
                  <w:kern w:val="2"/>
                  <w:sz w:val="24"/>
                  <w:szCs w:val="24"/>
                  <w:lang w:val="en-AU" w:eastAsia="en-AU"/>
                  <w14:ligatures w14:val="standardContextual"/>
                </w:rPr>
              </w:pPr>
              <w:hyperlink w:anchor="_Toc171500349" w:history="1">
                <w:r w:rsidR="002459CF" w:rsidRPr="00836FE1">
                  <w:rPr>
                    <w:rStyle w:val="Hyperlink"/>
                    <w:noProof/>
                  </w:rPr>
                  <w:t>A growth market for international travellers</w:t>
                </w:r>
                <w:r w:rsidR="002459CF">
                  <w:rPr>
                    <w:noProof/>
                    <w:webHidden/>
                  </w:rPr>
                  <w:tab/>
                </w:r>
                <w:r w:rsidR="002459CF">
                  <w:rPr>
                    <w:noProof/>
                    <w:webHidden/>
                  </w:rPr>
                  <w:fldChar w:fldCharType="begin"/>
                </w:r>
                <w:r w:rsidR="002459CF">
                  <w:rPr>
                    <w:noProof/>
                    <w:webHidden/>
                  </w:rPr>
                  <w:instrText xml:space="preserve"> PAGEREF _Toc171500349 \h </w:instrText>
                </w:r>
                <w:r w:rsidR="002459CF">
                  <w:rPr>
                    <w:noProof/>
                    <w:webHidden/>
                  </w:rPr>
                </w:r>
                <w:r w:rsidR="002459CF">
                  <w:rPr>
                    <w:noProof/>
                    <w:webHidden/>
                  </w:rPr>
                  <w:fldChar w:fldCharType="separate"/>
                </w:r>
                <w:r w:rsidR="002459CF">
                  <w:rPr>
                    <w:noProof/>
                    <w:webHidden/>
                  </w:rPr>
                  <w:t>47</w:t>
                </w:r>
                <w:r w:rsidR="002459CF">
                  <w:rPr>
                    <w:noProof/>
                    <w:webHidden/>
                  </w:rPr>
                  <w:fldChar w:fldCharType="end"/>
                </w:r>
              </w:hyperlink>
            </w:p>
            <w:p w14:paraId="6E3F3246" w14:textId="2B7FC57B" w:rsidR="002459CF" w:rsidRDefault="00CF16FA">
              <w:pPr>
                <w:pStyle w:val="TOC1"/>
                <w:rPr>
                  <w:rFonts w:eastAsiaTheme="minorEastAsia"/>
                  <w:noProof/>
                  <w:kern w:val="2"/>
                  <w:sz w:val="24"/>
                  <w:szCs w:val="24"/>
                  <w:lang w:eastAsia="en-AU"/>
                  <w14:ligatures w14:val="standardContextual"/>
                </w:rPr>
              </w:pPr>
              <w:hyperlink w:anchor="_Toc171500350" w:history="1">
                <w:r w:rsidR="002459CF" w:rsidRPr="00836FE1">
                  <w:rPr>
                    <w:rStyle w:val="Hyperlink"/>
                    <w:noProof/>
                  </w:rPr>
                  <w:t>Chapter 5 – High quality of life</w:t>
                </w:r>
                <w:r w:rsidR="002459CF">
                  <w:rPr>
                    <w:noProof/>
                    <w:webHidden/>
                  </w:rPr>
                  <w:tab/>
                </w:r>
                <w:r w:rsidR="002459CF">
                  <w:rPr>
                    <w:noProof/>
                    <w:webHidden/>
                  </w:rPr>
                  <w:fldChar w:fldCharType="begin"/>
                </w:r>
                <w:r w:rsidR="002459CF">
                  <w:rPr>
                    <w:noProof/>
                    <w:webHidden/>
                  </w:rPr>
                  <w:instrText xml:space="preserve"> PAGEREF _Toc171500350 \h </w:instrText>
                </w:r>
                <w:r w:rsidR="002459CF">
                  <w:rPr>
                    <w:noProof/>
                    <w:webHidden/>
                  </w:rPr>
                </w:r>
                <w:r w:rsidR="002459CF">
                  <w:rPr>
                    <w:noProof/>
                    <w:webHidden/>
                  </w:rPr>
                  <w:fldChar w:fldCharType="separate"/>
                </w:r>
                <w:r w:rsidR="002459CF">
                  <w:rPr>
                    <w:noProof/>
                    <w:webHidden/>
                  </w:rPr>
                  <w:t>48</w:t>
                </w:r>
                <w:r w:rsidR="002459CF">
                  <w:rPr>
                    <w:noProof/>
                    <w:webHidden/>
                  </w:rPr>
                  <w:fldChar w:fldCharType="end"/>
                </w:r>
              </w:hyperlink>
            </w:p>
            <w:p w14:paraId="09788B63" w14:textId="56F033A1" w:rsidR="002459CF" w:rsidRDefault="00CF16FA">
              <w:pPr>
                <w:pStyle w:val="TOC2"/>
                <w:rPr>
                  <w:rFonts w:cstheme="minorBidi"/>
                  <w:noProof/>
                  <w:kern w:val="2"/>
                  <w:sz w:val="24"/>
                  <w:szCs w:val="24"/>
                  <w:lang w:val="en-AU" w:eastAsia="en-AU"/>
                  <w14:ligatures w14:val="standardContextual"/>
                </w:rPr>
              </w:pPr>
              <w:hyperlink w:anchor="_Toc171500351" w:history="1">
                <w:r w:rsidR="002459CF" w:rsidRPr="00836FE1">
                  <w:rPr>
                    <w:rStyle w:val="Hyperlink"/>
                    <w:noProof/>
                  </w:rPr>
                  <w:t>An attractive place to live and work</w:t>
                </w:r>
                <w:r w:rsidR="002459CF">
                  <w:rPr>
                    <w:noProof/>
                    <w:webHidden/>
                  </w:rPr>
                  <w:tab/>
                </w:r>
                <w:r w:rsidR="002459CF">
                  <w:rPr>
                    <w:noProof/>
                    <w:webHidden/>
                  </w:rPr>
                  <w:fldChar w:fldCharType="begin"/>
                </w:r>
                <w:r w:rsidR="002459CF">
                  <w:rPr>
                    <w:noProof/>
                    <w:webHidden/>
                  </w:rPr>
                  <w:instrText xml:space="preserve"> PAGEREF _Toc171500351 \h </w:instrText>
                </w:r>
                <w:r w:rsidR="002459CF">
                  <w:rPr>
                    <w:noProof/>
                    <w:webHidden/>
                  </w:rPr>
                </w:r>
                <w:r w:rsidR="002459CF">
                  <w:rPr>
                    <w:noProof/>
                    <w:webHidden/>
                  </w:rPr>
                  <w:fldChar w:fldCharType="separate"/>
                </w:r>
                <w:r w:rsidR="002459CF">
                  <w:rPr>
                    <w:noProof/>
                    <w:webHidden/>
                  </w:rPr>
                  <w:t>48</w:t>
                </w:r>
                <w:r w:rsidR="002459CF">
                  <w:rPr>
                    <w:noProof/>
                    <w:webHidden/>
                  </w:rPr>
                  <w:fldChar w:fldCharType="end"/>
                </w:r>
              </w:hyperlink>
            </w:p>
            <w:p w14:paraId="7088146D" w14:textId="42336F87" w:rsidR="002459CF" w:rsidRDefault="00CF16FA">
              <w:pPr>
                <w:pStyle w:val="TOC2"/>
                <w:rPr>
                  <w:rFonts w:cstheme="minorBidi"/>
                  <w:noProof/>
                  <w:kern w:val="2"/>
                  <w:sz w:val="24"/>
                  <w:szCs w:val="24"/>
                  <w:lang w:val="en-AU" w:eastAsia="en-AU"/>
                  <w14:ligatures w14:val="standardContextual"/>
                </w:rPr>
              </w:pPr>
              <w:hyperlink w:anchor="_Toc171500352" w:history="1">
                <w:r w:rsidR="002459CF" w:rsidRPr="00836FE1">
                  <w:rPr>
                    <w:rStyle w:val="Hyperlink"/>
                    <w:noProof/>
                  </w:rPr>
                  <w:t>Top marks for talent attraction</w:t>
                </w:r>
                <w:r w:rsidR="002459CF">
                  <w:rPr>
                    <w:noProof/>
                    <w:webHidden/>
                  </w:rPr>
                  <w:tab/>
                </w:r>
                <w:r w:rsidR="002459CF">
                  <w:rPr>
                    <w:noProof/>
                    <w:webHidden/>
                  </w:rPr>
                  <w:fldChar w:fldCharType="begin"/>
                </w:r>
                <w:r w:rsidR="002459CF">
                  <w:rPr>
                    <w:noProof/>
                    <w:webHidden/>
                  </w:rPr>
                  <w:instrText xml:space="preserve"> PAGEREF _Toc171500352 \h </w:instrText>
                </w:r>
                <w:r w:rsidR="002459CF">
                  <w:rPr>
                    <w:noProof/>
                    <w:webHidden/>
                  </w:rPr>
                </w:r>
                <w:r w:rsidR="002459CF">
                  <w:rPr>
                    <w:noProof/>
                    <w:webHidden/>
                  </w:rPr>
                  <w:fldChar w:fldCharType="separate"/>
                </w:r>
                <w:r w:rsidR="002459CF">
                  <w:rPr>
                    <w:noProof/>
                    <w:webHidden/>
                  </w:rPr>
                  <w:t>49</w:t>
                </w:r>
                <w:r w:rsidR="002459CF">
                  <w:rPr>
                    <w:noProof/>
                    <w:webHidden/>
                  </w:rPr>
                  <w:fldChar w:fldCharType="end"/>
                </w:r>
              </w:hyperlink>
            </w:p>
            <w:p w14:paraId="2F849408" w14:textId="2A0924B6" w:rsidR="002459CF" w:rsidRDefault="00CF16FA">
              <w:pPr>
                <w:pStyle w:val="TOC2"/>
                <w:rPr>
                  <w:rFonts w:cstheme="minorBidi"/>
                  <w:noProof/>
                  <w:kern w:val="2"/>
                  <w:sz w:val="24"/>
                  <w:szCs w:val="24"/>
                  <w:lang w:val="en-AU" w:eastAsia="en-AU"/>
                  <w14:ligatures w14:val="standardContextual"/>
                </w:rPr>
              </w:pPr>
              <w:hyperlink w:anchor="_Toc171500353" w:history="1">
                <w:r w:rsidR="002459CF" w:rsidRPr="00836FE1">
                  <w:rPr>
                    <w:rStyle w:val="Hyperlink"/>
                    <w:noProof/>
                  </w:rPr>
                  <w:t>Australia's dynamic cities</w:t>
                </w:r>
                <w:r w:rsidR="002459CF">
                  <w:rPr>
                    <w:noProof/>
                    <w:webHidden/>
                  </w:rPr>
                  <w:tab/>
                </w:r>
                <w:r w:rsidR="002459CF">
                  <w:rPr>
                    <w:noProof/>
                    <w:webHidden/>
                  </w:rPr>
                  <w:fldChar w:fldCharType="begin"/>
                </w:r>
                <w:r w:rsidR="002459CF">
                  <w:rPr>
                    <w:noProof/>
                    <w:webHidden/>
                  </w:rPr>
                  <w:instrText xml:space="preserve"> PAGEREF _Toc171500353 \h </w:instrText>
                </w:r>
                <w:r w:rsidR="002459CF">
                  <w:rPr>
                    <w:noProof/>
                    <w:webHidden/>
                  </w:rPr>
                </w:r>
                <w:r w:rsidR="002459CF">
                  <w:rPr>
                    <w:noProof/>
                    <w:webHidden/>
                  </w:rPr>
                  <w:fldChar w:fldCharType="separate"/>
                </w:r>
                <w:r w:rsidR="002459CF">
                  <w:rPr>
                    <w:noProof/>
                    <w:webHidden/>
                  </w:rPr>
                  <w:t>50</w:t>
                </w:r>
                <w:r w:rsidR="002459CF">
                  <w:rPr>
                    <w:noProof/>
                    <w:webHidden/>
                  </w:rPr>
                  <w:fldChar w:fldCharType="end"/>
                </w:r>
              </w:hyperlink>
            </w:p>
            <w:p w14:paraId="0C2FC942" w14:textId="01C1FF23" w:rsidR="002459CF" w:rsidRDefault="00CF16FA">
              <w:pPr>
                <w:pStyle w:val="TOC2"/>
                <w:rPr>
                  <w:rFonts w:cstheme="minorBidi"/>
                  <w:noProof/>
                  <w:kern w:val="2"/>
                  <w:sz w:val="24"/>
                  <w:szCs w:val="24"/>
                  <w:lang w:val="en-AU" w:eastAsia="en-AU"/>
                  <w14:ligatures w14:val="standardContextual"/>
                </w:rPr>
              </w:pPr>
              <w:hyperlink w:anchor="_Toc171500354" w:history="1">
                <w:r w:rsidR="002459CF" w:rsidRPr="00836FE1">
                  <w:rPr>
                    <w:rStyle w:val="Hyperlink"/>
                    <w:noProof/>
                  </w:rPr>
                  <w:t>A nation of high-income households</w:t>
                </w:r>
                <w:r w:rsidR="002459CF">
                  <w:rPr>
                    <w:noProof/>
                    <w:webHidden/>
                  </w:rPr>
                  <w:tab/>
                </w:r>
                <w:r w:rsidR="002459CF">
                  <w:rPr>
                    <w:noProof/>
                    <w:webHidden/>
                  </w:rPr>
                  <w:fldChar w:fldCharType="begin"/>
                </w:r>
                <w:r w:rsidR="002459CF">
                  <w:rPr>
                    <w:noProof/>
                    <w:webHidden/>
                  </w:rPr>
                  <w:instrText xml:space="preserve"> PAGEREF _Toc171500354 \h </w:instrText>
                </w:r>
                <w:r w:rsidR="002459CF">
                  <w:rPr>
                    <w:noProof/>
                    <w:webHidden/>
                  </w:rPr>
                </w:r>
                <w:r w:rsidR="002459CF">
                  <w:rPr>
                    <w:noProof/>
                    <w:webHidden/>
                  </w:rPr>
                  <w:fldChar w:fldCharType="separate"/>
                </w:r>
                <w:r w:rsidR="002459CF">
                  <w:rPr>
                    <w:noProof/>
                    <w:webHidden/>
                  </w:rPr>
                  <w:t>51</w:t>
                </w:r>
                <w:r w:rsidR="002459CF">
                  <w:rPr>
                    <w:noProof/>
                    <w:webHidden/>
                  </w:rPr>
                  <w:fldChar w:fldCharType="end"/>
                </w:r>
              </w:hyperlink>
            </w:p>
            <w:p w14:paraId="20488DFE" w14:textId="76CF0CD1" w:rsidR="002459CF" w:rsidRDefault="00CF16FA">
              <w:pPr>
                <w:pStyle w:val="TOC2"/>
                <w:rPr>
                  <w:rFonts w:cstheme="minorBidi"/>
                  <w:noProof/>
                  <w:kern w:val="2"/>
                  <w:sz w:val="24"/>
                  <w:szCs w:val="24"/>
                  <w:lang w:val="en-AU" w:eastAsia="en-AU"/>
                  <w14:ligatures w14:val="standardContextual"/>
                </w:rPr>
              </w:pPr>
              <w:hyperlink w:anchor="_Toc171500355" w:history="1">
                <w:r w:rsidR="002459CF" w:rsidRPr="00836FE1">
                  <w:rPr>
                    <w:rStyle w:val="Hyperlink"/>
                    <w:noProof/>
                  </w:rPr>
                  <w:t>No worries, we’re happy!</w:t>
                </w:r>
                <w:r w:rsidR="002459CF">
                  <w:rPr>
                    <w:noProof/>
                    <w:webHidden/>
                  </w:rPr>
                  <w:tab/>
                </w:r>
                <w:r w:rsidR="002459CF">
                  <w:rPr>
                    <w:noProof/>
                    <w:webHidden/>
                  </w:rPr>
                  <w:fldChar w:fldCharType="begin"/>
                </w:r>
                <w:r w:rsidR="002459CF">
                  <w:rPr>
                    <w:noProof/>
                    <w:webHidden/>
                  </w:rPr>
                  <w:instrText xml:space="preserve"> PAGEREF _Toc171500355 \h </w:instrText>
                </w:r>
                <w:r w:rsidR="002459CF">
                  <w:rPr>
                    <w:noProof/>
                    <w:webHidden/>
                  </w:rPr>
                </w:r>
                <w:r w:rsidR="002459CF">
                  <w:rPr>
                    <w:noProof/>
                    <w:webHidden/>
                  </w:rPr>
                  <w:fldChar w:fldCharType="separate"/>
                </w:r>
                <w:r w:rsidR="002459CF">
                  <w:rPr>
                    <w:noProof/>
                    <w:webHidden/>
                  </w:rPr>
                  <w:t>52</w:t>
                </w:r>
                <w:r w:rsidR="002459CF">
                  <w:rPr>
                    <w:noProof/>
                    <w:webHidden/>
                  </w:rPr>
                  <w:fldChar w:fldCharType="end"/>
                </w:r>
              </w:hyperlink>
            </w:p>
            <w:p w14:paraId="1A7C18C6" w14:textId="0CCC6A76" w:rsidR="002459CF" w:rsidRDefault="00CF16FA">
              <w:pPr>
                <w:pStyle w:val="TOC2"/>
                <w:rPr>
                  <w:rFonts w:cstheme="minorBidi"/>
                  <w:noProof/>
                  <w:kern w:val="2"/>
                  <w:sz w:val="24"/>
                  <w:szCs w:val="24"/>
                  <w:lang w:val="en-AU" w:eastAsia="en-AU"/>
                  <w14:ligatures w14:val="standardContextual"/>
                </w:rPr>
              </w:pPr>
              <w:hyperlink w:anchor="_Toc171500356" w:history="1">
                <w:r w:rsidR="002459CF" w:rsidRPr="00836FE1">
                  <w:rPr>
                    <w:rStyle w:val="Hyperlink"/>
                    <w:noProof/>
                  </w:rPr>
                  <w:t>Strong commitment to a superb healthcare system</w:t>
                </w:r>
                <w:r w:rsidR="002459CF">
                  <w:rPr>
                    <w:noProof/>
                    <w:webHidden/>
                  </w:rPr>
                  <w:tab/>
                </w:r>
                <w:r w:rsidR="002459CF">
                  <w:rPr>
                    <w:noProof/>
                    <w:webHidden/>
                  </w:rPr>
                  <w:fldChar w:fldCharType="begin"/>
                </w:r>
                <w:r w:rsidR="002459CF">
                  <w:rPr>
                    <w:noProof/>
                    <w:webHidden/>
                  </w:rPr>
                  <w:instrText xml:space="preserve"> PAGEREF _Toc171500356 \h </w:instrText>
                </w:r>
                <w:r w:rsidR="002459CF">
                  <w:rPr>
                    <w:noProof/>
                    <w:webHidden/>
                  </w:rPr>
                </w:r>
                <w:r w:rsidR="002459CF">
                  <w:rPr>
                    <w:noProof/>
                    <w:webHidden/>
                  </w:rPr>
                  <w:fldChar w:fldCharType="separate"/>
                </w:r>
                <w:r w:rsidR="002459CF">
                  <w:rPr>
                    <w:noProof/>
                    <w:webHidden/>
                  </w:rPr>
                  <w:t>53</w:t>
                </w:r>
                <w:r w:rsidR="002459CF">
                  <w:rPr>
                    <w:noProof/>
                    <w:webHidden/>
                  </w:rPr>
                  <w:fldChar w:fldCharType="end"/>
                </w:r>
              </w:hyperlink>
            </w:p>
            <w:p w14:paraId="6CBAF0BE" w14:textId="25CF330E" w:rsidR="00921460" w:rsidRPr="002322B7" w:rsidRDefault="00145000" w:rsidP="00236949">
              <w:pPr>
                <w:pStyle w:val="TOC1"/>
              </w:pPr>
              <w:r w:rsidRPr="002322B7">
                <w:fldChar w:fldCharType="end"/>
              </w:r>
            </w:p>
          </w:sdtContent>
        </w:sdt>
        <w:p w14:paraId="2C0B9128" w14:textId="77777777" w:rsidR="004A2629" w:rsidRPr="002322B7" w:rsidRDefault="004A2629" w:rsidP="00257319">
          <w:pPr>
            <w:spacing w:before="0" w:after="160" w:line="259" w:lineRule="auto"/>
          </w:pPr>
          <w:r w:rsidRPr="002322B7">
            <w:br w:type="page"/>
          </w:r>
        </w:p>
        <w:p w14:paraId="10AB9ECE" w14:textId="77777777" w:rsidR="004A2629" w:rsidRPr="002322B7" w:rsidRDefault="004A2629" w:rsidP="00257319">
          <w:r w:rsidRPr="002322B7">
            <w:lastRenderedPageBreak/>
            <w:t>Table of figures</w:t>
          </w:r>
        </w:p>
        <w:p w14:paraId="37D52EA2" w14:textId="7B91A036" w:rsidR="002459CF" w:rsidRDefault="004A2629">
          <w:pPr>
            <w:pStyle w:val="TableofFigures"/>
            <w:tabs>
              <w:tab w:val="right" w:leader="dot" w:pos="9968"/>
            </w:tabs>
            <w:rPr>
              <w:rFonts w:eastAsiaTheme="minorEastAsia"/>
              <w:noProof/>
              <w:kern w:val="2"/>
              <w:sz w:val="24"/>
              <w:szCs w:val="24"/>
              <w:lang w:eastAsia="en-AU"/>
              <w14:ligatures w14:val="standardContextual"/>
            </w:rPr>
          </w:pPr>
          <w:r w:rsidRPr="002322B7">
            <w:fldChar w:fldCharType="begin"/>
          </w:r>
          <w:r w:rsidRPr="002322B7">
            <w:instrText xml:space="preserve"> TOC \h \z \c "Figure" </w:instrText>
          </w:r>
          <w:r w:rsidRPr="002322B7">
            <w:fldChar w:fldCharType="separate"/>
          </w:r>
          <w:hyperlink w:anchor="_Toc171500357" w:history="1">
            <w:r w:rsidR="002459CF" w:rsidRPr="00072F18">
              <w:rPr>
                <w:rStyle w:val="Hyperlink"/>
                <w:noProof/>
              </w:rPr>
              <w:t>Figure 1 - World’s largest economies in 2023</w:t>
            </w:r>
            <w:r w:rsidR="002459CF">
              <w:rPr>
                <w:noProof/>
                <w:webHidden/>
              </w:rPr>
              <w:tab/>
            </w:r>
            <w:r w:rsidR="002459CF">
              <w:rPr>
                <w:noProof/>
                <w:webHidden/>
              </w:rPr>
              <w:fldChar w:fldCharType="begin"/>
            </w:r>
            <w:r w:rsidR="002459CF">
              <w:rPr>
                <w:noProof/>
                <w:webHidden/>
              </w:rPr>
              <w:instrText xml:space="preserve"> PAGEREF _Toc171500357 \h </w:instrText>
            </w:r>
            <w:r w:rsidR="002459CF">
              <w:rPr>
                <w:noProof/>
                <w:webHidden/>
              </w:rPr>
            </w:r>
            <w:r w:rsidR="002459CF">
              <w:rPr>
                <w:noProof/>
                <w:webHidden/>
              </w:rPr>
              <w:fldChar w:fldCharType="separate"/>
            </w:r>
            <w:r w:rsidR="002459CF">
              <w:rPr>
                <w:noProof/>
                <w:webHidden/>
              </w:rPr>
              <w:t>7</w:t>
            </w:r>
            <w:r w:rsidR="002459CF">
              <w:rPr>
                <w:noProof/>
                <w:webHidden/>
              </w:rPr>
              <w:fldChar w:fldCharType="end"/>
            </w:r>
          </w:hyperlink>
        </w:p>
        <w:p w14:paraId="086ABE91" w14:textId="4224762A"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58" w:history="1">
            <w:r w:rsidR="002459CF" w:rsidRPr="00072F18">
              <w:rPr>
                <w:rStyle w:val="Hyperlink"/>
                <w:noProof/>
              </w:rPr>
              <w:t>Figure 2 - Change in real GDP¹, selected economies</w:t>
            </w:r>
            <w:r w:rsidR="002459CF">
              <w:rPr>
                <w:noProof/>
                <w:webHidden/>
              </w:rPr>
              <w:tab/>
            </w:r>
            <w:r w:rsidR="002459CF">
              <w:rPr>
                <w:noProof/>
                <w:webHidden/>
              </w:rPr>
              <w:fldChar w:fldCharType="begin"/>
            </w:r>
            <w:r w:rsidR="002459CF">
              <w:rPr>
                <w:noProof/>
                <w:webHidden/>
              </w:rPr>
              <w:instrText xml:space="preserve"> PAGEREF _Toc171500358 \h </w:instrText>
            </w:r>
            <w:r w:rsidR="002459CF">
              <w:rPr>
                <w:noProof/>
                <w:webHidden/>
              </w:rPr>
            </w:r>
            <w:r w:rsidR="002459CF">
              <w:rPr>
                <w:noProof/>
                <w:webHidden/>
              </w:rPr>
              <w:fldChar w:fldCharType="separate"/>
            </w:r>
            <w:r w:rsidR="002459CF">
              <w:rPr>
                <w:noProof/>
                <w:webHidden/>
              </w:rPr>
              <w:t>8</w:t>
            </w:r>
            <w:r w:rsidR="002459CF">
              <w:rPr>
                <w:noProof/>
                <w:webHidden/>
              </w:rPr>
              <w:fldChar w:fldCharType="end"/>
            </w:r>
          </w:hyperlink>
        </w:p>
        <w:p w14:paraId="021D7F9F" w14:textId="0335B1A3"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59" w:history="1">
            <w:r w:rsidR="002459CF" w:rsidRPr="00072F18">
              <w:rPr>
                <w:rStyle w:val="Hyperlink"/>
                <w:noProof/>
              </w:rPr>
              <w:t>Figure 3 – Tax revenue as a percentage of GDP by economy</w:t>
            </w:r>
            <w:r w:rsidR="002459CF">
              <w:rPr>
                <w:noProof/>
                <w:webHidden/>
              </w:rPr>
              <w:tab/>
            </w:r>
            <w:r w:rsidR="002459CF">
              <w:rPr>
                <w:noProof/>
                <w:webHidden/>
              </w:rPr>
              <w:fldChar w:fldCharType="begin"/>
            </w:r>
            <w:r w:rsidR="002459CF">
              <w:rPr>
                <w:noProof/>
                <w:webHidden/>
              </w:rPr>
              <w:instrText xml:space="preserve"> PAGEREF _Toc171500359 \h </w:instrText>
            </w:r>
            <w:r w:rsidR="002459CF">
              <w:rPr>
                <w:noProof/>
                <w:webHidden/>
              </w:rPr>
            </w:r>
            <w:r w:rsidR="002459CF">
              <w:rPr>
                <w:noProof/>
                <w:webHidden/>
              </w:rPr>
              <w:fldChar w:fldCharType="separate"/>
            </w:r>
            <w:r w:rsidR="002459CF">
              <w:rPr>
                <w:noProof/>
                <w:webHidden/>
              </w:rPr>
              <w:t>9</w:t>
            </w:r>
            <w:r w:rsidR="002459CF">
              <w:rPr>
                <w:noProof/>
                <w:webHidden/>
              </w:rPr>
              <w:fldChar w:fldCharType="end"/>
            </w:r>
          </w:hyperlink>
        </w:p>
        <w:p w14:paraId="40B59A0E" w14:textId="6714D16D"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0" w:history="1">
            <w:r w:rsidR="002459CF" w:rsidRPr="00072F18">
              <w:rPr>
                <w:rStyle w:val="Hyperlink"/>
                <w:noProof/>
              </w:rPr>
              <w:t>Figure 4 – Global rankings of Australia’s governance</w:t>
            </w:r>
            <w:r w:rsidR="002459CF">
              <w:rPr>
                <w:noProof/>
                <w:webHidden/>
              </w:rPr>
              <w:tab/>
            </w:r>
            <w:r w:rsidR="002459CF">
              <w:rPr>
                <w:noProof/>
                <w:webHidden/>
              </w:rPr>
              <w:fldChar w:fldCharType="begin"/>
            </w:r>
            <w:r w:rsidR="002459CF">
              <w:rPr>
                <w:noProof/>
                <w:webHidden/>
              </w:rPr>
              <w:instrText xml:space="preserve"> PAGEREF _Toc171500360 \h </w:instrText>
            </w:r>
            <w:r w:rsidR="002459CF">
              <w:rPr>
                <w:noProof/>
                <w:webHidden/>
              </w:rPr>
            </w:r>
            <w:r w:rsidR="002459CF">
              <w:rPr>
                <w:noProof/>
                <w:webHidden/>
              </w:rPr>
              <w:fldChar w:fldCharType="separate"/>
            </w:r>
            <w:r w:rsidR="002459CF">
              <w:rPr>
                <w:noProof/>
                <w:webHidden/>
              </w:rPr>
              <w:t>10</w:t>
            </w:r>
            <w:r w:rsidR="002459CF">
              <w:rPr>
                <w:noProof/>
                <w:webHidden/>
              </w:rPr>
              <w:fldChar w:fldCharType="end"/>
            </w:r>
          </w:hyperlink>
        </w:p>
        <w:p w14:paraId="11E3D3C6" w14:textId="72CF11E6"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1" w:history="1">
            <w:r w:rsidR="002459CF" w:rsidRPr="00072F18">
              <w:rPr>
                <w:rStyle w:val="Hyperlink"/>
                <w:noProof/>
              </w:rPr>
              <w:t>Figure 5 – Business efficiency and environment, 2024</w:t>
            </w:r>
            <w:r w:rsidR="002459CF">
              <w:rPr>
                <w:noProof/>
                <w:webHidden/>
              </w:rPr>
              <w:tab/>
            </w:r>
            <w:r w:rsidR="002459CF">
              <w:rPr>
                <w:noProof/>
                <w:webHidden/>
              </w:rPr>
              <w:fldChar w:fldCharType="begin"/>
            </w:r>
            <w:r w:rsidR="002459CF">
              <w:rPr>
                <w:noProof/>
                <w:webHidden/>
              </w:rPr>
              <w:instrText xml:space="preserve"> PAGEREF _Toc171500361 \h </w:instrText>
            </w:r>
            <w:r w:rsidR="002459CF">
              <w:rPr>
                <w:noProof/>
                <w:webHidden/>
              </w:rPr>
            </w:r>
            <w:r w:rsidR="002459CF">
              <w:rPr>
                <w:noProof/>
                <w:webHidden/>
              </w:rPr>
              <w:fldChar w:fldCharType="separate"/>
            </w:r>
            <w:r w:rsidR="002459CF">
              <w:rPr>
                <w:noProof/>
                <w:webHidden/>
              </w:rPr>
              <w:t>11</w:t>
            </w:r>
            <w:r w:rsidR="002459CF">
              <w:rPr>
                <w:noProof/>
                <w:webHidden/>
              </w:rPr>
              <w:fldChar w:fldCharType="end"/>
            </w:r>
          </w:hyperlink>
        </w:p>
        <w:p w14:paraId="6C3FFE63" w14:textId="446F136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2" w:history="1">
            <w:r w:rsidR="002459CF" w:rsidRPr="00072F18">
              <w:rPr>
                <w:rStyle w:val="Hyperlink"/>
                <w:noProof/>
              </w:rPr>
              <w:t>Figure 6 – Global significance of Australia’s financial markets</w:t>
            </w:r>
            <w:r w:rsidR="002459CF">
              <w:rPr>
                <w:noProof/>
                <w:webHidden/>
              </w:rPr>
              <w:tab/>
            </w:r>
            <w:r w:rsidR="002459CF">
              <w:rPr>
                <w:noProof/>
                <w:webHidden/>
              </w:rPr>
              <w:fldChar w:fldCharType="begin"/>
            </w:r>
            <w:r w:rsidR="002459CF">
              <w:rPr>
                <w:noProof/>
                <w:webHidden/>
              </w:rPr>
              <w:instrText xml:space="preserve"> PAGEREF _Toc171500362 \h </w:instrText>
            </w:r>
            <w:r w:rsidR="002459CF">
              <w:rPr>
                <w:noProof/>
                <w:webHidden/>
              </w:rPr>
            </w:r>
            <w:r w:rsidR="002459CF">
              <w:rPr>
                <w:noProof/>
                <w:webHidden/>
              </w:rPr>
              <w:fldChar w:fldCharType="separate"/>
            </w:r>
            <w:r w:rsidR="002459CF">
              <w:rPr>
                <w:noProof/>
                <w:webHidden/>
              </w:rPr>
              <w:t>12</w:t>
            </w:r>
            <w:r w:rsidR="002459CF">
              <w:rPr>
                <w:noProof/>
                <w:webHidden/>
              </w:rPr>
              <w:fldChar w:fldCharType="end"/>
            </w:r>
          </w:hyperlink>
        </w:p>
        <w:p w14:paraId="6E0F034A" w14:textId="41792F8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3" w:history="1">
            <w:r w:rsidR="002459CF" w:rsidRPr="00072F18">
              <w:rPr>
                <w:rStyle w:val="Hyperlink"/>
                <w:noProof/>
              </w:rPr>
              <w:t>Figure 7 – Global pension fund assets, 2023</w:t>
            </w:r>
            <w:r w:rsidR="002459CF">
              <w:rPr>
                <w:noProof/>
                <w:webHidden/>
              </w:rPr>
              <w:tab/>
            </w:r>
            <w:r w:rsidR="002459CF">
              <w:rPr>
                <w:noProof/>
                <w:webHidden/>
              </w:rPr>
              <w:fldChar w:fldCharType="begin"/>
            </w:r>
            <w:r w:rsidR="002459CF">
              <w:rPr>
                <w:noProof/>
                <w:webHidden/>
              </w:rPr>
              <w:instrText xml:space="preserve"> PAGEREF _Toc171500363 \h </w:instrText>
            </w:r>
            <w:r w:rsidR="002459CF">
              <w:rPr>
                <w:noProof/>
                <w:webHidden/>
              </w:rPr>
            </w:r>
            <w:r w:rsidR="002459CF">
              <w:rPr>
                <w:noProof/>
                <w:webHidden/>
              </w:rPr>
              <w:fldChar w:fldCharType="separate"/>
            </w:r>
            <w:r w:rsidR="002459CF">
              <w:rPr>
                <w:noProof/>
                <w:webHidden/>
              </w:rPr>
              <w:t>13</w:t>
            </w:r>
            <w:r w:rsidR="002459CF">
              <w:rPr>
                <w:noProof/>
                <w:webHidden/>
              </w:rPr>
              <w:fldChar w:fldCharType="end"/>
            </w:r>
          </w:hyperlink>
        </w:p>
        <w:p w14:paraId="50FE1A4E" w14:textId="4EBF695D"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4" w:history="1">
            <w:r w:rsidR="002459CF" w:rsidRPr="00072F18">
              <w:rPr>
                <w:rStyle w:val="Hyperlink"/>
                <w:noProof/>
              </w:rPr>
              <w:t>Figure 8 – Cashless payments by country</w:t>
            </w:r>
            <w:r w:rsidR="002459CF">
              <w:rPr>
                <w:noProof/>
                <w:webHidden/>
              </w:rPr>
              <w:tab/>
            </w:r>
            <w:r w:rsidR="002459CF">
              <w:rPr>
                <w:noProof/>
                <w:webHidden/>
              </w:rPr>
              <w:fldChar w:fldCharType="begin"/>
            </w:r>
            <w:r w:rsidR="002459CF">
              <w:rPr>
                <w:noProof/>
                <w:webHidden/>
              </w:rPr>
              <w:instrText xml:space="preserve"> PAGEREF _Toc171500364 \h </w:instrText>
            </w:r>
            <w:r w:rsidR="002459CF">
              <w:rPr>
                <w:noProof/>
                <w:webHidden/>
              </w:rPr>
            </w:r>
            <w:r w:rsidR="002459CF">
              <w:rPr>
                <w:noProof/>
                <w:webHidden/>
              </w:rPr>
              <w:fldChar w:fldCharType="separate"/>
            </w:r>
            <w:r w:rsidR="002459CF">
              <w:rPr>
                <w:noProof/>
                <w:webHidden/>
              </w:rPr>
              <w:t>14</w:t>
            </w:r>
            <w:r w:rsidR="002459CF">
              <w:rPr>
                <w:noProof/>
                <w:webHidden/>
              </w:rPr>
              <w:fldChar w:fldCharType="end"/>
            </w:r>
          </w:hyperlink>
        </w:p>
        <w:p w14:paraId="3F43F5E2" w14:textId="292C2DB2"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5" w:history="1">
            <w:r w:rsidR="002459CF" w:rsidRPr="00072F18">
              <w:rPr>
                <w:rStyle w:val="Hyperlink"/>
                <w:noProof/>
              </w:rPr>
              <w:t>Figure 9 – Australia’s renewable energy credentials</w:t>
            </w:r>
            <w:r w:rsidR="002459CF">
              <w:rPr>
                <w:noProof/>
                <w:webHidden/>
              </w:rPr>
              <w:tab/>
            </w:r>
            <w:r w:rsidR="002459CF">
              <w:rPr>
                <w:noProof/>
                <w:webHidden/>
              </w:rPr>
              <w:fldChar w:fldCharType="begin"/>
            </w:r>
            <w:r w:rsidR="002459CF">
              <w:rPr>
                <w:noProof/>
                <w:webHidden/>
              </w:rPr>
              <w:instrText xml:space="preserve"> PAGEREF _Toc171500365 \h </w:instrText>
            </w:r>
            <w:r w:rsidR="002459CF">
              <w:rPr>
                <w:noProof/>
                <w:webHidden/>
              </w:rPr>
            </w:r>
            <w:r w:rsidR="002459CF">
              <w:rPr>
                <w:noProof/>
                <w:webHidden/>
              </w:rPr>
              <w:fldChar w:fldCharType="separate"/>
            </w:r>
            <w:r w:rsidR="002459CF">
              <w:rPr>
                <w:noProof/>
                <w:webHidden/>
              </w:rPr>
              <w:t>16</w:t>
            </w:r>
            <w:r w:rsidR="002459CF">
              <w:rPr>
                <w:noProof/>
                <w:webHidden/>
              </w:rPr>
              <w:fldChar w:fldCharType="end"/>
            </w:r>
          </w:hyperlink>
        </w:p>
        <w:p w14:paraId="2D3CA6E2" w14:textId="21F6BCEE"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6" w:history="1">
            <w:r w:rsidR="002459CF" w:rsidRPr="00072F18">
              <w:rPr>
                <w:rStyle w:val="Hyperlink"/>
                <w:noProof/>
              </w:rPr>
              <w:t>Figure 10 – Australia’s minerals - Global ranking for production and reserves, 2022</w:t>
            </w:r>
            <w:r w:rsidR="002459CF">
              <w:rPr>
                <w:noProof/>
                <w:webHidden/>
              </w:rPr>
              <w:tab/>
            </w:r>
            <w:r w:rsidR="002459CF">
              <w:rPr>
                <w:noProof/>
                <w:webHidden/>
              </w:rPr>
              <w:fldChar w:fldCharType="begin"/>
            </w:r>
            <w:r w:rsidR="002459CF">
              <w:rPr>
                <w:noProof/>
                <w:webHidden/>
              </w:rPr>
              <w:instrText xml:space="preserve"> PAGEREF _Toc171500366 \h </w:instrText>
            </w:r>
            <w:r w:rsidR="002459CF">
              <w:rPr>
                <w:noProof/>
                <w:webHidden/>
              </w:rPr>
            </w:r>
            <w:r w:rsidR="002459CF">
              <w:rPr>
                <w:noProof/>
                <w:webHidden/>
              </w:rPr>
              <w:fldChar w:fldCharType="separate"/>
            </w:r>
            <w:r w:rsidR="002459CF">
              <w:rPr>
                <w:noProof/>
                <w:webHidden/>
              </w:rPr>
              <w:t>17</w:t>
            </w:r>
            <w:r w:rsidR="002459CF">
              <w:rPr>
                <w:noProof/>
                <w:webHidden/>
              </w:rPr>
              <w:fldChar w:fldCharType="end"/>
            </w:r>
          </w:hyperlink>
        </w:p>
        <w:p w14:paraId="0ADB0665" w14:textId="10417F2F"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7" w:history="1">
            <w:r w:rsidR="002459CF" w:rsidRPr="00072F18">
              <w:rPr>
                <w:rStyle w:val="Hyperlink"/>
                <w:noProof/>
              </w:rPr>
              <w:t>Figure 11 – Renewable energy region attractiveness</w:t>
            </w:r>
            <w:r w:rsidR="002459CF">
              <w:rPr>
                <w:noProof/>
                <w:webHidden/>
              </w:rPr>
              <w:tab/>
            </w:r>
            <w:r w:rsidR="002459CF">
              <w:rPr>
                <w:noProof/>
                <w:webHidden/>
              </w:rPr>
              <w:fldChar w:fldCharType="begin"/>
            </w:r>
            <w:r w:rsidR="002459CF">
              <w:rPr>
                <w:noProof/>
                <w:webHidden/>
              </w:rPr>
              <w:instrText xml:space="preserve"> PAGEREF _Toc171500367 \h </w:instrText>
            </w:r>
            <w:r w:rsidR="002459CF">
              <w:rPr>
                <w:noProof/>
                <w:webHidden/>
              </w:rPr>
            </w:r>
            <w:r w:rsidR="002459CF">
              <w:rPr>
                <w:noProof/>
                <w:webHidden/>
              </w:rPr>
              <w:fldChar w:fldCharType="separate"/>
            </w:r>
            <w:r w:rsidR="002459CF">
              <w:rPr>
                <w:noProof/>
                <w:webHidden/>
              </w:rPr>
              <w:t>18</w:t>
            </w:r>
            <w:r w:rsidR="002459CF">
              <w:rPr>
                <w:noProof/>
                <w:webHidden/>
              </w:rPr>
              <w:fldChar w:fldCharType="end"/>
            </w:r>
          </w:hyperlink>
        </w:p>
        <w:p w14:paraId="0F90FF73" w14:textId="7E20B8D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8" w:history="1">
            <w:r w:rsidR="002459CF" w:rsidRPr="00072F18">
              <w:rPr>
                <w:rStyle w:val="Hyperlink"/>
                <w:noProof/>
              </w:rPr>
              <w:t>Figure 12 – Australia’s renewable energy generation volumes and world rankings</w:t>
            </w:r>
            <w:r w:rsidR="002459CF">
              <w:rPr>
                <w:noProof/>
                <w:webHidden/>
              </w:rPr>
              <w:tab/>
            </w:r>
            <w:r w:rsidR="002459CF">
              <w:rPr>
                <w:noProof/>
                <w:webHidden/>
              </w:rPr>
              <w:fldChar w:fldCharType="begin"/>
            </w:r>
            <w:r w:rsidR="002459CF">
              <w:rPr>
                <w:noProof/>
                <w:webHidden/>
              </w:rPr>
              <w:instrText xml:space="preserve"> PAGEREF _Toc171500368 \h </w:instrText>
            </w:r>
            <w:r w:rsidR="002459CF">
              <w:rPr>
                <w:noProof/>
                <w:webHidden/>
              </w:rPr>
            </w:r>
            <w:r w:rsidR="002459CF">
              <w:rPr>
                <w:noProof/>
                <w:webHidden/>
              </w:rPr>
              <w:fldChar w:fldCharType="separate"/>
            </w:r>
            <w:r w:rsidR="002459CF">
              <w:rPr>
                <w:noProof/>
                <w:webHidden/>
              </w:rPr>
              <w:t>19</w:t>
            </w:r>
            <w:r w:rsidR="002459CF">
              <w:rPr>
                <w:noProof/>
                <w:webHidden/>
              </w:rPr>
              <w:fldChar w:fldCharType="end"/>
            </w:r>
          </w:hyperlink>
        </w:p>
        <w:p w14:paraId="48A49F71" w14:textId="0E36211B"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69" w:history="1">
            <w:r w:rsidR="002459CF" w:rsidRPr="00072F18">
              <w:rPr>
                <w:rStyle w:val="Hyperlink"/>
                <w:noProof/>
              </w:rPr>
              <w:t>Figure 13 – Solar power potential¹, top 20 regions</w:t>
            </w:r>
            <w:r w:rsidR="002459CF">
              <w:rPr>
                <w:noProof/>
                <w:webHidden/>
              </w:rPr>
              <w:tab/>
            </w:r>
            <w:r w:rsidR="002459CF">
              <w:rPr>
                <w:noProof/>
                <w:webHidden/>
              </w:rPr>
              <w:fldChar w:fldCharType="begin"/>
            </w:r>
            <w:r w:rsidR="002459CF">
              <w:rPr>
                <w:noProof/>
                <w:webHidden/>
              </w:rPr>
              <w:instrText xml:space="preserve"> PAGEREF _Toc171500369 \h </w:instrText>
            </w:r>
            <w:r w:rsidR="002459CF">
              <w:rPr>
                <w:noProof/>
                <w:webHidden/>
              </w:rPr>
            </w:r>
            <w:r w:rsidR="002459CF">
              <w:rPr>
                <w:noProof/>
                <w:webHidden/>
              </w:rPr>
              <w:fldChar w:fldCharType="separate"/>
            </w:r>
            <w:r w:rsidR="002459CF">
              <w:rPr>
                <w:noProof/>
                <w:webHidden/>
              </w:rPr>
              <w:t>20</w:t>
            </w:r>
            <w:r w:rsidR="002459CF">
              <w:rPr>
                <w:noProof/>
                <w:webHidden/>
              </w:rPr>
              <w:fldChar w:fldCharType="end"/>
            </w:r>
          </w:hyperlink>
        </w:p>
        <w:p w14:paraId="6E858285" w14:textId="7292322B"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0" w:history="1">
            <w:r w:rsidR="002459CF" w:rsidRPr="00072F18">
              <w:rPr>
                <w:rStyle w:val="Hyperlink"/>
                <w:noProof/>
              </w:rPr>
              <w:t>Figure 14 – Electricity generated by solar – selected regions</w:t>
            </w:r>
            <w:r w:rsidR="002459CF">
              <w:rPr>
                <w:noProof/>
                <w:webHidden/>
              </w:rPr>
              <w:tab/>
            </w:r>
            <w:r w:rsidR="002459CF">
              <w:rPr>
                <w:noProof/>
                <w:webHidden/>
              </w:rPr>
              <w:fldChar w:fldCharType="begin"/>
            </w:r>
            <w:r w:rsidR="002459CF">
              <w:rPr>
                <w:noProof/>
                <w:webHidden/>
              </w:rPr>
              <w:instrText xml:space="preserve"> PAGEREF _Toc171500370 \h </w:instrText>
            </w:r>
            <w:r w:rsidR="002459CF">
              <w:rPr>
                <w:noProof/>
                <w:webHidden/>
              </w:rPr>
            </w:r>
            <w:r w:rsidR="002459CF">
              <w:rPr>
                <w:noProof/>
                <w:webHidden/>
              </w:rPr>
              <w:fldChar w:fldCharType="separate"/>
            </w:r>
            <w:r w:rsidR="002459CF">
              <w:rPr>
                <w:noProof/>
                <w:webHidden/>
              </w:rPr>
              <w:t>21</w:t>
            </w:r>
            <w:r w:rsidR="002459CF">
              <w:rPr>
                <w:noProof/>
                <w:webHidden/>
              </w:rPr>
              <w:fldChar w:fldCharType="end"/>
            </w:r>
          </w:hyperlink>
        </w:p>
        <w:p w14:paraId="12ED2BAB" w14:textId="30B68E26"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1" w:history="1">
            <w:r w:rsidR="002459CF" w:rsidRPr="00072F18">
              <w:rPr>
                <w:rStyle w:val="Hyperlink"/>
                <w:noProof/>
              </w:rPr>
              <w:t>Figure 15 – Cost of solar power generation by region¹, 2022</w:t>
            </w:r>
            <w:r w:rsidR="002459CF">
              <w:rPr>
                <w:noProof/>
                <w:webHidden/>
              </w:rPr>
              <w:tab/>
            </w:r>
            <w:r w:rsidR="002459CF">
              <w:rPr>
                <w:noProof/>
                <w:webHidden/>
              </w:rPr>
              <w:fldChar w:fldCharType="begin"/>
            </w:r>
            <w:r w:rsidR="002459CF">
              <w:rPr>
                <w:noProof/>
                <w:webHidden/>
              </w:rPr>
              <w:instrText xml:space="preserve"> PAGEREF _Toc171500371 \h </w:instrText>
            </w:r>
            <w:r w:rsidR="002459CF">
              <w:rPr>
                <w:noProof/>
                <w:webHidden/>
              </w:rPr>
            </w:r>
            <w:r w:rsidR="002459CF">
              <w:rPr>
                <w:noProof/>
                <w:webHidden/>
              </w:rPr>
              <w:fldChar w:fldCharType="separate"/>
            </w:r>
            <w:r w:rsidR="002459CF">
              <w:rPr>
                <w:noProof/>
                <w:webHidden/>
              </w:rPr>
              <w:t>22</w:t>
            </w:r>
            <w:r w:rsidR="002459CF">
              <w:rPr>
                <w:noProof/>
                <w:webHidden/>
              </w:rPr>
              <w:fldChar w:fldCharType="end"/>
            </w:r>
          </w:hyperlink>
        </w:p>
        <w:p w14:paraId="2FB102A2" w14:textId="7984DC3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2" w:history="1">
            <w:r w:rsidR="002459CF" w:rsidRPr="00072F18">
              <w:rPr>
                <w:rStyle w:val="Hyperlink"/>
                <w:noProof/>
              </w:rPr>
              <w:t>Figure 16 – A sample of hydrogen projects in Australia</w:t>
            </w:r>
            <w:r w:rsidR="002459CF">
              <w:rPr>
                <w:noProof/>
                <w:webHidden/>
              </w:rPr>
              <w:tab/>
            </w:r>
            <w:r w:rsidR="002459CF">
              <w:rPr>
                <w:noProof/>
                <w:webHidden/>
              </w:rPr>
              <w:fldChar w:fldCharType="begin"/>
            </w:r>
            <w:r w:rsidR="002459CF">
              <w:rPr>
                <w:noProof/>
                <w:webHidden/>
              </w:rPr>
              <w:instrText xml:space="preserve"> PAGEREF _Toc171500372 \h </w:instrText>
            </w:r>
            <w:r w:rsidR="002459CF">
              <w:rPr>
                <w:noProof/>
                <w:webHidden/>
              </w:rPr>
            </w:r>
            <w:r w:rsidR="002459CF">
              <w:rPr>
                <w:noProof/>
                <w:webHidden/>
              </w:rPr>
              <w:fldChar w:fldCharType="separate"/>
            </w:r>
            <w:r w:rsidR="002459CF">
              <w:rPr>
                <w:noProof/>
                <w:webHidden/>
              </w:rPr>
              <w:t>23</w:t>
            </w:r>
            <w:r w:rsidR="002459CF">
              <w:rPr>
                <w:noProof/>
                <w:webHidden/>
              </w:rPr>
              <w:fldChar w:fldCharType="end"/>
            </w:r>
          </w:hyperlink>
        </w:p>
        <w:p w14:paraId="34BECD94" w14:textId="39454CAA"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3" w:history="1">
            <w:r w:rsidR="002459CF" w:rsidRPr="00072F18">
              <w:rPr>
                <w:rStyle w:val="Hyperlink"/>
                <w:noProof/>
              </w:rPr>
              <w:t>Figure 17 – Australia’s tech credentials</w:t>
            </w:r>
            <w:r w:rsidR="002459CF">
              <w:rPr>
                <w:noProof/>
                <w:webHidden/>
              </w:rPr>
              <w:tab/>
            </w:r>
            <w:r w:rsidR="002459CF">
              <w:rPr>
                <w:noProof/>
                <w:webHidden/>
              </w:rPr>
              <w:fldChar w:fldCharType="begin"/>
            </w:r>
            <w:r w:rsidR="002459CF">
              <w:rPr>
                <w:noProof/>
                <w:webHidden/>
              </w:rPr>
              <w:instrText xml:space="preserve"> PAGEREF _Toc171500373 \h </w:instrText>
            </w:r>
            <w:r w:rsidR="002459CF">
              <w:rPr>
                <w:noProof/>
                <w:webHidden/>
              </w:rPr>
            </w:r>
            <w:r w:rsidR="002459CF">
              <w:rPr>
                <w:noProof/>
                <w:webHidden/>
              </w:rPr>
              <w:fldChar w:fldCharType="separate"/>
            </w:r>
            <w:r w:rsidR="002459CF">
              <w:rPr>
                <w:noProof/>
                <w:webHidden/>
              </w:rPr>
              <w:t>25</w:t>
            </w:r>
            <w:r w:rsidR="002459CF">
              <w:rPr>
                <w:noProof/>
                <w:webHidden/>
              </w:rPr>
              <w:fldChar w:fldCharType="end"/>
            </w:r>
          </w:hyperlink>
        </w:p>
        <w:p w14:paraId="16E1809C" w14:textId="6809B97B"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4" w:history="1">
            <w:r w:rsidR="002459CF" w:rsidRPr="00072F18">
              <w:rPr>
                <w:rStyle w:val="Hyperlink"/>
                <w:noProof/>
              </w:rPr>
              <w:t>Figure 18 – Skills for using, adopting and adapting frontier technologies¹, 2021</w:t>
            </w:r>
            <w:r w:rsidR="002459CF">
              <w:rPr>
                <w:noProof/>
                <w:webHidden/>
              </w:rPr>
              <w:tab/>
            </w:r>
            <w:r w:rsidR="002459CF">
              <w:rPr>
                <w:noProof/>
                <w:webHidden/>
              </w:rPr>
              <w:fldChar w:fldCharType="begin"/>
            </w:r>
            <w:r w:rsidR="002459CF">
              <w:rPr>
                <w:noProof/>
                <w:webHidden/>
              </w:rPr>
              <w:instrText xml:space="preserve"> PAGEREF _Toc171500374 \h </w:instrText>
            </w:r>
            <w:r w:rsidR="002459CF">
              <w:rPr>
                <w:noProof/>
                <w:webHidden/>
              </w:rPr>
            </w:r>
            <w:r w:rsidR="002459CF">
              <w:rPr>
                <w:noProof/>
                <w:webHidden/>
              </w:rPr>
              <w:fldChar w:fldCharType="separate"/>
            </w:r>
            <w:r w:rsidR="002459CF">
              <w:rPr>
                <w:noProof/>
                <w:webHidden/>
              </w:rPr>
              <w:t>26</w:t>
            </w:r>
            <w:r w:rsidR="002459CF">
              <w:rPr>
                <w:noProof/>
                <w:webHidden/>
              </w:rPr>
              <w:fldChar w:fldCharType="end"/>
            </w:r>
          </w:hyperlink>
        </w:p>
        <w:p w14:paraId="640F8BFB" w14:textId="663BF675"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5" w:history="1">
            <w:r w:rsidR="002459CF" w:rsidRPr="00072F18">
              <w:rPr>
                <w:rStyle w:val="Hyperlink"/>
                <w:noProof/>
              </w:rPr>
              <w:t>Figure 19 – E-Government index by region, selected regions¹</w:t>
            </w:r>
            <w:r w:rsidR="002459CF">
              <w:rPr>
                <w:noProof/>
                <w:webHidden/>
              </w:rPr>
              <w:tab/>
            </w:r>
            <w:r w:rsidR="002459CF">
              <w:rPr>
                <w:noProof/>
                <w:webHidden/>
              </w:rPr>
              <w:fldChar w:fldCharType="begin"/>
            </w:r>
            <w:r w:rsidR="002459CF">
              <w:rPr>
                <w:noProof/>
                <w:webHidden/>
              </w:rPr>
              <w:instrText xml:space="preserve"> PAGEREF _Toc171500375 \h </w:instrText>
            </w:r>
            <w:r w:rsidR="002459CF">
              <w:rPr>
                <w:noProof/>
                <w:webHidden/>
              </w:rPr>
            </w:r>
            <w:r w:rsidR="002459CF">
              <w:rPr>
                <w:noProof/>
                <w:webHidden/>
              </w:rPr>
              <w:fldChar w:fldCharType="separate"/>
            </w:r>
            <w:r w:rsidR="002459CF">
              <w:rPr>
                <w:noProof/>
                <w:webHidden/>
              </w:rPr>
              <w:t>27</w:t>
            </w:r>
            <w:r w:rsidR="002459CF">
              <w:rPr>
                <w:noProof/>
                <w:webHidden/>
              </w:rPr>
              <w:fldChar w:fldCharType="end"/>
            </w:r>
          </w:hyperlink>
        </w:p>
        <w:p w14:paraId="4379F593" w14:textId="27C841B5"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6" w:history="1">
            <w:r w:rsidR="002459CF" w:rsidRPr="00072F18">
              <w:rPr>
                <w:rStyle w:val="Hyperlink"/>
                <w:noProof/>
              </w:rPr>
              <w:t>Figure 20 – Renewable energy patents by economy</w:t>
            </w:r>
            <w:r w:rsidR="002459CF">
              <w:rPr>
                <w:noProof/>
                <w:webHidden/>
              </w:rPr>
              <w:tab/>
            </w:r>
            <w:r w:rsidR="002459CF">
              <w:rPr>
                <w:noProof/>
                <w:webHidden/>
              </w:rPr>
              <w:fldChar w:fldCharType="begin"/>
            </w:r>
            <w:r w:rsidR="002459CF">
              <w:rPr>
                <w:noProof/>
                <w:webHidden/>
              </w:rPr>
              <w:instrText xml:space="preserve"> PAGEREF _Toc171500376 \h </w:instrText>
            </w:r>
            <w:r w:rsidR="002459CF">
              <w:rPr>
                <w:noProof/>
                <w:webHidden/>
              </w:rPr>
            </w:r>
            <w:r w:rsidR="002459CF">
              <w:rPr>
                <w:noProof/>
                <w:webHidden/>
              </w:rPr>
              <w:fldChar w:fldCharType="separate"/>
            </w:r>
            <w:r w:rsidR="002459CF">
              <w:rPr>
                <w:noProof/>
                <w:webHidden/>
              </w:rPr>
              <w:t>28</w:t>
            </w:r>
            <w:r w:rsidR="002459CF">
              <w:rPr>
                <w:noProof/>
                <w:webHidden/>
              </w:rPr>
              <w:fldChar w:fldCharType="end"/>
            </w:r>
          </w:hyperlink>
        </w:p>
        <w:p w14:paraId="38CED6A1" w14:textId="293193C1"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7" w:history="1">
            <w:r w:rsidR="002459CF" w:rsidRPr="00072F18">
              <w:rPr>
                <w:rStyle w:val="Hyperlink"/>
                <w:noProof/>
              </w:rPr>
              <w:t>Figure 21 – Public spending on R&amp;D for hydrogen and fuel cells</w:t>
            </w:r>
            <w:r w:rsidR="002459CF">
              <w:rPr>
                <w:noProof/>
                <w:webHidden/>
              </w:rPr>
              <w:tab/>
            </w:r>
            <w:r w:rsidR="002459CF">
              <w:rPr>
                <w:noProof/>
                <w:webHidden/>
              </w:rPr>
              <w:fldChar w:fldCharType="begin"/>
            </w:r>
            <w:r w:rsidR="002459CF">
              <w:rPr>
                <w:noProof/>
                <w:webHidden/>
              </w:rPr>
              <w:instrText xml:space="preserve"> PAGEREF _Toc171500377 \h </w:instrText>
            </w:r>
            <w:r w:rsidR="002459CF">
              <w:rPr>
                <w:noProof/>
                <w:webHidden/>
              </w:rPr>
            </w:r>
            <w:r w:rsidR="002459CF">
              <w:rPr>
                <w:noProof/>
                <w:webHidden/>
              </w:rPr>
              <w:fldChar w:fldCharType="separate"/>
            </w:r>
            <w:r w:rsidR="002459CF">
              <w:rPr>
                <w:noProof/>
                <w:webHidden/>
              </w:rPr>
              <w:t>29</w:t>
            </w:r>
            <w:r w:rsidR="002459CF">
              <w:rPr>
                <w:noProof/>
                <w:webHidden/>
              </w:rPr>
              <w:fldChar w:fldCharType="end"/>
            </w:r>
          </w:hyperlink>
        </w:p>
        <w:p w14:paraId="720CAA3D" w14:textId="0C850F49"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8" w:history="1">
            <w:r w:rsidR="002459CF" w:rsidRPr="00072F18">
              <w:rPr>
                <w:rStyle w:val="Hyperlink"/>
                <w:noProof/>
              </w:rPr>
              <w:t>Figure 22 – Relative impacts of Australian scientific publications by research field, 2018–22</w:t>
            </w:r>
            <w:r w:rsidR="002459CF">
              <w:rPr>
                <w:noProof/>
                <w:webHidden/>
              </w:rPr>
              <w:tab/>
            </w:r>
            <w:r w:rsidR="002459CF">
              <w:rPr>
                <w:noProof/>
                <w:webHidden/>
              </w:rPr>
              <w:fldChar w:fldCharType="begin"/>
            </w:r>
            <w:r w:rsidR="002459CF">
              <w:rPr>
                <w:noProof/>
                <w:webHidden/>
              </w:rPr>
              <w:instrText xml:space="preserve"> PAGEREF _Toc171500378 \h </w:instrText>
            </w:r>
            <w:r w:rsidR="002459CF">
              <w:rPr>
                <w:noProof/>
                <w:webHidden/>
              </w:rPr>
            </w:r>
            <w:r w:rsidR="002459CF">
              <w:rPr>
                <w:noProof/>
                <w:webHidden/>
              </w:rPr>
              <w:fldChar w:fldCharType="separate"/>
            </w:r>
            <w:r w:rsidR="002459CF">
              <w:rPr>
                <w:noProof/>
                <w:webHidden/>
              </w:rPr>
              <w:t>30</w:t>
            </w:r>
            <w:r w:rsidR="002459CF">
              <w:rPr>
                <w:noProof/>
                <w:webHidden/>
              </w:rPr>
              <w:fldChar w:fldCharType="end"/>
            </w:r>
          </w:hyperlink>
        </w:p>
        <w:p w14:paraId="6AEBD880" w14:textId="61A79E21"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79" w:history="1">
            <w:r w:rsidR="002459CF" w:rsidRPr="00072F18">
              <w:rPr>
                <w:rStyle w:val="Hyperlink"/>
                <w:noProof/>
              </w:rPr>
              <w:t>Figure 23 – Skilled workforce and innovation indicators – Global rankings</w:t>
            </w:r>
            <w:r w:rsidR="002459CF">
              <w:rPr>
                <w:noProof/>
                <w:webHidden/>
              </w:rPr>
              <w:tab/>
            </w:r>
            <w:r w:rsidR="002459CF">
              <w:rPr>
                <w:noProof/>
                <w:webHidden/>
              </w:rPr>
              <w:fldChar w:fldCharType="begin"/>
            </w:r>
            <w:r w:rsidR="002459CF">
              <w:rPr>
                <w:noProof/>
                <w:webHidden/>
              </w:rPr>
              <w:instrText xml:space="preserve"> PAGEREF _Toc171500379 \h </w:instrText>
            </w:r>
            <w:r w:rsidR="002459CF">
              <w:rPr>
                <w:noProof/>
                <w:webHidden/>
              </w:rPr>
            </w:r>
            <w:r w:rsidR="002459CF">
              <w:rPr>
                <w:noProof/>
                <w:webHidden/>
              </w:rPr>
              <w:fldChar w:fldCharType="separate"/>
            </w:r>
            <w:r w:rsidR="002459CF">
              <w:rPr>
                <w:noProof/>
                <w:webHidden/>
              </w:rPr>
              <w:t>31</w:t>
            </w:r>
            <w:r w:rsidR="002459CF">
              <w:rPr>
                <w:noProof/>
                <w:webHidden/>
              </w:rPr>
              <w:fldChar w:fldCharType="end"/>
            </w:r>
          </w:hyperlink>
        </w:p>
        <w:p w14:paraId="74DD8787" w14:textId="7B4563AA"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0" w:history="1">
            <w:r w:rsidR="002459CF" w:rsidRPr="00072F18">
              <w:rPr>
                <w:rStyle w:val="Hyperlink"/>
                <w:noProof/>
              </w:rPr>
              <w:t xml:space="preserve">Figure 24 – Percentage of employed persons with tertiary education by industry¹ </w:t>
            </w:r>
            <w:r w:rsidR="002459CF" w:rsidRPr="00072F18">
              <w:rPr>
                <w:rStyle w:val="Hyperlink"/>
                <w:rFonts w:ascii="Calibri" w:hAnsi="Calibri" w:cs="Calibri"/>
                <w:noProof/>
              </w:rPr>
              <w:t>―</w:t>
            </w:r>
            <w:r w:rsidR="002459CF" w:rsidRPr="00072F18">
              <w:rPr>
                <w:rStyle w:val="Hyperlink"/>
                <w:noProof/>
              </w:rPr>
              <w:t xml:space="preserve"> 2023</w:t>
            </w:r>
            <w:r w:rsidR="002459CF">
              <w:rPr>
                <w:noProof/>
                <w:webHidden/>
              </w:rPr>
              <w:tab/>
            </w:r>
            <w:r w:rsidR="002459CF">
              <w:rPr>
                <w:noProof/>
                <w:webHidden/>
              </w:rPr>
              <w:fldChar w:fldCharType="begin"/>
            </w:r>
            <w:r w:rsidR="002459CF">
              <w:rPr>
                <w:noProof/>
                <w:webHidden/>
              </w:rPr>
              <w:instrText xml:space="preserve"> PAGEREF _Toc171500380 \h </w:instrText>
            </w:r>
            <w:r w:rsidR="002459CF">
              <w:rPr>
                <w:noProof/>
                <w:webHidden/>
              </w:rPr>
            </w:r>
            <w:r w:rsidR="002459CF">
              <w:rPr>
                <w:noProof/>
                <w:webHidden/>
              </w:rPr>
              <w:fldChar w:fldCharType="separate"/>
            </w:r>
            <w:r w:rsidR="002459CF">
              <w:rPr>
                <w:noProof/>
                <w:webHidden/>
              </w:rPr>
              <w:t>32</w:t>
            </w:r>
            <w:r w:rsidR="002459CF">
              <w:rPr>
                <w:noProof/>
                <w:webHidden/>
              </w:rPr>
              <w:fldChar w:fldCharType="end"/>
            </w:r>
          </w:hyperlink>
        </w:p>
        <w:p w14:paraId="71A54EEF" w14:textId="248DA64D"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1" w:history="1">
            <w:r w:rsidR="002459CF" w:rsidRPr="00072F18">
              <w:rPr>
                <w:rStyle w:val="Hyperlink"/>
                <w:noProof/>
              </w:rPr>
              <w:t>Figure 25 – Expenditure on educational institutions across OECD countries¹</w:t>
            </w:r>
            <w:r w:rsidR="002459CF">
              <w:rPr>
                <w:noProof/>
                <w:webHidden/>
              </w:rPr>
              <w:tab/>
            </w:r>
            <w:r w:rsidR="002459CF">
              <w:rPr>
                <w:noProof/>
                <w:webHidden/>
              </w:rPr>
              <w:fldChar w:fldCharType="begin"/>
            </w:r>
            <w:r w:rsidR="002459CF">
              <w:rPr>
                <w:noProof/>
                <w:webHidden/>
              </w:rPr>
              <w:instrText xml:space="preserve"> PAGEREF _Toc171500381 \h </w:instrText>
            </w:r>
            <w:r w:rsidR="002459CF">
              <w:rPr>
                <w:noProof/>
                <w:webHidden/>
              </w:rPr>
            </w:r>
            <w:r w:rsidR="002459CF">
              <w:rPr>
                <w:noProof/>
                <w:webHidden/>
              </w:rPr>
              <w:fldChar w:fldCharType="separate"/>
            </w:r>
            <w:r w:rsidR="002459CF">
              <w:rPr>
                <w:noProof/>
                <w:webHidden/>
              </w:rPr>
              <w:t>33</w:t>
            </w:r>
            <w:r w:rsidR="002459CF">
              <w:rPr>
                <w:noProof/>
                <w:webHidden/>
              </w:rPr>
              <w:fldChar w:fldCharType="end"/>
            </w:r>
          </w:hyperlink>
        </w:p>
        <w:p w14:paraId="6DD221A1" w14:textId="32F5A8E8"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2" w:history="1">
            <w:r w:rsidR="002459CF" w:rsidRPr="00072F18">
              <w:rPr>
                <w:rStyle w:val="Hyperlink"/>
                <w:noProof/>
              </w:rPr>
              <w:t>Figure 26 – Academic ranking of world universities, 2023</w:t>
            </w:r>
            <w:r w:rsidR="002459CF">
              <w:rPr>
                <w:noProof/>
                <w:webHidden/>
              </w:rPr>
              <w:tab/>
            </w:r>
            <w:r w:rsidR="002459CF">
              <w:rPr>
                <w:noProof/>
                <w:webHidden/>
              </w:rPr>
              <w:fldChar w:fldCharType="begin"/>
            </w:r>
            <w:r w:rsidR="002459CF">
              <w:rPr>
                <w:noProof/>
                <w:webHidden/>
              </w:rPr>
              <w:instrText xml:space="preserve"> PAGEREF _Toc171500382 \h </w:instrText>
            </w:r>
            <w:r w:rsidR="002459CF">
              <w:rPr>
                <w:noProof/>
                <w:webHidden/>
              </w:rPr>
            </w:r>
            <w:r w:rsidR="002459CF">
              <w:rPr>
                <w:noProof/>
                <w:webHidden/>
              </w:rPr>
              <w:fldChar w:fldCharType="separate"/>
            </w:r>
            <w:r w:rsidR="002459CF">
              <w:rPr>
                <w:noProof/>
                <w:webHidden/>
              </w:rPr>
              <w:t>34</w:t>
            </w:r>
            <w:r w:rsidR="002459CF">
              <w:rPr>
                <w:noProof/>
                <w:webHidden/>
              </w:rPr>
              <w:fldChar w:fldCharType="end"/>
            </w:r>
          </w:hyperlink>
        </w:p>
        <w:p w14:paraId="3161129A" w14:textId="4CBD6FBF"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3" w:history="1">
            <w:r w:rsidR="002459CF" w:rsidRPr="00072F18">
              <w:rPr>
                <w:rStyle w:val="Hyperlink"/>
                <w:noProof/>
              </w:rPr>
              <w:t>Figure 27 – Top 100 Universities Times Higher Education Impact Rankings, 2023</w:t>
            </w:r>
            <w:r w:rsidR="002459CF">
              <w:rPr>
                <w:noProof/>
                <w:webHidden/>
              </w:rPr>
              <w:tab/>
            </w:r>
            <w:r w:rsidR="002459CF">
              <w:rPr>
                <w:noProof/>
                <w:webHidden/>
              </w:rPr>
              <w:fldChar w:fldCharType="begin"/>
            </w:r>
            <w:r w:rsidR="002459CF">
              <w:rPr>
                <w:noProof/>
                <w:webHidden/>
              </w:rPr>
              <w:instrText xml:space="preserve"> PAGEREF _Toc171500383 \h </w:instrText>
            </w:r>
            <w:r w:rsidR="002459CF">
              <w:rPr>
                <w:noProof/>
                <w:webHidden/>
              </w:rPr>
            </w:r>
            <w:r w:rsidR="002459CF">
              <w:rPr>
                <w:noProof/>
                <w:webHidden/>
              </w:rPr>
              <w:fldChar w:fldCharType="separate"/>
            </w:r>
            <w:r w:rsidR="002459CF">
              <w:rPr>
                <w:noProof/>
                <w:webHidden/>
              </w:rPr>
              <w:t>35</w:t>
            </w:r>
            <w:r w:rsidR="002459CF">
              <w:rPr>
                <w:noProof/>
                <w:webHidden/>
              </w:rPr>
              <w:fldChar w:fldCharType="end"/>
            </w:r>
          </w:hyperlink>
        </w:p>
        <w:p w14:paraId="7413742F" w14:textId="494C931C"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4" w:history="1">
            <w:r w:rsidR="002459CF" w:rsidRPr="00072F18">
              <w:rPr>
                <w:rStyle w:val="Hyperlink"/>
                <w:noProof/>
              </w:rPr>
              <w:t>Figure 28 – Asia’s economic growth</w:t>
            </w:r>
            <w:r w:rsidR="002459CF">
              <w:rPr>
                <w:noProof/>
                <w:webHidden/>
              </w:rPr>
              <w:tab/>
            </w:r>
            <w:r w:rsidR="002459CF">
              <w:rPr>
                <w:noProof/>
                <w:webHidden/>
              </w:rPr>
              <w:fldChar w:fldCharType="begin"/>
            </w:r>
            <w:r w:rsidR="002459CF">
              <w:rPr>
                <w:noProof/>
                <w:webHidden/>
              </w:rPr>
              <w:instrText xml:space="preserve"> PAGEREF _Toc171500384 \h </w:instrText>
            </w:r>
            <w:r w:rsidR="002459CF">
              <w:rPr>
                <w:noProof/>
                <w:webHidden/>
              </w:rPr>
            </w:r>
            <w:r w:rsidR="002459CF">
              <w:rPr>
                <w:noProof/>
                <w:webHidden/>
              </w:rPr>
              <w:fldChar w:fldCharType="separate"/>
            </w:r>
            <w:r w:rsidR="002459CF">
              <w:rPr>
                <w:noProof/>
                <w:webHidden/>
              </w:rPr>
              <w:t>37</w:t>
            </w:r>
            <w:r w:rsidR="002459CF">
              <w:rPr>
                <w:noProof/>
                <w:webHidden/>
              </w:rPr>
              <w:fldChar w:fldCharType="end"/>
            </w:r>
          </w:hyperlink>
        </w:p>
        <w:p w14:paraId="295D31E7" w14:textId="75F1A9A0"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5" w:history="1">
            <w:r w:rsidR="002459CF" w:rsidRPr="00072F18">
              <w:rPr>
                <w:rStyle w:val="Hyperlink"/>
                <w:noProof/>
              </w:rPr>
              <w:t>Figure 29 – Australia’s free trade agreements</w:t>
            </w:r>
            <w:r w:rsidR="002459CF">
              <w:rPr>
                <w:noProof/>
                <w:webHidden/>
              </w:rPr>
              <w:tab/>
            </w:r>
            <w:r w:rsidR="002459CF">
              <w:rPr>
                <w:noProof/>
                <w:webHidden/>
              </w:rPr>
              <w:fldChar w:fldCharType="begin"/>
            </w:r>
            <w:r w:rsidR="002459CF">
              <w:rPr>
                <w:noProof/>
                <w:webHidden/>
              </w:rPr>
              <w:instrText xml:space="preserve"> PAGEREF _Toc171500385 \h </w:instrText>
            </w:r>
            <w:r w:rsidR="002459CF">
              <w:rPr>
                <w:noProof/>
                <w:webHidden/>
              </w:rPr>
            </w:r>
            <w:r w:rsidR="002459CF">
              <w:rPr>
                <w:noProof/>
                <w:webHidden/>
              </w:rPr>
              <w:fldChar w:fldCharType="separate"/>
            </w:r>
            <w:r w:rsidR="002459CF">
              <w:rPr>
                <w:noProof/>
                <w:webHidden/>
              </w:rPr>
              <w:t>38</w:t>
            </w:r>
            <w:r w:rsidR="002459CF">
              <w:rPr>
                <w:noProof/>
                <w:webHidden/>
              </w:rPr>
              <w:fldChar w:fldCharType="end"/>
            </w:r>
          </w:hyperlink>
        </w:p>
        <w:p w14:paraId="77502416" w14:textId="253D969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6" w:history="1">
            <w:r w:rsidR="002459CF" w:rsidRPr="00072F18">
              <w:rPr>
                <w:rStyle w:val="Hyperlink"/>
                <w:noProof/>
              </w:rPr>
              <w:t>Figure 30 – Trade digitalisation index¹ for selected economies, 2023</w:t>
            </w:r>
            <w:r w:rsidR="002459CF">
              <w:rPr>
                <w:noProof/>
                <w:webHidden/>
              </w:rPr>
              <w:tab/>
            </w:r>
            <w:r w:rsidR="002459CF">
              <w:rPr>
                <w:noProof/>
                <w:webHidden/>
              </w:rPr>
              <w:fldChar w:fldCharType="begin"/>
            </w:r>
            <w:r w:rsidR="002459CF">
              <w:rPr>
                <w:noProof/>
                <w:webHidden/>
              </w:rPr>
              <w:instrText xml:space="preserve"> PAGEREF _Toc171500386 \h </w:instrText>
            </w:r>
            <w:r w:rsidR="002459CF">
              <w:rPr>
                <w:noProof/>
                <w:webHidden/>
              </w:rPr>
            </w:r>
            <w:r w:rsidR="002459CF">
              <w:rPr>
                <w:noProof/>
                <w:webHidden/>
              </w:rPr>
              <w:fldChar w:fldCharType="separate"/>
            </w:r>
            <w:r w:rsidR="002459CF">
              <w:rPr>
                <w:noProof/>
                <w:webHidden/>
              </w:rPr>
              <w:t>39</w:t>
            </w:r>
            <w:r w:rsidR="002459CF">
              <w:rPr>
                <w:noProof/>
                <w:webHidden/>
              </w:rPr>
              <w:fldChar w:fldCharType="end"/>
            </w:r>
          </w:hyperlink>
        </w:p>
        <w:p w14:paraId="58855089" w14:textId="0BA9FE22"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7" w:history="1">
            <w:r w:rsidR="002459CF" w:rsidRPr="00072F18">
              <w:rPr>
                <w:rStyle w:val="Hyperlink"/>
                <w:noProof/>
              </w:rPr>
              <w:t>Figure 31 – Foreign-born population across OECD countries, 2000 and 2022¹</w:t>
            </w:r>
            <w:r w:rsidR="002459CF">
              <w:rPr>
                <w:noProof/>
                <w:webHidden/>
              </w:rPr>
              <w:tab/>
            </w:r>
            <w:r w:rsidR="002459CF">
              <w:rPr>
                <w:noProof/>
                <w:webHidden/>
              </w:rPr>
              <w:fldChar w:fldCharType="begin"/>
            </w:r>
            <w:r w:rsidR="002459CF">
              <w:rPr>
                <w:noProof/>
                <w:webHidden/>
              </w:rPr>
              <w:instrText xml:space="preserve"> PAGEREF _Toc171500387 \h </w:instrText>
            </w:r>
            <w:r w:rsidR="002459CF">
              <w:rPr>
                <w:noProof/>
                <w:webHidden/>
              </w:rPr>
            </w:r>
            <w:r w:rsidR="002459CF">
              <w:rPr>
                <w:noProof/>
                <w:webHidden/>
              </w:rPr>
              <w:fldChar w:fldCharType="separate"/>
            </w:r>
            <w:r w:rsidR="002459CF">
              <w:rPr>
                <w:noProof/>
                <w:webHidden/>
              </w:rPr>
              <w:t>40</w:t>
            </w:r>
            <w:r w:rsidR="002459CF">
              <w:rPr>
                <w:noProof/>
                <w:webHidden/>
              </w:rPr>
              <w:fldChar w:fldCharType="end"/>
            </w:r>
          </w:hyperlink>
        </w:p>
        <w:p w14:paraId="0D6F6B05" w14:textId="30668CCA"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8" w:history="1">
            <w:r w:rsidR="002459CF" w:rsidRPr="00072F18">
              <w:rPr>
                <w:rStyle w:val="Hyperlink"/>
                <w:noProof/>
              </w:rPr>
              <w:t>Figure 32 – Total foreign investment stock in Australia, 2003 to 2023</w:t>
            </w:r>
            <w:r w:rsidR="002459CF">
              <w:rPr>
                <w:noProof/>
                <w:webHidden/>
              </w:rPr>
              <w:tab/>
            </w:r>
            <w:r w:rsidR="002459CF">
              <w:rPr>
                <w:noProof/>
                <w:webHidden/>
              </w:rPr>
              <w:fldChar w:fldCharType="begin"/>
            </w:r>
            <w:r w:rsidR="002459CF">
              <w:rPr>
                <w:noProof/>
                <w:webHidden/>
              </w:rPr>
              <w:instrText xml:space="preserve"> PAGEREF _Toc171500388 \h </w:instrText>
            </w:r>
            <w:r w:rsidR="002459CF">
              <w:rPr>
                <w:noProof/>
                <w:webHidden/>
              </w:rPr>
            </w:r>
            <w:r w:rsidR="002459CF">
              <w:rPr>
                <w:noProof/>
                <w:webHidden/>
              </w:rPr>
              <w:fldChar w:fldCharType="separate"/>
            </w:r>
            <w:r w:rsidR="002459CF">
              <w:rPr>
                <w:noProof/>
                <w:webHidden/>
              </w:rPr>
              <w:t>41</w:t>
            </w:r>
            <w:r w:rsidR="002459CF">
              <w:rPr>
                <w:noProof/>
                <w:webHidden/>
              </w:rPr>
              <w:fldChar w:fldCharType="end"/>
            </w:r>
          </w:hyperlink>
        </w:p>
        <w:p w14:paraId="06694ABA" w14:textId="4B48A2D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89" w:history="1">
            <w:r w:rsidR="002459CF" w:rsidRPr="00072F18">
              <w:rPr>
                <w:rStyle w:val="Hyperlink"/>
                <w:noProof/>
              </w:rPr>
              <w:t>Figure 33 – Australia's main sources of foreign direct investment stock, 2013–2023</w:t>
            </w:r>
            <w:r w:rsidR="002459CF">
              <w:rPr>
                <w:noProof/>
                <w:webHidden/>
              </w:rPr>
              <w:tab/>
            </w:r>
            <w:r w:rsidR="002459CF">
              <w:rPr>
                <w:noProof/>
                <w:webHidden/>
              </w:rPr>
              <w:fldChar w:fldCharType="begin"/>
            </w:r>
            <w:r w:rsidR="002459CF">
              <w:rPr>
                <w:noProof/>
                <w:webHidden/>
              </w:rPr>
              <w:instrText xml:space="preserve"> PAGEREF _Toc171500389 \h </w:instrText>
            </w:r>
            <w:r w:rsidR="002459CF">
              <w:rPr>
                <w:noProof/>
                <w:webHidden/>
              </w:rPr>
            </w:r>
            <w:r w:rsidR="002459CF">
              <w:rPr>
                <w:noProof/>
                <w:webHidden/>
              </w:rPr>
              <w:fldChar w:fldCharType="separate"/>
            </w:r>
            <w:r w:rsidR="002459CF">
              <w:rPr>
                <w:noProof/>
                <w:webHidden/>
              </w:rPr>
              <w:t>42</w:t>
            </w:r>
            <w:r w:rsidR="002459CF">
              <w:rPr>
                <w:noProof/>
                <w:webHidden/>
              </w:rPr>
              <w:fldChar w:fldCharType="end"/>
            </w:r>
          </w:hyperlink>
        </w:p>
        <w:p w14:paraId="106485FC" w14:textId="4B38B0ED"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0" w:history="1">
            <w:r w:rsidR="002459CF" w:rsidRPr="00072F18">
              <w:rPr>
                <w:rStyle w:val="Hyperlink"/>
                <w:noProof/>
              </w:rPr>
              <w:t>Figure 34 – Australia’s exports and imports of goods and services</w:t>
            </w:r>
            <w:r w:rsidR="002459CF">
              <w:rPr>
                <w:noProof/>
                <w:webHidden/>
              </w:rPr>
              <w:tab/>
            </w:r>
            <w:r w:rsidR="002459CF">
              <w:rPr>
                <w:noProof/>
                <w:webHidden/>
              </w:rPr>
              <w:fldChar w:fldCharType="begin"/>
            </w:r>
            <w:r w:rsidR="002459CF">
              <w:rPr>
                <w:noProof/>
                <w:webHidden/>
              </w:rPr>
              <w:instrText xml:space="preserve"> PAGEREF _Toc171500390 \h </w:instrText>
            </w:r>
            <w:r w:rsidR="002459CF">
              <w:rPr>
                <w:noProof/>
                <w:webHidden/>
              </w:rPr>
            </w:r>
            <w:r w:rsidR="002459CF">
              <w:rPr>
                <w:noProof/>
                <w:webHidden/>
              </w:rPr>
              <w:fldChar w:fldCharType="separate"/>
            </w:r>
            <w:r w:rsidR="002459CF">
              <w:rPr>
                <w:noProof/>
                <w:webHidden/>
              </w:rPr>
              <w:t>43</w:t>
            </w:r>
            <w:r w:rsidR="002459CF">
              <w:rPr>
                <w:noProof/>
                <w:webHidden/>
              </w:rPr>
              <w:fldChar w:fldCharType="end"/>
            </w:r>
          </w:hyperlink>
        </w:p>
        <w:p w14:paraId="7B74C1CD" w14:textId="3B1EB67E"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1" w:history="1">
            <w:r w:rsidR="002459CF" w:rsidRPr="00072F18">
              <w:rPr>
                <w:rStyle w:val="Hyperlink"/>
                <w:noProof/>
              </w:rPr>
              <w:t>Figure 35 – Services trade restrictiveness index¹ by sector, Australia vs OECD average in 2022²</w:t>
            </w:r>
            <w:r w:rsidR="002459CF">
              <w:rPr>
                <w:noProof/>
                <w:webHidden/>
              </w:rPr>
              <w:tab/>
            </w:r>
            <w:r w:rsidR="002459CF">
              <w:rPr>
                <w:noProof/>
                <w:webHidden/>
              </w:rPr>
              <w:fldChar w:fldCharType="begin"/>
            </w:r>
            <w:r w:rsidR="002459CF">
              <w:rPr>
                <w:noProof/>
                <w:webHidden/>
              </w:rPr>
              <w:instrText xml:space="preserve"> PAGEREF _Toc171500391 \h </w:instrText>
            </w:r>
            <w:r w:rsidR="002459CF">
              <w:rPr>
                <w:noProof/>
                <w:webHidden/>
              </w:rPr>
            </w:r>
            <w:r w:rsidR="002459CF">
              <w:rPr>
                <w:noProof/>
                <w:webHidden/>
              </w:rPr>
              <w:fldChar w:fldCharType="separate"/>
            </w:r>
            <w:r w:rsidR="002459CF">
              <w:rPr>
                <w:noProof/>
                <w:webHidden/>
              </w:rPr>
              <w:t>44</w:t>
            </w:r>
            <w:r w:rsidR="002459CF">
              <w:rPr>
                <w:noProof/>
                <w:webHidden/>
              </w:rPr>
              <w:fldChar w:fldCharType="end"/>
            </w:r>
          </w:hyperlink>
        </w:p>
        <w:p w14:paraId="493BCA96" w14:textId="53A9AE0A"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2" w:history="1">
            <w:r w:rsidR="002459CF" w:rsidRPr="00072F18">
              <w:rPr>
                <w:rStyle w:val="Hyperlink"/>
                <w:noProof/>
              </w:rPr>
              <w:t>Figure 36 – Energy and resources exports by economy in 2023</w:t>
            </w:r>
            <w:r w:rsidR="002459CF">
              <w:rPr>
                <w:noProof/>
                <w:webHidden/>
              </w:rPr>
              <w:tab/>
            </w:r>
            <w:r w:rsidR="002459CF">
              <w:rPr>
                <w:noProof/>
                <w:webHidden/>
              </w:rPr>
              <w:fldChar w:fldCharType="begin"/>
            </w:r>
            <w:r w:rsidR="002459CF">
              <w:rPr>
                <w:noProof/>
                <w:webHidden/>
              </w:rPr>
              <w:instrText xml:space="preserve"> PAGEREF _Toc171500392 \h </w:instrText>
            </w:r>
            <w:r w:rsidR="002459CF">
              <w:rPr>
                <w:noProof/>
                <w:webHidden/>
              </w:rPr>
            </w:r>
            <w:r w:rsidR="002459CF">
              <w:rPr>
                <w:noProof/>
                <w:webHidden/>
              </w:rPr>
              <w:fldChar w:fldCharType="separate"/>
            </w:r>
            <w:r w:rsidR="002459CF">
              <w:rPr>
                <w:noProof/>
                <w:webHidden/>
              </w:rPr>
              <w:t>45</w:t>
            </w:r>
            <w:r w:rsidR="002459CF">
              <w:rPr>
                <w:noProof/>
                <w:webHidden/>
              </w:rPr>
              <w:fldChar w:fldCharType="end"/>
            </w:r>
          </w:hyperlink>
        </w:p>
        <w:p w14:paraId="15D7B2BD" w14:textId="6CA16E48"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3" w:history="1">
            <w:r w:rsidR="002459CF" w:rsidRPr="00072F18">
              <w:rPr>
                <w:rStyle w:val="Hyperlink"/>
                <w:noProof/>
              </w:rPr>
              <w:t>Figure 37 – Australia’s major agricultural products, 2023–24</w:t>
            </w:r>
            <w:r w:rsidR="002459CF" w:rsidRPr="00072F18">
              <w:rPr>
                <w:rStyle w:val="Hyperlink"/>
                <w:noProof/>
                <w:vertAlign w:val="superscript"/>
              </w:rPr>
              <w:t>E</w:t>
            </w:r>
            <w:r w:rsidR="002459CF">
              <w:rPr>
                <w:noProof/>
                <w:webHidden/>
              </w:rPr>
              <w:tab/>
            </w:r>
            <w:r w:rsidR="002459CF">
              <w:rPr>
                <w:noProof/>
                <w:webHidden/>
              </w:rPr>
              <w:fldChar w:fldCharType="begin"/>
            </w:r>
            <w:r w:rsidR="002459CF">
              <w:rPr>
                <w:noProof/>
                <w:webHidden/>
              </w:rPr>
              <w:instrText xml:space="preserve"> PAGEREF _Toc171500393 \h </w:instrText>
            </w:r>
            <w:r w:rsidR="002459CF">
              <w:rPr>
                <w:noProof/>
                <w:webHidden/>
              </w:rPr>
            </w:r>
            <w:r w:rsidR="002459CF">
              <w:rPr>
                <w:noProof/>
                <w:webHidden/>
              </w:rPr>
              <w:fldChar w:fldCharType="separate"/>
            </w:r>
            <w:r w:rsidR="002459CF">
              <w:rPr>
                <w:noProof/>
                <w:webHidden/>
              </w:rPr>
              <w:t>46</w:t>
            </w:r>
            <w:r w:rsidR="002459CF">
              <w:rPr>
                <w:noProof/>
                <w:webHidden/>
              </w:rPr>
              <w:fldChar w:fldCharType="end"/>
            </w:r>
          </w:hyperlink>
        </w:p>
        <w:p w14:paraId="0EF0B2C3" w14:textId="32C5A3D3"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4" w:history="1">
            <w:r w:rsidR="002459CF" w:rsidRPr="00072F18">
              <w:rPr>
                <w:rStyle w:val="Hyperlink"/>
                <w:noProof/>
              </w:rPr>
              <w:t>Figure 38 – Tourism investment pipeline² in Australia by sector and financial year³</w:t>
            </w:r>
            <w:r w:rsidR="002459CF">
              <w:rPr>
                <w:noProof/>
                <w:webHidden/>
              </w:rPr>
              <w:tab/>
            </w:r>
            <w:r w:rsidR="002459CF">
              <w:rPr>
                <w:noProof/>
                <w:webHidden/>
              </w:rPr>
              <w:fldChar w:fldCharType="begin"/>
            </w:r>
            <w:r w:rsidR="002459CF">
              <w:rPr>
                <w:noProof/>
                <w:webHidden/>
              </w:rPr>
              <w:instrText xml:space="preserve"> PAGEREF _Toc171500394 \h </w:instrText>
            </w:r>
            <w:r w:rsidR="002459CF">
              <w:rPr>
                <w:noProof/>
                <w:webHidden/>
              </w:rPr>
            </w:r>
            <w:r w:rsidR="002459CF">
              <w:rPr>
                <w:noProof/>
                <w:webHidden/>
              </w:rPr>
              <w:fldChar w:fldCharType="separate"/>
            </w:r>
            <w:r w:rsidR="002459CF">
              <w:rPr>
                <w:noProof/>
                <w:webHidden/>
              </w:rPr>
              <w:t>47</w:t>
            </w:r>
            <w:r w:rsidR="002459CF">
              <w:rPr>
                <w:noProof/>
                <w:webHidden/>
              </w:rPr>
              <w:fldChar w:fldCharType="end"/>
            </w:r>
          </w:hyperlink>
        </w:p>
        <w:p w14:paraId="43069BDC" w14:textId="5B827F01"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5" w:history="1">
            <w:r w:rsidR="002459CF" w:rsidRPr="00072F18">
              <w:rPr>
                <w:rStyle w:val="Hyperlink"/>
                <w:noProof/>
              </w:rPr>
              <w:t>Figure 39 – Talent attractiveness</w:t>
            </w:r>
            <w:r w:rsidR="002459CF">
              <w:rPr>
                <w:noProof/>
                <w:webHidden/>
              </w:rPr>
              <w:tab/>
            </w:r>
            <w:r w:rsidR="002459CF">
              <w:rPr>
                <w:noProof/>
                <w:webHidden/>
              </w:rPr>
              <w:fldChar w:fldCharType="begin"/>
            </w:r>
            <w:r w:rsidR="002459CF">
              <w:rPr>
                <w:noProof/>
                <w:webHidden/>
              </w:rPr>
              <w:instrText xml:space="preserve"> PAGEREF _Toc171500395 \h </w:instrText>
            </w:r>
            <w:r w:rsidR="002459CF">
              <w:rPr>
                <w:noProof/>
                <w:webHidden/>
              </w:rPr>
            </w:r>
            <w:r w:rsidR="002459CF">
              <w:rPr>
                <w:noProof/>
                <w:webHidden/>
              </w:rPr>
              <w:fldChar w:fldCharType="separate"/>
            </w:r>
            <w:r w:rsidR="002459CF">
              <w:rPr>
                <w:noProof/>
                <w:webHidden/>
              </w:rPr>
              <w:t>49</w:t>
            </w:r>
            <w:r w:rsidR="002459CF">
              <w:rPr>
                <w:noProof/>
                <w:webHidden/>
              </w:rPr>
              <w:fldChar w:fldCharType="end"/>
            </w:r>
          </w:hyperlink>
        </w:p>
        <w:p w14:paraId="6F962986" w14:textId="5441F1C4"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6" w:history="1">
            <w:r w:rsidR="002459CF" w:rsidRPr="00072F18">
              <w:rPr>
                <w:rStyle w:val="Hyperlink"/>
                <w:noProof/>
              </w:rPr>
              <w:t>Figure 40 – Cost of living: Global city rankings, 2023</w:t>
            </w:r>
            <w:r w:rsidR="002459CF">
              <w:rPr>
                <w:noProof/>
                <w:webHidden/>
              </w:rPr>
              <w:tab/>
            </w:r>
            <w:r w:rsidR="002459CF">
              <w:rPr>
                <w:noProof/>
                <w:webHidden/>
              </w:rPr>
              <w:fldChar w:fldCharType="begin"/>
            </w:r>
            <w:r w:rsidR="002459CF">
              <w:rPr>
                <w:noProof/>
                <w:webHidden/>
              </w:rPr>
              <w:instrText xml:space="preserve"> PAGEREF _Toc171500396 \h </w:instrText>
            </w:r>
            <w:r w:rsidR="002459CF">
              <w:rPr>
                <w:noProof/>
                <w:webHidden/>
              </w:rPr>
            </w:r>
            <w:r w:rsidR="002459CF">
              <w:rPr>
                <w:noProof/>
                <w:webHidden/>
              </w:rPr>
              <w:fldChar w:fldCharType="separate"/>
            </w:r>
            <w:r w:rsidR="002459CF">
              <w:rPr>
                <w:noProof/>
                <w:webHidden/>
              </w:rPr>
              <w:t>50</w:t>
            </w:r>
            <w:r w:rsidR="002459CF">
              <w:rPr>
                <w:noProof/>
                <w:webHidden/>
              </w:rPr>
              <w:fldChar w:fldCharType="end"/>
            </w:r>
          </w:hyperlink>
        </w:p>
        <w:p w14:paraId="6EC3FB61" w14:textId="05C3DECB"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7" w:history="1">
            <w:r w:rsidR="002459CF" w:rsidRPr="00072F18">
              <w:rPr>
                <w:rStyle w:val="Hyperlink"/>
                <w:noProof/>
              </w:rPr>
              <w:t>Figure 41 – Number of households with disposable income of more than US$75,000 per annum (selected economies)¹</w:t>
            </w:r>
            <w:r w:rsidR="002459CF">
              <w:rPr>
                <w:noProof/>
                <w:webHidden/>
              </w:rPr>
              <w:tab/>
            </w:r>
            <w:r w:rsidR="002459CF">
              <w:rPr>
                <w:noProof/>
                <w:webHidden/>
              </w:rPr>
              <w:fldChar w:fldCharType="begin"/>
            </w:r>
            <w:r w:rsidR="002459CF">
              <w:rPr>
                <w:noProof/>
                <w:webHidden/>
              </w:rPr>
              <w:instrText xml:space="preserve"> PAGEREF _Toc171500397 \h </w:instrText>
            </w:r>
            <w:r w:rsidR="002459CF">
              <w:rPr>
                <w:noProof/>
                <w:webHidden/>
              </w:rPr>
            </w:r>
            <w:r w:rsidR="002459CF">
              <w:rPr>
                <w:noProof/>
                <w:webHidden/>
              </w:rPr>
              <w:fldChar w:fldCharType="separate"/>
            </w:r>
            <w:r w:rsidR="002459CF">
              <w:rPr>
                <w:noProof/>
                <w:webHidden/>
              </w:rPr>
              <w:t>51</w:t>
            </w:r>
            <w:r w:rsidR="002459CF">
              <w:rPr>
                <w:noProof/>
                <w:webHidden/>
              </w:rPr>
              <w:fldChar w:fldCharType="end"/>
            </w:r>
          </w:hyperlink>
        </w:p>
        <w:p w14:paraId="6F8FA242" w14:textId="12F6D52F"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8" w:history="1">
            <w:r w:rsidR="002459CF" w:rsidRPr="00072F18">
              <w:rPr>
                <w:rStyle w:val="Hyperlink"/>
                <w:noProof/>
              </w:rPr>
              <w:t>Figure 42 – Happiness Index and GDP per capita, 2023</w:t>
            </w:r>
            <w:r w:rsidR="002459CF">
              <w:rPr>
                <w:noProof/>
                <w:webHidden/>
              </w:rPr>
              <w:tab/>
            </w:r>
            <w:r w:rsidR="002459CF">
              <w:rPr>
                <w:noProof/>
                <w:webHidden/>
              </w:rPr>
              <w:fldChar w:fldCharType="begin"/>
            </w:r>
            <w:r w:rsidR="002459CF">
              <w:rPr>
                <w:noProof/>
                <w:webHidden/>
              </w:rPr>
              <w:instrText xml:space="preserve"> PAGEREF _Toc171500398 \h </w:instrText>
            </w:r>
            <w:r w:rsidR="002459CF">
              <w:rPr>
                <w:noProof/>
                <w:webHidden/>
              </w:rPr>
            </w:r>
            <w:r w:rsidR="002459CF">
              <w:rPr>
                <w:noProof/>
                <w:webHidden/>
              </w:rPr>
              <w:fldChar w:fldCharType="separate"/>
            </w:r>
            <w:r w:rsidR="002459CF">
              <w:rPr>
                <w:noProof/>
                <w:webHidden/>
              </w:rPr>
              <w:t>52</w:t>
            </w:r>
            <w:r w:rsidR="002459CF">
              <w:rPr>
                <w:noProof/>
                <w:webHidden/>
              </w:rPr>
              <w:fldChar w:fldCharType="end"/>
            </w:r>
          </w:hyperlink>
        </w:p>
        <w:p w14:paraId="7450BF13" w14:textId="4E274647" w:rsidR="002459CF" w:rsidRDefault="00CF16FA">
          <w:pPr>
            <w:pStyle w:val="TableofFigures"/>
            <w:tabs>
              <w:tab w:val="right" w:leader="dot" w:pos="9968"/>
            </w:tabs>
            <w:rPr>
              <w:rFonts w:eastAsiaTheme="minorEastAsia"/>
              <w:noProof/>
              <w:kern w:val="2"/>
              <w:sz w:val="24"/>
              <w:szCs w:val="24"/>
              <w:lang w:eastAsia="en-AU"/>
              <w14:ligatures w14:val="standardContextual"/>
            </w:rPr>
          </w:pPr>
          <w:hyperlink w:anchor="_Toc171500399" w:history="1">
            <w:r w:rsidR="002459CF" w:rsidRPr="00072F18">
              <w:rPr>
                <w:rStyle w:val="Hyperlink"/>
                <w:noProof/>
              </w:rPr>
              <w:t>Figure 43 – Government healthcare expenditure per capita, 2023</w:t>
            </w:r>
            <w:r w:rsidR="002459CF">
              <w:rPr>
                <w:noProof/>
                <w:webHidden/>
              </w:rPr>
              <w:tab/>
            </w:r>
            <w:r w:rsidR="002459CF">
              <w:rPr>
                <w:noProof/>
                <w:webHidden/>
              </w:rPr>
              <w:fldChar w:fldCharType="begin"/>
            </w:r>
            <w:r w:rsidR="002459CF">
              <w:rPr>
                <w:noProof/>
                <w:webHidden/>
              </w:rPr>
              <w:instrText xml:space="preserve"> PAGEREF _Toc171500399 \h </w:instrText>
            </w:r>
            <w:r w:rsidR="002459CF">
              <w:rPr>
                <w:noProof/>
                <w:webHidden/>
              </w:rPr>
            </w:r>
            <w:r w:rsidR="002459CF">
              <w:rPr>
                <w:noProof/>
                <w:webHidden/>
              </w:rPr>
              <w:fldChar w:fldCharType="separate"/>
            </w:r>
            <w:r w:rsidR="002459CF">
              <w:rPr>
                <w:noProof/>
                <w:webHidden/>
              </w:rPr>
              <w:t>53</w:t>
            </w:r>
            <w:r w:rsidR="002459CF">
              <w:rPr>
                <w:noProof/>
                <w:webHidden/>
              </w:rPr>
              <w:fldChar w:fldCharType="end"/>
            </w:r>
          </w:hyperlink>
        </w:p>
        <w:p w14:paraId="6D80A6A5" w14:textId="58BF3AE8" w:rsidR="0027239D" w:rsidRPr="002322B7" w:rsidRDefault="004A2629" w:rsidP="00257319">
          <w:r w:rsidRPr="002322B7">
            <w:fldChar w:fldCharType="end"/>
          </w:r>
        </w:p>
      </w:sdtContent>
    </w:sdt>
    <w:bookmarkEnd w:id="0"/>
    <w:p w14:paraId="489E1632" w14:textId="77777777" w:rsidR="00F62FE4" w:rsidRPr="002322B7" w:rsidRDefault="00F62FE4" w:rsidP="00257319">
      <w:pPr>
        <w:spacing w:before="0" w:after="160" w:line="259" w:lineRule="auto"/>
      </w:pPr>
      <w:r w:rsidRPr="002322B7">
        <w:br w:type="page"/>
      </w:r>
    </w:p>
    <w:p w14:paraId="3C587734" w14:textId="12EFA661" w:rsidR="008D6A73" w:rsidRPr="002322B7" w:rsidRDefault="007A5F72" w:rsidP="00257319">
      <w:pPr>
        <w:pStyle w:val="Heading-level1"/>
      </w:pPr>
      <w:bookmarkStart w:id="3" w:name="_Toc171500304"/>
      <w:permStart w:id="361199280" w:ed="AUSTRADE\Fernando-ramirez"/>
      <w:permEnd w:id="361199280"/>
      <w:r w:rsidRPr="002322B7">
        <w:lastRenderedPageBreak/>
        <w:t>CEO</w:t>
      </w:r>
      <w:r w:rsidR="00C74E86" w:rsidRPr="002322B7">
        <w:t>’s</w:t>
      </w:r>
      <w:r w:rsidRPr="002322B7">
        <w:t xml:space="preserve"> </w:t>
      </w:r>
      <w:r w:rsidR="00DA6676" w:rsidRPr="002322B7">
        <w:t>f</w:t>
      </w:r>
      <w:r w:rsidRPr="002322B7">
        <w:t>oreword</w:t>
      </w:r>
      <w:bookmarkEnd w:id="3"/>
    </w:p>
    <w:p w14:paraId="111E2DE4" w14:textId="0C73B51D" w:rsidR="004E254C" w:rsidRPr="002322B7" w:rsidRDefault="00E56AC2" w:rsidP="00780480">
      <w:pPr>
        <w:pStyle w:val="Body-copy"/>
        <w:rPr>
          <w:lang w:val="en-AU"/>
        </w:rPr>
      </w:pPr>
      <w:r w:rsidRPr="002322B7">
        <w:rPr>
          <w:lang w:val="en-AU"/>
        </w:rPr>
        <w:t xml:space="preserve">It is with great pleasure </w:t>
      </w:r>
      <w:r w:rsidR="00C92363" w:rsidRPr="002322B7">
        <w:rPr>
          <w:lang w:val="en-AU"/>
        </w:rPr>
        <w:t>t</w:t>
      </w:r>
      <w:r w:rsidR="0024258D" w:rsidRPr="002322B7">
        <w:rPr>
          <w:lang w:val="en-AU"/>
        </w:rPr>
        <w:t>hat I</w:t>
      </w:r>
      <w:r w:rsidR="00C92363" w:rsidRPr="002322B7">
        <w:rPr>
          <w:lang w:val="en-AU"/>
        </w:rPr>
        <w:t xml:space="preserve"> </w:t>
      </w:r>
      <w:r w:rsidR="00E82FD3" w:rsidRPr="002322B7">
        <w:rPr>
          <w:lang w:val="en-AU"/>
        </w:rPr>
        <w:t>present</w:t>
      </w:r>
      <w:r w:rsidRPr="002322B7">
        <w:rPr>
          <w:lang w:val="en-AU"/>
        </w:rPr>
        <w:t xml:space="preserve"> </w:t>
      </w:r>
      <w:r w:rsidR="004F6C49" w:rsidRPr="002322B7">
        <w:rPr>
          <w:lang w:val="en-AU"/>
        </w:rPr>
        <w:t>the Why Australia Benchmark Report 2024</w:t>
      </w:r>
      <w:r w:rsidR="00BD1024" w:rsidRPr="002322B7">
        <w:rPr>
          <w:lang w:val="en-AU"/>
        </w:rPr>
        <w:t xml:space="preserve">. </w:t>
      </w:r>
      <w:r w:rsidR="00E73993" w:rsidRPr="00E73993">
        <w:rPr>
          <w:lang w:val="en-AU"/>
        </w:rPr>
        <w:t xml:space="preserve">This report </w:t>
      </w:r>
      <w:r w:rsidR="00771AF3">
        <w:rPr>
          <w:lang w:val="en-AU"/>
        </w:rPr>
        <w:t xml:space="preserve">is intended </w:t>
      </w:r>
      <w:r w:rsidR="003E5AE3">
        <w:rPr>
          <w:lang w:val="en-AU"/>
        </w:rPr>
        <w:t>to be</w:t>
      </w:r>
      <w:r w:rsidR="00771AF3">
        <w:rPr>
          <w:lang w:val="en-AU"/>
        </w:rPr>
        <w:t xml:space="preserve"> </w:t>
      </w:r>
      <w:r w:rsidR="00E73993" w:rsidRPr="00E73993">
        <w:rPr>
          <w:lang w:val="en-AU"/>
        </w:rPr>
        <w:t xml:space="preserve">a </w:t>
      </w:r>
      <w:r w:rsidR="00771AF3">
        <w:rPr>
          <w:lang w:val="en-AU"/>
        </w:rPr>
        <w:t>key</w:t>
      </w:r>
      <w:r w:rsidR="00E73993" w:rsidRPr="00E73993">
        <w:rPr>
          <w:lang w:val="en-AU"/>
        </w:rPr>
        <w:t xml:space="preserve"> resource for </w:t>
      </w:r>
      <w:r w:rsidR="000E6F55">
        <w:rPr>
          <w:lang w:val="en-AU"/>
        </w:rPr>
        <w:t>d</w:t>
      </w:r>
      <w:r w:rsidR="00E73993" w:rsidRPr="00E73993">
        <w:rPr>
          <w:lang w:val="en-AU"/>
        </w:rPr>
        <w:t xml:space="preserve">ecision-makers involved in foreign investment. As </w:t>
      </w:r>
      <w:r w:rsidR="004A6526">
        <w:rPr>
          <w:lang w:val="en-AU"/>
        </w:rPr>
        <w:t>investors</w:t>
      </w:r>
      <w:r w:rsidR="00E73993" w:rsidRPr="00E73993">
        <w:rPr>
          <w:lang w:val="en-AU"/>
        </w:rPr>
        <w:t xml:space="preserve"> evaluate their future investment and growth strategies, this report highlights Australia's competitive advantages and underscores why Australia is an ideal destination for investment</w:t>
      </w:r>
      <w:r w:rsidR="00522C3A" w:rsidRPr="002322B7">
        <w:rPr>
          <w:lang w:val="en-AU"/>
        </w:rPr>
        <w:t>.</w:t>
      </w:r>
      <w:r w:rsidR="00BE6BDC" w:rsidRPr="002322B7">
        <w:rPr>
          <w:lang w:val="en-AU"/>
        </w:rPr>
        <w:t xml:space="preserve"> </w:t>
      </w:r>
    </w:p>
    <w:p w14:paraId="56284915" w14:textId="4AC8CA63" w:rsidR="00E81820" w:rsidRPr="002322B7" w:rsidRDefault="000E7221" w:rsidP="00780480">
      <w:pPr>
        <w:pStyle w:val="Body-copy"/>
        <w:rPr>
          <w:rFonts w:eastAsia="Times New Roman"/>
          <w:lang w:val="en-AU"/>
        </w:rPr>
      </w:pPr>
      <w:r w:rsidRPr="002322B7">
        <w:rPr>
          <w:rFonts w:eastAsia="Times New Roman"/>
          <w:lang w:val="en-AU"/>
        </w:rPr>
        <w:t>Australia's economic resilience and dynamism are remarkable</w:t>
      </w:r>
      <w:r w:rsidR="00DE58FC" w:rsidRPr="002322B7">
        <w:rPr>
          <w:rFonts w:eastAsia="Times New Roman"/>
          <w:lang w:val="en-AU"/>
        </w:rPr>
        <w:t>.</w:t>
      </w:r>
      <w:r w:rsidR="00DE12CF">
        <w:rPr>
          <w:rFonts w:eastAsia="Times New Roman"/>
          <w:lang w:val="en-AU"/>
        </w:rPr>
        <w:t xml:space="preserve"> </w:t>
      </w:r>
      <w:r w:rsidR="00BB31E0">
        <w:rPr>
          <w:rFonts w:eastAsia="Times New Roman"/>
          <w:lang w:val="en-AU"/>
        </w:rPr>
        <w:t>Before the pandemic</w:t>
      </w:r>
      <w:r w:rsidR="00DE12CF">
        <w:rPr>
          <w:rFonts w:eastAsia="Times New Roman"/>
          <w:lang w:val="en-AU"/>
        </w:rPr>
        <w:t xml:space="preserve">, </w:t>
      </w:r>
      <w:r w:rsidR="00A24C71">
        <w:rPr>
          <w:rFonts w:eastAsia="Times New Roman"/>
          <w:lang w:val="en-AU"/>
        </w:rPr>
        <w:t>Australia</w:t>
      </w:r>
      <w:r w:rsidR="00DE12CF">
        <w:rPr>
          <w:rFonts w:eastAsia="Times New Roman"/>
          <w:lang w:val="en-AU"/>
        </w:rPr>
        <w:t xml:space="preserve"> enjoyed </w:t>
      </w:r>
      <w:r w:rsidR="001F75F7">
        <w:rPr>
          <w:rFonts w:eastAsia="Times New Roman"/>
          <w:lang w:val="en-AU"/>
        </w:rPr>
        <w:t xml:space="preserve">almost </w:t>
      </w:r>
      <w:r w:rsidR="00DE12CF">
        <w:rPr>
          <w:rFonts w:eastAsia="Times New Roman"/>
          <w:lang w:val="en-AU"/>
        </w:rPr>
        <w:t xml:space="preserve">30 years </w:t>
      </w:r>
      <w:r w:rsidR="004C6968">
        <w:rPr>
          <w:rFonts w:eastAsia="Times New Roman"/>
          <w:lang w:val="en-AU"/>
        </w:rPr>
        <w:t xml:space="preserve">of uninterrupted </w:t>
      </w:r>
      <w:r w:rsidR="00E269CF">
        <w:rPr>
          <w:rFonts w:eastAsia="Times New Roman"/>
          <w:lang w:val="en-AU"/>
        </w:rPr>
        <w:t xml:space="preserve">annual </w:t>
      </w:r>
      <w:r w:rsidR="004C6968">
        <w:rPr>
          <w:rFonts w:eastAsia="Times New Roman"/>
          <w:lang w:val="en-AU"/>
        </w:rPr>
        <w:t>economic growth</w:t>
      </w:r>
      <w:r w:rsidR="00CD7AB1">
        <w:rPr>
          <w:rFonts w:eastAsia="Times New Roman"/>
          <w:lang w:val="en-AU"/>
        </w:rPr>
        <w:t>.</w:t>
      </w:r>
      <w:r w:rsidR="00DE58FC" w:rsidRPr="002322B7">
        <w:rPr>
          <w:rFonts w:eastAsia="Times New Roman"/>
          <w:lang w:val="en-AU"/>
        </w:rPr>
        <w:t xml:space="preserve"> </w:t>
      </w:r>
      <w:r w:rsidR="00844D55" w:rsidRPr="00844D55">
        <w:rPr>
          <w:rFonts w:eastAsia="Times New Roman"/>
          <w:lang w:val="en-AU"/>
        </w:rPr>
        <w:t xml:space="preserve">Consistently outpacing </w:t>
      </w:r>
      <w:r w:rsidR="00E27774">
        <w:rPr>
          <w:rFonts w:eastAsia="Times New Roman"/>
          <w:lang w:val="en-AU"/>
        </w:rPr>
        <w:t xml:space="preserve">other </w:t>
      </w:r>
      <w:r w:rsidR="00844D55" w:rsidRPr="00844D55">
        <w:rPr>
          <w:rFonts w:eastAsia="Times New Roman"/>
          <w:lang w:val="en-AU"/>
        </w:rPr>
        <w:t xml:space="preserve">advanced economies, </w:t>
      </w:r>
      <w:r w:rsidR="003A4F89">
        <w:rPr>
          <w:rFonts w:eastAsia="Times New Roman"/>
          <w:lang w:val="en-AU"/>
        </w:rPr>
        <w:t>Australia</w:t>
      </w:r>
      <w:r w:rsidR="00842050">
        <w:rPr>
          <w:rFonts w:eastAsia="Times New Roman"/>
          <w:lang w:val="en-AU"/>
        </w:rPr>
        <w:t xml:space="preserve"> is </w:t>
      </w:r>
      <w:r w:rsidR="00D5178B">
        <w:rPr>
          <w:rFonts w:eastAsia="Times New Roman"/>
          <w:lang w:val="en-AU"/>
        </w:rPr>
        <w:t xml:space="preserve">forecast </w:t>
      </w:r>
      <w:r w:rsidR="003A4F89">
        <w:rPr>
          <w:rFonts w:eastAsia="Times New Roman"/>
          <w:lang w:val="en-AU"/>
        </w:rPr>
        <w:t>to</w:t>
      </w:r>
      <w:r w:rsidR="00F460C4">
        <w:rPr>
          <w:rFonts w:eastAsia="Times New Roman"/>
          <w:lang w:val="en-AU"/>
        </w:rPr>
        <w:t xml:space="preserve"> continue </w:t>
      </w:r>
      <w:r w:rsidR="00417A98">
        <w:rPr>
          <w:rFonts w:eastAsia="Times New Roman"/>
          <w:lang w:val="en-AU"/>
        </w:rPr>
        <w:t xml:space="preserve">to </w:t>
      </w:r>
      <w:r w:rsidR="00F460C4">
        <w:rPr>
          <w:rFonts w:eastAsia="Times New Roman"/>
          <w:lang w:val="en-AU"/>
        </w:rPr>
        <w:t>outperform our pee</w:t>
      </w:r>
      <w:r w:rsidR="00402155">
        <w:rPr>
          <w:rFonts w:eastAsia="Times New Roman"/>
          <w:lang w:val="en-AU"/>
        </w:rPr>
        <w:t>r</w:t>
      </w:r>
      <w:r w:rsidR="00F460C4">
        <w:rPr>
          <w:rFonts w:eastAsia="Times New Roman"/>
          <w:lang w:val="en-AU"/>
        </w:rPr>
        <w:t xml:space="preserve">s </w:t>
      </w:r>
      <w:r w:rsidR="003A171E">
        <w:rPr>
          <w:rFonts w:eastAsia="Times New Roman"/>
          <w:lang w:val="en-AU"/>
        </w:rPr>
        <w:t xml:space="preserve">over the next five years to </w:t>
      </w:r>
      <w:r w:rsidR="00ED0DC2">
        <w:rPr>
          <w:rFonts w:eastAsia="Times New Roman"/>
          <w:lang w:val="en-AU"/>
        </w:rPr>
        <w:t>2029</w:t>
      </w:r>
      <w:r w:rsidR="00532281">
        <w:rPr>
          <w:rFonts w:eastAsia="Times New Roman"/>
          <w:lang w:val="en-AU"/>
        </w:rPr>
        <w:t>.</w:t>
      </w:r>
      <w:r w:rsidR="00A0563E">
        <w:rPr>
          <w:rFonts w:eastAsia="Times New Roman"/>
          <w:lang w:val="en-AU"/>
        </w:rPr>
        <w:t xml:space="preserve"> </w:t>
      </w:r>
    </w:p>
    <w:p w14:paraId="059B95CE" w14:textId="6EEC1B95" w:rsidR="006C65AB" w:rsidRDefault="006C65AB" w:rsidP="006C65AB">
      <w:pPr>
        <w:pStyle w:val="Body-copy"/>
        <w:rPr>
          <w:rFonts w:eastAsia="Times New Roman"/>
          <w:lang w:val="en-AU"/>
        </w:rPr>
      </w:pPr>
      <w:r w:rsidRPr="002322B7">
        <w:rPr>
          <w:rFonts w:eastAsia="Times New Roman"/>
          <w:lang w:val="en-AU"/>
        </w:rPr>
        <w:t>Australia is a global leader</w:t>
      </w:r>
      <w:r w:rsidR="00A76B05">
        <w:rPr>
          <w:rFonts w:eastAsia="Times New Roman"/>
          <w:lang w:val="en-AU"/>
        </w:rPr>
        <w:t xml:space="preserve"> in </w:t>
      </w:r>
      <w:r w:rsidR="00A76B05" w:rsidRPr="002322B7">
        <w:rPr>
          <w:rFonts w:eastAsia="Times New Roman"/>
          <w:lang w:val="en-AU"/>
        </w:rPr>
        <w:t>renewable energy</w:t>
      </w:r>
      <w:r w:rsidRPr="002322B7">
        <w:rPr>
          <w:rFonts w:eastAsia="Times New Roman"/>
          <w:lang w:val="en-AU"/>
        </w:rPr>
        <w:t xml:space="preserve">. </w:t>
      </w:r>
      <w:r w:rsidR="00954DF6">
        <w:rPr>
          <w:rFonts w:eastAsia="Times New Roman"/>
          <w:lang w:val="en-AU"/>
        </w:rPr>
        <w:t>Australia</w:t>
      </w:r>
      <w:r w:rsidR="00304D5F" w:rsidRPr="00304D5F">
        <w:rPr>
          <w:rFonts w:eastAsia="Times New Roman"/>
          <w:lang w:val="en-AU"/>
        </w:rPr>
        <w:t xml:space="preserve"> holds the title of the largest producer of solar energy per person</w:t>
      </w:r>
      <w:r w:rsidR="009F2CC4">
        <w:rPr>
          <w:rFonts w:eastAsia="Times New Roman"/>
          <w:lang w:val="en-AU"/>
        </w:rPr>
        <w:t xml:space="preserve"> and</w:t>
      </w:r>
      <w:r w:rsidR="00304D5F" w:rsidRPr="00304D5F">
        <w:rPr>
          <w:rFonts w:eastAsia="Times New Roman"/>
          <w:lang w:val="en-AU"/>
        </w:rPr>
        <w:t xml:space="preserve"> has significant potential for offshore wind generation. </w:t>
      </w:r>
      <w:r w:rsidR="00A76B05" w:rsidRPr="002322B7">
        <w:rPr>
          <w:rFonts w:eastAsia="Times New Roman"/>
          <w:lang w:val="en-AU"/>
        </w:rPr>
        <w:t xml:space="preserve">Australia is </w:t>
      </w:r>
      <w:r w:rsidR="00910F69">
        <w:rPr>
          <w:rFonts w:eastAsia="Times New Roman"/>
          <w:lang w:val="en-AU"/>
        </w:rPr>
        <w:t xml:space="preserve">also </w:t>
      </w:r>
      <w:r w:rsidR="00A76B05" w:rsidRPr="002322B7">
        <w:rPr>
          <w:rFonts w:eastAsia="Times New Roman"/>
          <w:lang w:val="en-AU"/>
        </w:rPr>
        <w:t>a</w:t>
      </w:r>
      <w:r w:rsidR="007F54BA">
        <w:rPr>
          <w:rFonts w:eastAsia="Times New Roman"/>
          <w:lang w:val="en-AU"/>
        </w:rPr>
        <w:t>t the forefro</w:t>
      </w:r>
      <w:r w:rsidR="004E6013">
        <w:rPr>
          <w:rFonts w:eastAsia="Times New Roman"/>
          <w:lang w:val="en-AU"/>
        </w:rPr>
        <w:t>n</w:t>
      </w:r>
      <w:r w:rsidR="007F54BA">
        <w:rPr>
          <w:rFonts w:eastAsia="Times New Roman"/>
          <w:lang w:val="en-AU"/>
        </w:rPr>
        <w:t xml:space="preserve">t </w:t>
      </w:r>
      <w:r w:rsidR="004E6013">
        <w:rPr>
          <w:rFonts w:eastAsia="Times New Roman"/>
          <w:lang w:val="en-AU"/>
        </w:rPr>
        <w:t>of</w:t>
      </w:r>
      <w:r w:rsidR="00A76B05" w:rsidRPr="002322B7">
        <w:rPr>
          <w:rFonts w:eastAsia="Times New Roman"/>
          <w:lang w:val="en-AU"/>
        </w:rPr>
        <w:t xml:space="preserve"> </w:t>
      </w:r>
      <w:r w:rsidR="00A76B05">
        <w:rPr>
          <w:rFonts w:eastAsia="Times New Roman"/>
          <w:lang w:val="en-AU"/>
        </w:rPr>
        <w:t xml:space="preserve">critical minerals. </w:t>
      </w:r>
      <w:r w:rsidR="002D2024">
        <w:rPr>
          <w:rFonts w:eastAsia="Times New Roman"/>
          <w:lang w:val="en-AU"/>
        </w:rPr>
        <w:t>We have</w:t>
      </w:r>
      <w:r w:rsidRPr="002322B7">
        <w:rPr>
          <w:rFonts w:eastAsia="Times New Roman"/>
          <w:lang w:val="en-AU"/>
        </w:rPr>
        <w:t xml:space="preserve"> the largest known reserves of nickel, the 2</w:t>
      </w:r>
      <w:r w:rsidRPr="00AD5BDA">
        <w:rPr>
          <w:rFonts w:eastAsia="Times New Roman"/>
          <w:vertAlign w:val="superscript"/>
          <w:lang w:val="en-AU"/>
        </w:rPr>
        <w:t>nd</w:t>
      </w:r>
      <w:r>
        <w:rPr>
          <w:rFonts w:eastAsia="Times New Roman"/>
          <w:lang w:val="en-AU"/>
        </w:rPr>
        <w:t>-</w:t>
      </w:r>
      <w:r w:rsidRPr="002322B7">
        <w:rPr>
          <w:rFonts w:eastAsia="Times New Roman"/>
          <w:lang w:val="en-AU"/>
        </w:rPr>
        <w:t>largest reserves of lithium</w:t>
      </w:r>
      <w:r w:rsidR="00382A9D" w:rsidRPr="00382A9D">
        <w:rPr>
          <w:rFonts w:eastAsia="Times New Roman"/>
          <w:lang w:val="en-AU"/>
        </w:rPr>
        <w:t xml:space="preserve">, </w:t>
      </w:r>
      <w:r w:rsidRPr="002322B7">
        <w:rPr>
          <w:rFonts w:eastAsia="Times New Roman"/>
          <w:lang w:val="en-AU"/>
        </w:rPr>
        <w:t>cobalt</w:t>
      </w:r>
      <w:r w:rsidR="00382A9D" w:rsidRPr="00382A9D">
        <w:rPr>
          <w:rFonts w:eastAsia="Times New Roman"/>
          <w:lang w:val="en-AU"/>
        </w:rPr>
        <w:t xml:space="preserve"> and tantalum</w:t>
      </w:r>
      <w:r w:rsidRPr="002322B7">
        <w:rPr>
          <w:rFonts w:eastAsia="Times New Roman"/>
          <w:lang w:val="en-AU"/>
        </w:rPr>
        <w:t>, and the world’s 6</w:t>
      </w:r>
      <w:r w:rsidRPr="00A73476">
        <w:rPr>
          <w:rFonts w:eastAsia="Times New Roman"/>
          <w:vertAlign w:val="superscript"/>
          <w:lang w:val="en-AU"/>
        </w:rPr>
        <w:t>th</w:t>
      </w:r>
      <w:r>
        <w:rPr>
          <w:rFonts w:eastAsia="Times New Roman"/>
          <w:lang w:val="en-AU"/>
        </w:rPr>
        <w:t>-</w:t>
      </w:r>
      <w:r w:rsidRPr="002322B7">
        <w:rPr>
          <w:rFonts w:eastAsia="Times New Roman"/>
          <w:lang w:val="en-AU"/>
        </w:rPr>
        <w:t xml:space="preserve">largest reserves of rare earth minerals. </w:t>
      </w:r>
      <w:r w:rsidR="003A483D" w:rsidRPr="003A483D">
        <w:rPr>
          <w:rFonts w:eastAsia="Times New Roman"/>
          <w:lang w:val="en-AU"/>
        </w:rPr>
        <w:t>Australia is also well-regarded for its strong environmental, social, and governance (ESG) credentials, and our reliable legal system offers predictability and protection for investors.</w:t>
      </w:r>
    </w:p>
    <w:p w14:paraId="3CCEC3A6" w14:textId="07ECE9A6" w:rsidR="006C65AB" w:rsidRPr="002322B7" w:rsidRDefault="006C65AB" w:rsidP="006C65AB">
      <w:pPr>
        <w:pStyle w:val="Body-copy"/>
        <w:rPr>
          <w:rFonts w:eastAsia="Times New Roman"/>
          <w:lang w:val="en-AU"/>
        </w:rPr>
      </w:pPr>
      <w:r w:rsidRPr="004215FA">
        <w:rPr>
          <w:rFonts w:eastAsia="Times New Roman"/>
          <w:lang w:val="en-AU"/>
        </w:rPr>
        <w:t>The Australian Government</w:t>
      </w:r>
      <w:r>
        <w:rPr>
          <w:rFonts w:eastAsia="Times New Roman"/>
          <w:lang w:val="en-AU"/>
        </w:rPr>
        <w:t xml:space="preserve"> will invest A$22.7 billion</w:t>
      </w:r>
      <w:r w:rsidR="00F81EF7">
        <w:rPr>
          <w:rFonts w:eastAsia="Times New Roman"/>
          <w:lang w:val="en-AU"/>
        </w:rPr>
        <w:t xml:space="preserve"> (US$15</w:t>
      </w:r>
      <w:r w:rsidR="005C2548">
        <w:rPr>
          <w:rFonts w:eastAsia="Times New Roman"/>
          <w:lang w:val="en-AU"/>
        </w:rPr>
        <w:t>.2</w:t>
      </w:r>
      <w:r w:rsidR="00F81EF7">
        <w:rPr>
          <w:rFonts w:eastAsia="Times New Roman"/>
          <w:lang w:val="en-AU"/>
        </w:rPr>
        <w:t xml:space="preserve"> billion)</w:t>
      </w:r>
      <w:r>
        <w:rPr>
          <w:rFonts w:eastAsia="Times New Roman"/>
          <w:lang w:val="en-AU"/>
        </w:rPr>
        <w:t xml:space="preserve"> over the next decade to build</w:t>
      </w:r>
      <w:r w:rsidRPr="004215FA">
        <w:rPr>
          <w:rFonts w:eastAsia="Times New Roman"/>
          <w:lang w:val="en-AU"/>
        </w:rPr>
        <w:t xml:space="preserve"> a Future Made in Australia</w:t>
      </w:r>
      <w:r>
        <w:rPr>
          <w:rFonts w:eastAsia="Times New Roman"/>
          <w:lang w:val="en-AU"/>
        </w:rPr>
        <w:t>. This is a plan to</w:t>
      </w:r>
      <w:r w:rsidRPr="004215FA">
        <w:rPr>
          <w:rFonts w:eastAsia="Times New Roman"/>
          <w:lang w:val="en-AU"/>
        </w:rPr>
        <w:t xml:space="preserve"> encourage and facilitate private sector investment </w:t>
      </w:r>
      <w:r w:rsidR="00753162">
        <w:rPr>
          <w:rFonts w:eastAsia="Times New Roman"/>
          <w:lang w:val="en-AU"/>
        </w:rPr>
        <w:t>and</w:t>
      </w:r>
      <w:r w:rsidRPr="004215FA">
        <w:rPr>
          <w:rFonts w:eastAsia="Times New Roman"/>
          <w:lang w:val="en-AU"/>
        </w:rPr>
        <w:t xml:space="preserve"> will present significant opportunities for investors in renewable hydrogen, critical minerals processing, green metals, low carbon liquid fuels, and clean energy manufacturing.</w:t>
      </w:r>
      <w:r w:rsidRPr="002322B7">
        <w:rPr>
          <w:rFonts w:eastAsia="Times New Roman"/>
          <w:lang w:val="en-AU"/>
        </w:rPr>
        <w:t xml:space="preserve"> </w:t>
      </w:r>
    </w:p>
    <w:p w14:paraId="238EEB5C" w14:textId="384FC326" w:rsidR="007C5A8C" w:rsidRPr="002322B7" w:rsidRDefault="007C5A8C" w:rsidP="00780480">
      <w:pPr>
        <w:pStyle w:val="Body-copy"/>
        <w:rPr>
          <w:rFonts w:eastAsia="Times New Roman"/>
          <w:lang w:val="en-AU"/>
        </w:rPr>
      </w:pPr>
      <w:r w:rsidRPr="002322B7">
        <w:rPr>
          <w:rFonts w:eastAsia="Times New Roman"/>
          <w:lang w:val="en-AU"/>
        </w:rPr>
        <w:t xml:space="preserve">Strong global ties make Australia a prosperous trading nation. </w:t>
      </w:r>
      <w:r w:rsidR="004C2087">
        <w:rPr>
          <w:rFonts w:eastAsia="Times New Roman"/>
          <w:lang w:val="en-AU"/>
        </w:rPr>
        <w:t>O</w:t>
      </w:r>
      <w:r w:rsidR="004C2087" w:rsidRPr="003928FB">
        <w:rPr>
          <w:rFonts w:eastAsia="Times New Roman"/>
          <w:lang w:val="en-AU"/>
        </w:rPr>
        <w:t xml:space="preserve">ur </w:t>
      </w:r>
      <w:r w:rsidR="003A483D">
        <w:rPr>
          <w:rFonts w:eastAsia="Times New Roman"/>
          <w:lang w:val="en-AU"/>
        </w:rPr>
        <w:t>healthy</w:t>
      </w:r>
      <w:r w:rsidR="004C2087" w:rsidRPr="003928FB">
        <w:rPr>
          <w:rFonts w:eastAsia="Times New Roman"/>
          <w:lang w:val="en-AU"/>
        </w:rPr>
        <w:t xml:space="preserve"> </w:t>
      </w:r>
      <w:r w:rsidR="004C2087">
        <w:rPr>
          <w:rFonts w:eastAsia="Times New Roman"/>
          <w:lang w:val="en-AU"/>
        </w:rPr>
        <w:t>economic</w:t>
      </w:r>
      <w:r w:rsidR="004C2087" w:rsidRPr="003928FB">
        <w:rPr>
          <w:rFonts w:eastAsia="Times New Roman"/>
          <w:lang w:val="en-AU"/>
        </w:rPr>
        <w:t xml:space="preserve"> outlook partly reflects the prosperity of </w:t>
      </w:r>
      <w:r w:rsidR="004C2087">
        <w:rPr>
          <w:rFonts w:eastAsia="Times New Roman"/>
          <w:lang w:val="en-AU"/>
        </w:rPr>
        <w:t>Asia</w:t>
      </w:r>
      <w:r w:rsidR="00FA6705">
        <w:rPr>
          <w:rFonts w:eastAsia="Times New Roman"/>
          <w:lang w:val="en-AU"/>
        </w:rPr>
        <w:t>,</w:t>
      </w:r>
      <w:r w:rsidR="003658FF">
        <w:rPr>
          <w:rFonts w:eastAsia="Times New Roman"/>
          <w:lang w:val="en-AU"/>
        </w:rPr>
        <w:t xml:space="preserve"> with Australia enjoying </w:t>
      </w:r>
      <w:r w:rsidR="00366E08">
        <w:rPr>
          <w:rFonts w:eastAsia="Times New Roman"/>
          <w:lang w:val="en-AU"/>
        </w:rPr>
        <w:t xml:space="preserve">the trade benefits of being </w:t>
      </w:r>
      <w:r w:rsidR="00872758">
        <w:rPr>
          <w:rFonts w:eastAsia="Times New Roman"/>
          <w:lang w:val="en-AU"/>
        </w:rPr>
        <w:t xml:space="preserve">close </w:t>
      </w:r>
      <w:r w:rsidR="00BD5711">
        <w:rPr>
          <w:rFonts w:eastAsia="Times New Roman"/>
          <w:lang w:val="en-AU"/>
        </w:rPr>
        <w:t xml:space="preserve">to </w:t>
      </w:r>
      <w:r w:rsidR="00F506FD">
        <w:rPr>
          <w:rFonts w:eastAsia="Times New Roman"/>
          <w:lang w:val="en-AU"/>
        </w:rPr>
        <w:t>many</w:t>
      </w:r>
      <w:r w:rsidR="001F7610">
        <w:rPr>
          <w:rFonts w:eastAsia="Times New Roman"/>
          <w:lang w:val="en-AU"/>
        </w:rPr>
        <w:t xml:space="preserve"> of the fastest growing </w:t>
      </w:r>
      <w:r w:rsidR="00F41BF6">
        <w:rPr>
          <w:rFonts w:eastAsia="Times New Roman"/>
          <w:lang w:val="en-AU"/>
        </w:rPr>
        <w:t>economies in the world</w:t>
      </w:r>
      <w:r w:rsidR="007C54FF">
        <w:rPr>
          <w:rFonts w:eastAsia="Times New Roman"/>
          <w:lang w:val="en-AU"/>
        </w:rPr>
        <w:t>.</w:t>
      </w:r>
    </w:p>
    <w:p w14:paraId="64E70868" w14:textId="7D5C9F52" w:rsidR="00101351" w:rsidRPr="002322B7" w:rsidRDefault="004255CB" w:rsidP="00780480">
      <w:pPr>
        <w:pStyle w:val="Body-copy"/>
        <w:rPr>
          <w:lang w:val="en-AU"/>
        </w:rPr>
      </w:pPr>
      <w:r w:rsidRPr="002322B7">
        <w:rPr>
          <w:lang w:val="en-AU"/>
        </w:rPr>
        <w:t>According</w:t>
      </w:r>
      <w:r w:rsidR="003264E4" w:rsidRPr="002322B7">
        <w:rPr>
          <w:lang w:val="en-AU"/>
        </w:rPr>
        <w:t xml:space="preserve"> to the United Nations, </w:t>
      </w:r>
      <w:r w:rsidR="00FC70A1">
        <w:rPr>
          <w:lang w:val="en-AU"/>
        </w:rPr>
        <w:t>Australia</w:t>
      </w:r>
      <w:r w:rsidR="00FC70A1" w:rsidRPr="002322B7">
        <w:rPr>
          <w:lang w:val="en-AU"/>
        </w:rPr>
        <w:t xml:space="preserve"> </w:t>
      </w:r>
      <w:r w:rsidR="00771529" w:rsidRPr="002322B7">
        <w:rPr>
          <w:lang w:val="en-AU"/>
        </w:rPr>
        <w:t>ha</w:t>
      </w:r>
      <w:r w:rsidR="00FC70A1">
        <w:rPr>
          <w:lang w:val="en-AU"/>
        </w:rPr>
        <w:t>s</w:t>
      </w:r>
      <w:r w:rsidR="00771529" w:rsidRPr="002322B7">
        <w:rPr>
          <w:lang w:val="en-AU"/>
        </w:rPr>
        <w:t xml:space="preserve"> the highest </w:t>
      </w:r>
      <w:r w:rsidR="00194326" w:rsidRPr="002322B7">
        <w:rPr>
          <w:lang w:val="en-AU"/>
        </w:rPr>
        <w:t>global ranking</w:t>
      </w:r>
      <w:r w:rsidR="00FE6CFE" w:rsidRPr="002322B7">
        <w:rPr>
          <w:lang w:val="en-AU"/>
        </w:rPr>
        <w:t xml:space="preserve"> </w:t>
      </w:r>
      <w:r w:rsidR="00864E84" w:rsidRPr="002322B7">
        <w:rPr>
          <w:lang w:val="en-AU"/>
        </w:rPr>
        <w:t>for</w:t>
      </w:r>
      <w:r w:rsidR="00771529" w:rsidRPr="002322B7">
        <w:rPr>
          <w:lang w:val="en-AU"/>
        </w:rPr>
        <w:t xml:space="preserve"> s</w:t>
      </w:r>
      <w:r w:rsidR="003264E4" w:rsidRPr="002322B7">
        <w:rPr>
          <w:lang w:val="en-AU"/>
        </w:rPr>
        <w:t xml:space="preserve">kills </w:t>
      </w:r>
      <w:r w:rsidR="00864E84" w:rsidRPr="002322B7">
        <w:rPr>
          <w:lang w:val="en-AU"/>
        </w:rPr>
        <w:t>related to</w:t>
      </w:r>
      <w:r w:rsidR="003264E4" w:rsidRPr="002322B7">
        <w:rPr>
          <w:lang w:val="en-AU"/>
        </w:rPr>
        <w:t xml:space="preserve"> using, adopting and adapting frontier technologies</w:t>
      </w:r>
      <w:r w:rsidR="00771529" w:rsidRPr="002322B7">
        <w:rPr>
          <w:lang w:val="en-AU"/>
        </w:rPr>
        <w:t xml:space="preserve">. </w:t>
      </w:r>
      <w:r w:rsidR="00BB1BE1" w:rsidRPr="002322B7">
        <w:rPr>
          <w:lang w:val="en-AU"/>
        </w:rPr>
        <w:t xml:space="preserve">No wonder </w:t>
      </w:r>
      <w:r w:rsidR="00C95533" w:rsidRPr="002322B7">
        <w:rPr>
          <w:lang w:val="en-AU"/>
        </w:rPr>
        <w:t>Australian</w:t>
      </w:r>
      <w:r w:rsidR="002320B8" w:rsidRPr="002322B7">
        <w:rPr>
          <w:lang w:val="en-AU"/>
        </w:rPr>
        <w:t>s</w:t>
      </w:r>
      <w:r w:rsidR="004E7AF6" w:rsidRPr="002322B7">
        <w:rPr>
          <w:lang w:val="en-AU"/>
        </w:rPr>
        <w:t>’</w:t>
      </w:r>
      <w:r w:rsidR="002320B8" w:rsidRPr="002322B7">
        <w:rPr>
          <w:lang w:val="en-AU"/>
        </w:rPr>
        <w:t xml:space="preserve"> </w:t>
      </w:r>
      <w:r w:rsidR="00C721B3" w:rsidRPr="002322B7">
        <w:rPr>
          <w:lang w:val="en-AU"/>
        </w:rPr>
        <w:t>noteworthy</w:t>
      </w:r>
      <w:r w:rsidR="000B1286" w:rsidRPr="002322B7">
        <w:rPr>
          <w:lang w:val="en-AU"/>
        </w:rPr>
        <w:t xml:space="preserve"> </w:t>
      </w:r>
      <w:r w:rsidR="00C95533" w:rsidRPr="002322B7">
        <w:rPr>
          <w:lang w:val="en-AU"/>
        </w:rPr>
        <w:t>inventions include the electronic pacemaker, polymer bank notes, the inflatable aircraft escape slide</w:t>
      </w:r>
      <w:r w:rsidR="006140D3" w:rsidRPr="002322B7">
        <w:rPr>
          <w:lang w:val="en-AU"/>
        </w:rPr>
        <w:t xml:space="preserve"> </w:t>
      </w:r>
      <w:r w:rsidR="00FD58D9" w:rsidRPr="002322B7">
        <w:rPr>
          <w:lang w:val="en-AU"/>
        </w:rPr>
        <w:t>and</w:t>
      </w:r>
      <w:r w:rsidR="00C95533" w:rsidRPr="002322B7">
        <w:rPr>
          <w:lang w:val="en-AU"/>
        </w:rPr>
        <w:t xml:space="preserve"> the human papilloma virus vaccine.</w:t>
      </w:r>
    </w:p>
    <w:p w14:paraId="702C4547" w14:textId="7E4011B1" w:rsidR="0087477E" w:rsidRPr="002322B7" w:rsidRDefault="0087477E" w:rsidP="00780480">
      <w:pPr>
        <w:pStyle w:val="Body-copy"/>
        <w:rPr>
          <w:rFonts w:eastAsia="Times New Roman"/>
          <w:lang w:val="en-AU"/>
        </w:rPr>
      </w:pPr>
      <w:r w:rsidRPr="002322B7">
        <w:rPr>
          <w:rFonts w:eastAsia="Times New Roman"/>
          <w:lang w:val="en-AU"/>
        </w:rPr>
        <w:t xml:space="preserve">This report details Australia’s </w:t>
      </w:r>
      <w:r w:rsidR="00C93481">
        <w:rPr>
          <w:rFonts w:eastAsia="Times New Roman"/>
          <w:lang w:val="en-AU"/>
        </w:rPr>
        <w:t xml:space="preserve">compelling </w:t>
      </w:r>
      <w:r w:rsidRPr="002322B7">
        <w:rPr>
          <w:rFonts w:eastAsia="Times New Roman"/>
          <w:lang w:val="en-AU"/>
        </w:rPr>
        <w:t xml:space="preserve">value proposition. Our political stability, transparent regulations, and strong international trade relations ensure a secure and thriving </w:t>
      </w:r>
      <w:r w:rsidR="00954379">
        <w:rPr>
          <w:rFonts w:eastAsia="Times New Roman"/>
          <w:lang w:val="en-AU"/>
        </w:rPr>
        <w:t>business</w:t>
      </w:r>
      <w:r w:rsidR="00954379" w:rsidRPr="002322B7">
        <w:rPr>
          <w:rFonts w:eastAsia="Times New Roman"/>
          <w:lang w:val="en-AU"/>
        </w:rPr>
        <w:t xml:space="preserve"> </w:t>
      </w:r>
      <w:r w:rsidRPr="002322B7">
        <w:rPr>
          <w:rFonts w:eastAsia="Times New Roman"/>
          <w:lang w:val="en-AU"/>
        </w:rPr>
        <w:t>environment.</w:t>
      </w:r>
    </w:p>
    <w:p w14:paraId="4970BD44" w14:textId="4787EDD4" w:rsidR="00E56AC2" w:rsidRPr="002322B7" w:rsidRDefault="0000042F" w:rsidP="00780480">
      <w:pPr>
        <w:pStyle w:val="Body-copy"/>
        <w:rPr>
          <w:lang w:val="en-AU"/>
        </w:rPr>
      </w:pPr>
      <w:r w:rsidRPr="002322B7">
        <w:rPr>
          <w:rFonts w:eastAsia="Times New Roman"/>
          <w:lang w:val="en-AU"/>
        </w:rPr>
        <w:t xml:space="preserve">Explore </w:t>
      </w:r>
      <w:r w:rsidR="00E56AC2" w:rsidRPr="002322B7">
        <w:rPr>
          <w:lang w:val="en-AU"/>
        </w:rPr>
        <w:t xml:space="preserve">the Why Australia Benchmark Report and discover why Australia is an exceptional choice for your business ventures. </w:t>
      </w:r>
    </w:p>
    <w:p w14:paraId="332EA36F" w14:textId="0DDD452C" w:rsidR="007A5F72" w:rsidRPr="002322B7" w:rsidRDefault="00E56AC2" w:rsidP="00780480">
      <w:pPr>
        <w:pStyle w:val="Body-copy"/>
        <w:rPr>
          <w:lang w:val="en-AU"/>
        </w:rPr>
      </w:pPr>
      <w:r w:rsidRPr="002322B7">
        <w:rPr>
          <w:lang w:val="en-AU"/>
        </w:rPr>
        <w:t>Sincerely,</w:t>
      </w:r>
    </w:p>
    <w:p w14:paraId="29749B35" w14:textId="07718AE3" w:rsidR="00870BDC" w:rsidRPr="002322B7" w:rsidRDefault="00870BDC" w:rsidP="00780480">
      <w:pPr>
        <w:pStyle w:val="Body-copy"/>
        <w:rPr>
          <w:lang w:val="en-AU"/>
        </w:rPr>
      </w:pPr>
      <w:r w:rsidRPr="002322B7">
        <w:rPr>
          <w:lang w:val="en-AU"/>
        </w:rPr>
        <w:t>Xavier Simonet</w:t>
      </w:r>
    </w:p>
    <w:p w14:paraId="5D01B073" w14:textId="7D122669" w:rsidR="00544D48" w:rsidRPr="002322B7" w:rsidRDefault="00154B48" w:rsidP="00257319">
      <w:pPr>
        <w:pStyle w:val="Heading-level1"/>
      </w:pPr>
      <w:bookmarkStart w:id="4" w:name="_Toc161232029"/>
      <w:bookmarkStart w:id="5" w:name="_Toc171500305"/>
      <w:r w:rsidRPr="002322B7">
        <w:lastRenderedPageBreak/>
        <w:t>C</w:t>
      </w:r>
      <w:r w:rsidR="00850E04" w:rsidRPr="002322B7">
        <w:t>hapter 1</w:t>
      </w:r>
      <w:r w:rsidRPr="002322B7">
        <w:t xml:space="preserve"> – Fundamentals</w:t>
      </w:r>
      <w:bookmarkEnd w:id="4"/>
      <w:bookmarkEnd w:id="5"/>
    </w:p>
    <w:p w14:paraId="2840302E" w14:textId="77777777" w:rsidR="00FD7AB4" w:rsidRPr="002322B7" w:rsidRDefault="00FD7AB4" w:rsidP="00FD7AB4">
      <w:pPr>
        <w:pStyle w:val="Quote"/>
      </w:pPr>
      <w:r w:rsidRPr="002322B7">
        <w:t>A growing economy</w:t>
      </w:r>
    </w:p>
    <w:p w14:paraId="418527F5" w14:textId="2FD87107" w:rsidR="00FD7AB4" w:rsidRPr="002322B7" w:rsidRDefault="00FD7AB4" w:rsidP="003F1867">
      <w:pPr>
        <w:pStyle w:val="Body-copy"/>
        <w:rPr>
          <w:lang w:val="en-AU"/>
        </w:rPr>
      </w:pPr>
      <w:r w:rsidRPr="002322B7">
        <w:rPr>
          <w:lang w:val="en-AU"/>
        </w:rPr>
        <w:t>Australia's economy is strong</w:t>
      </w:r>
      <w:r w:rsidR="00570E0A" w:rsidRPr="002322B7">
        <w:rPr>
          <w:lang w:val="en-AU"/>
        </w:rPr>
        <w:t xml:space="preserve"> and</w:t>
      </w:r>
      <w:r w:rsidR="006566B3" w:rsidRPr="002322B7">
        <w:rPr>
          <w:lang w:val="en-AU"/>
        </w:rPr>
        <w:t xml:space="preserve"> resilie</w:t>
      </w:r>
      <w:r w:rsidR="00570E0A" w:rsidRPr="002322B7">
        <w:rPr>
          <w:lang w:val="en-AU"/>
        </w:rPr>
        <w:t>nt</w:t>
      </w:r>
      <w:r w:rsidR="004D0C9D" w:rsidRPr="002322B7">
        <w:rPr>
          <w:lang w:val="en-AU"/>
        </w:rPr>
        <w:t xml:space="preserve">. </w:t>
      </w:r>
      <w:r w:rsidRPr="002322B7">
        <w:rPr>
          <w:lang w:val="en-AU"/>
        </w:rPr>
        <w:t>On current forecasts, Australia’s economy will have grown by 1</w:t>
      </w:r>
      <w:r w:rsidR="00E205D6" w:rsidRPr="002322B7">
        <w:rPr>
          <w:lang w:val="en-AU"/>
        </w:rPr>
        <w:t>1.1</w:t>
      </w:r>
      <w:r w:rsidRPr="002322B7">
        <w:rPr>
          <w:lang w:val="en-AU"/>
        </w:rPr>
        <w:t>% from 2019 to 2024</w:t>
      </w:r>
      <w:r w:rsidR="0022673F" w:rsidRPr="002322B7">
        <w:rPr>
          <w:lang w:val="en-AU"/>
        </w:rPr>
        <w:t>. This</w:t>
      </w:r>
      <w:r w:rsidR="00B24D75" w:rsidRPr="002322B7">
        <w:rPr>
          <w:lang w:val="en-AU"/>
        </w:rPr>
        <w:t xml:space="preserve"> is much stronger </w:t>
      </w:r>
      <w:r w:rsidR="00D74CA2" w:rsidRPr="002322B7">
        <w:rPr>
          <w:lang w:val="en-AU"/>
        </w:rPr>
        <w:t>than the</w:t>
      </w:r>
      <w:r w:rsidRPr="002322B7">
        <w:rPr>
          <w:lang w:val="en-AU"/>
        </w:rPr>
        <w:t xml:space="preserve"> average </w:t>
      </w:r>
      <w:r w:rsidR="00D74CA2" w:rsidRPr="002322B7">
        <w:rPr>
          <w:lang w:val="en-AU"/>
        </w:rPr>
        <w:t xml:space="preserve">of </w:t>
      </w:r>
      <w:r w:rsidR="00E205D6" w:rsidRPr="002322B7">
        <w:rPr>
          <w:lang w:val="en-AU"/>
        </w:rPr>
        <w:t>7.8</w:t>
      </w:r>
      <w:r w:rsidRPr="002322B7">
        <w:rPr>
          <w:lang w:val="en-AU"/>
        </w:rPr>
        <w:t>% for advanced economies</w:t>
      </w:r>
      <w:r w:rsidR="00D015AC">
        <w:rPr>
          <w:lang w:val="en-AU"/>
        </w:rPr>
        <w:t xml:space="preserve">, </w:t>
      </w:r>
      <w:r w:rsidR="005D4F29" w:rsidRPr="002322B7">
        <w:rPr>
          <w:lang w:val="en-AU"/>
        </w:rPr>
        <w:t>c</w:t>
      </w:r>
      <w:r w:rsidR="004D0C9D" w:rsidRPr="002322B7">
        <w:rPr>
          <w:lang w:val="en-AU"/>
        </w:rPr>
        <w:t>ement</w:t>
      </w:r>
      <w:r w:rsidR="00D015AC">
        <w:rPr>
          <w:lang w:val="en-AU"/>
        </w:rPr>
        <w:t>ing</w:t>
      </w:r>
      <w:r w:rsidR="004D0C9D" w:rsidRPr="002322B7">
        <w:rPr>
          <w:lang w:val="en-AU"/>
        </w:rPr>
        <w:t xml:space="preserve"> </w:t>
      </w:r>
      <w:r w:rsidR="00D015AC">
        <w:rPr>
          <w:lang w:val="en-AU"/>
        </w:rPr>
        <w:t>Australia’s</w:t>
      </w:r>
      <w:r w:rsidR="004D0C9D" w:rsidRPr="002322B7">
        <w:rPr>
          <w:lang w:val="en-AU"/>
        </w:rPr>
        <w:t xml:space="preserve"> place as the world's 13</w:t>
      </w:r>
      <w:r w:rsidR="004D0C9D" w:rsidRPr="002322B7">
        <w:rPr>
          <w:vertAlign w:val="superscript"/>
          <w:lang w:val="en-AU"/>
        </w:rPr>
        <w:t>th</w:t>
      </w:r>
      <w:r w:rsidR="00157915">
        <w:rPr>
          <w:lang w:val="en-AU"/>
        </w:rPr>
        <w:t>-</w:t>
      </w:r>
      <w:r w:rsidR="004D0C9D" w:rsidRPr="002322B7">
        <w:rPr>
          <w:lang w:val="en-AU"/>
        </w:rPr>
        <w:t>largest</w:t>
      </w:r>
      <w:r w:rsidR="005D4F29" w:rsidRPr="002322B7">
        <w:rPr>
          <w:lang w:val="en-AU"/>
        </w:rPr>
        <w:t xml:space="preserve"> economy</w:t>
      </w:r>
      <w:r w:rsidR="004D0C9D" w:rsidRPr="002322B7">
        <w:rPr>
          <w:lang w:val="en-AU"/>
        </w:rPr>
        <w:t>.</w:t>
      </w:r>
    </w:p>
    <w:p w14:paraId="0981DE0E" w14:textId="644459D7" w:rsidR="006E5932" w:rsidRPr="002322B7" w:rsidRDefault="006E5932" w:rsidP="006E5932">
      <w:pPr>
        <w:pStyle w:val="Body-copy"/>
        <w:rPr>
          <w:lang w:val="en-AU"/>
        </w:rPr>
      </w:pPr>
      <w:r w:rsidRPr="4FEBF9DC">
        <w:rPr>
          <w:lang w:val="en-AU"/>
        </w:rPr>
        <w:t xml:space="preserve">Consistent growth makes Australia a preferred destination for global investors and a reliable springboard for expansion into the Asia-Pacific region. Today, Australia’s economic foundations are solid: a trusted financial system, open trade, strong governance, and a </w:t>
      </w:r>
      <w:r w:rsidR="15105361" w:rsidRPr="4FEBF9DC">
        <w:rPr>
          <w:lang w:val="en-AU"/>
        </w:rPr>
        <w:t>highly</w:t>
      </w:r>
      <w:r w:rsidR="00DF534E">
        <w:rPr>
          <w:lang w:val="en-AU"/>
        </w:rPr>
        <w:t>-</w:t>
      </w:r>
      <w:r w:rsidR="15105361" w:rsidRPr="4FEBF9DC">
        <w:rPr>
          <w:lang w:val="en-AU"/>
        </w:rPr>
        <w:t>skilled</w:t>
      </w:r>
      <w:r w:rsidRPr="4FEBF9DC">
        <w:rPr>
          <w:lang w:val="en-AU"/>
        </w:rPr>
        <w:t xml:space="preserve"> population.</w:t>
      </w:r>
    </w:p>
    <w:p w14:paraId="3D580D84" w14:textId="259FE43E" w:rsidR="0011463B" w:rsidRPr="002322B7" w:rsidRDefault="0011463B" w:rsidP="0011463B">
      <w:pPr>
        <w:pStyle w:val="Body-copy"/>
        <w:rPr>
          <w:lang w:val="en-AU"/>
        </w:rPr>
      </w:pPr>
      <w:r w:rsidRPr="4FEBF9DC">
        <w:rPr>
          <w:lang w:val="en-AU"/>
        </w:rPr>
        <w:t>Our finance system is advanced, efficient and particularly large</w:t>
      </w:r>
      <w:r w:rsidR="00183D8C" w:rsidRPr="4FEBF9DC">
        <w:rPr>
          <w:lang w:val="en-AU"/>
        </w:rPr>
        <w:t xml:space="preserve"> with </w:t>
      </w:r>
      <w:r w:rsidRPr="4FEBF9DC">
        <w:rPr>
          <w:lang w:val="en-AU"/>
        </w:rPr>
        <w:t>Australia’s financial institutions manag</w:t>
      </w:r>
      <w:r w:rsidR="00996040" w:rsidRPr="4FEBF9DC">
        <w:rPr>
          <w:lang w:val="en-AU"/>
        </w:rPr>
        <w:t>ing</w:t>
      </w:r>
      <w:r w:rsidRPr="4FEBF9DC">
        <w:rPr>
          <w:lang w:val="en-AU"/>
        </w:rPr>
        <w:t xml:space="preserve"> US$8 trillion in assets. The Australian dollar is the 6</w:t>
      </w:r>
      <w:r w:rsidRPr="4FEBF9DC">
        <w:rPr>
          <w:vertAlign w:val="superscript"/>
          <w:lang w:val="en-AU"/>
        </w:rPr>
        <w:t>th</w:t>
      </w:r>
      <w:r w:rsidRPr="4FEBF9DC">
        <w:rPr>
          <w:lang w:val="en-AU"/>
        </w:rPr>
        <w:t xml:space="preserve">-most traded currency worldwide thanks partly to our role as a major exporter of energy and resources. </w:t>
      </w:r>
    </w:p>
    <w:p w14:paraId="244F7221" w14:textId="77777777" w:rsidR="00024BF4" w:rsidRPr="002322B7" w:rsidRDefault="00024BF4" w:rsidP="00024BF4">
      <w:pPr>
        <w:pStyle w:val="Body-copy"/>
        <w:rPr>
          <w:lang w:val="en-AU"/>
        </w:rPr>
      </w:pPr>
      <w:r w:rsidRPr="002322B7">
        <w:rPr>
          <w:lang w:val="en-AU"/>
        </w:rPr>
        <w:t xml:space="preserve">Australia’s prosperity is anchored in a trustworthy legal system. Australian law safeguards intellectual property rights, spurring creativity in our tech industries. Our taxation levels are 5 percentage points below the average for wealthy countries, which aids investment. And adaptive regulation creates a business-friendly environment that rewards innovation.  </w:t>
      </w:r>
    </w:p>
    <w:p w14:paraId="60929F58" w14:textId="448C6060" w:rsidR="000A59A6" w:rsidRDefault="006E5932" w:rsidP="00F97664">
      <w:pPr>
        <w:pStyle w:val="Body-copy"/>
        <w:rPr>
          <w:rFonts w:eastAsia="Times New Roman"/>
          <w:lang w:val="en-AU"/>
        </w:rPr>
      </w:pPr>
      <w:r w:rsidRPr="00A93DCA">
        <w:rPr>
          <w:rFonts w:eastAsia="Times New Roman"/>
          <w:lang w:val="en-AU"/>
        </w:rPr>
        <w:t>A</w:t>
      </w:r>
      <w:r w:rsidR="00674E91">
        <w:rPr>
          <w:rFonts w:eastAsia="Times New Roman"/>
          <w:lang w:val="en-AU"/>
        </w:rPr>
        <w:t>ustralia’s policies and institutions are geared toward</w:t>
      </w:r>
      <w:r w:rsidR="00BC7B20">
        <w:rPr>
          <w:rFonts w:eastAsia="Times New Roman"/>
          <w:lang w:val="en-AU"/>
        </w:rPr>
        <w:t>s</w:t>
      </w:r>
      <w:r w:rsidR="00674E91">
        <w:rPr>
          <w:rFonts w:eastAsia="Times New Roman"/>
          <w:lang w:val="en-AU"/>
        </w:rPr>
        <w:t xml:space="preserve"> ongoing growth so </w:t>
      </w:r>
      <w:r w:rsidRPr="00A93DCA">
        <w:rPr>
          <w:rFonts w:eastAsia="Times New Roman"/>
          <w:lang w:val="en-AU"/>
        </w:rPr>
        <w:t xml:space="preserve">Australia </w:t>
      </w:r>
      <w:r w:rsidR="00674E91">
        <w:rPr>
          <w:rFonts w:eastAsia="Times New Roman"/>
          <w:lang w:val="en-AU"/>
        </w:rPr>
        <w:t xml:space="preserve">can outperform its peers. The </w:t>
      </w:r>
      <w:r w:rsidRPr="00A93DCA">
        <w:rPr>
          <w:rFonts w:eastAsia="Times New Roman"/>
          <w:lang w:val="en-AU"/>
        </w:rPr>
        <w:t>Australian Government</w:t>
      </w:r>
      <w:r w:rsidR="00674E91">
        <w:rPr>
          <w:rFonts w:eastAsia="Times New Roman"/>
          <w:lang w:val="en-AU"/>
        </w:rPr>
        <w:t>’s ambitions to build a Future Made in Australia over the decade</w:t>
      </w:r>
      <w:r w:rsidR="00ED05AF">
        <w:rPr>
          <w:rFonts w:eastAsia="Times New Roman"/>
          <w:lang w:val="en-AU"/>
        </w:rPr>
        <w:t>s ahead</w:t>
      </w:r>
      <w:r w:rsidR="005E5CFC">
        <w:rPr>
          <w:rFonts w:eastAsia="Times New Roman"/>
          <w:lang w:val="en-AU"/>
        </w:rPr>
        <w:t xml:space="preserve"> includes</w:t>
      </w:r>
      <w:r w:rsidR="002176CB">
        <w:rPr>
          <w:rFonts w:eastAsia="Times New Roman"/>
          <w:lang w:val="en-AU"/>
        </w:rPr>
        <w:t xml:space="preserve"> incentives to attract private sector investment</w:t>
      </w:r>
      <w:r w:rsidR="001E2203">
        <w:rPr>
          <w:rFonts w:eastAsia="Times New Roman"/>
          <w:lang w:val="en-AU"/>
        </w:rPr>
        <w:t xml:space="preserve">. It also </w:t>
      </w:r>
      <w:r w:rsidR="00C85226" w:rsidRPr="00A93DCA">
        <w:rPr>
          <w:rFonts w:eastAsia="Times New Roman"/>
          <w:lang w:val="en-AU"/>
        </w:rPr>
        <w:t>maximis</w:t>
      </w:r>
      <w:r w:rsidR="006A6AC1" w:rsidRPr="00A93DCA">
        <w:rPr>
          <w:rFonts w:eastAsia="Times New Roman"/>
          <w:lang w:val="en-AU"/>
        </w:rPr>
        <w:t>e</w:t>
      </w:r>
      <w:r w:rsidR="001E2203">
        <w:rPr>
          <w:rFonts w:eastAsia="Times New Roman"/>
          <w:lang w:val="en-AU"/>
        </w:rPr>
        <w:t>s</w:t>
      </w:r>
      <w:r w:rsidR="00C85226" w:rsidRPr="00A93DCA">
        <w:rPr>
          <w:rFonts w:eastAsia="Times New Roman"/>
          <w:lang w:val="en-AU"/>
        </w:rPr>
        <w:t xml:space="preserve"> the economic and industrial benefits of the </w:t>
      </w:r>
      <w:r w:rsidR="0035180C" w:rsidRPr="00A93DCA">
        <w:rPr>
          <w:rFonts w:eastAsia="Times New Roman"/>
          <w:lang w:val="en-AU"/>
        </w:rPr>
        <w:t xml:space="preserve">global </w:t>
      </w:r>
      <w:r w:rsidR="00C85226" w:rsidRPr="00A93DCA">
        <w:rPr>
          <w:rFonts w:eastAsia="Times New Roman"/>
          <w:lang w:val="en-AU"/>
        </w:rPr>
        <w:t>move to net zero</w:t>
      </w:r>
      <w:r w:rsidR="0035180C" w:rsidRPr="00A93DCA">
        <w:rPr>
          <w:rFonts w:eastAsia="Times New Roman"/>
          <w:lang w:val="en-AU"/>
        </w:rPr>
        <w:t xml:space="preserve">. </w:t>
      </w:r>
      <w:r w:rsidR="002F131D">
        <w:rPr>
          <w:rFonts w:eastAsia="Times New Roman"/>
          <w:lang w:val="en-AU"/>
        </w:rPr>
        <w:t xml:space="preserve">Reforms include improvements to </w:t>
      </w:r>
      <w:r w:rsidR="000A59A6" w:rsidRPr="00A93DCA">
        <w:rPr>
          <w:rFonts w:eastAsia="Times New Roman"/>
          <w:lang w:val="en-AU"/>
        </w:rPr>
        <w:t xml:space="preserve">investment </w:t>
      </w:r>
      <w:r w:rsidR="003054A5" w:rsidRPr="00A93DCA">
        <w:rPr>
          <w:rFonts w:eastAsia="Times New Roman"/>
          <w:lang w:val="en-AU"/>
        </w:rPr>
        <w:t>settings,</w:t>
      </w:r>
      <w:r w:rsidR="000A59A6" w:rsidRPr="00A93DCA">
        <w:rPr>
          <w:rFonts w:eastAsia="Times New Roman"/>
          <w:lang w:val="en-AU"/>
        </w:rPr>
        <w:t xml:space="preserve"> institutions, and regulat</w:t>
      </w:r>
      <w:r w:rsidR="006C0131" w:rsidRPr="00A93DCA">
        <w:rPr>
          <w:rFonts w:eastAsia="Times New Roman"/>
          <w:lang w:val="en-AU"/>
        </w:rPr>
        <w:t>ory processes</w:t>
      </w:r>
      <w:r w:rsidR="000A59A6" w:rsidRPr="00A93DCA">
        <w:rPr>
          <w:rFonts w:eastAsia="Times New Roman"/>
          <w:lang w:val="en-AU"/>
        </w:rPr>
        <w:t xml:space="preserve"> to attract </w:t>
      </w:r>
      <w:r w:rsidR="00D65DE9" w:rsidRPr="00A93DCA">
        <w:rPr>
          <w:rFonts w:eastAsia="Times New Roman"/>
          <w:lang w:val="en-AU"/>
        </w:rPr>
        <w:t xml:space="preserve">and enable </w:t>
      </w:r>
      <w:r w:rsidR="000A59A6" w:rsidRPr="00A93DCA">
        <w:rPr>
          <w:rFonts w:eastAsia="Times New Roman"/>
          <w:lang w:val="en-AU"/>
        </w:rPr>
        <w:t>the investment</w:t>
      </w:r>
      <w:r w:rsidR="0086263B" w:rsidRPr="00A93DCA">
        <w:rPr>
          <w:rFonts w:eastAsia="Times New Roman"/>
          <w:lang w:val="en-AU"/>
        </w:rPr>
        <w:t xml:space="preserve"> </w:t>
      </w:r>
      <w:r w:rsidR="004B5813">
        <w:rPr>
          <w:rFonts w:eastAsia="Times New Roman"/>
          <w:lang w:val="en-AU"/>
        </w:rPr>
        <w:t xml:space="preserve">that </w:t>
      </w:r>
      <w:r w:rsidR="0086263B" w:rsidRPr="00A93DCA">
        <w:rPr>
          <w:rFonts w:eastAsia="Times New Roman"/>
          <w:lang w:val="en-AU"/>
        </w:rPr>
        <w:t>Australia needs</w:t>
      </w:r>
      <w:r w:rsidR="000A59A6" w:rsidRPr="00A93DCA">
        <w:rPr>
          <w:rFonts w:eastAsia="Times New Roman"/>
          <w:lang w:val="en-AU"/>
        </w:rPr>
        <w:t>.</w:t>
      </w:r>
    </w:p>
    <w:p w14:paraId="03C62D6E" w14:textId="77777777" w:rsidR="00FD7AB4" w:rsidRPr="002322B7" w:rsidRDefault="00FD7AB4" w:rsidP="00FD7AB4">
      <w:pPr>
        <w:spacing w:before="0" w:after="160" w:line="259" w:lineRule="auto"/>
      </w:pPr>
      <w:r w:rsidRPr="002322B7">
        <w:br w:type="page"/>
      </w:r>
    </w:p>
    <w:p w14:paraId="227704AA" w14:textId="0D343B4D" w:rsidR="00FD7AB4" w:rsidRPr="002322B7" w:rsidRDefault="00FD7AB4" w:rsidP="00FD7AB4">
      <w:pPr>
        <w:pStyle w:val="Heading-level2"/>
      </w:pPr>
      <w:bookmarkStart w:id="6" w:name="_Toc165471162"/>
      <w:bookmarkStart w:id="7" w:name="_Toc171500306"/>
      <w:r w:rsidRPr="002322B7">
        <w:lastRenderedPageBreak/>
        <w:t>The world’s 1</w:t>
      </w:r>
      <w:r w:rsidR="001942C3" w:rsidRPr="002322B7">
        <w:t>3</w:t>
      </w:r>
      <w:r w:rsidRPr="002322B7">
        <w:rPr>
          <w:vertAlign w:val="superscript"/>
        </w:rPr>
        <w:t>th</w:t>
      </w:r>
      <w:r w:rsidR="006220FB">
        <w:t>-</w:t>
      </w:r>
      <w:r w:rsidRPr="002322B7">
        <w:t>largest economy</w:t>
      </w:r>
      <w:bookmarkEnd w:id="6"/>
      <w:bookmarkEnd w:id="7"/>
    </w:p>
    <w:p w14:paraId="4AFAA774" w14:textId="120A0196" w:rsidR="00FD7AB4" w:rsidRPr="002322B7" w:rsidRDefault="00FD7AB4" w:rsidP="003F1867">
      <w:pPr>
        <w:pStyle w:val="Body-copy"/>
        <w:rPr>
          <w:lang w:val="en-AU"/>
        </w:rPr>
      </w:pPr>
      <w:r w:rsidRPr="4FEBF9DC">
        <w:rPr>
          <w:lang w:val="en-AU"/>
        </w:rPr>
        <w:t>Strong growth has solidified Australia’s position as the world’s 1</w:t>
      </w:r>
      <w:r w:rsidR="00A35966" w:rsidRPr="4FEBF9DC">
        <w:rPr>
          <w:lang w:val="en-AU"/>
        </w:rPr>
        <w:t>3</w:t>
      </w:r>
      <w:r w:rsidRPr="4FEBF9DC">
        <w:rPr>
          <w:vertAlign w:val="superscript"/>
          <w:lang w:val="en-AU"/>
        </w:rPr>
        <w:t>th</w:t>
      </w:r>
      <w:r w:rsidRPr="4FEBF9DC">
        <w:rPr>
          <w:lang w:val="en-AU"/>
        </w:rPr>
        <w:t>-largest economy</w:t>
      </w:r>
      <w:r w:rsidR="00CB4CA1">
        <w:rPr>
          <w:lang w:val="en-AU"/>
        </w:rPr>
        <w:t xml:space="preserve"> with n</w:t>
      </w:r>
      <w:r w:rsidR="00CA479E" w:rsidRPr="4FEBF9DC">
        <w:rPr>
          <w:lang w:val="en-AU"/>
        </w:rPr>
        <w:t>o</w:t>
      </w:r>
      <w:r w:rsidRPr="4FEBF9DC">
        <w:rPr>
          <w:lang w:val="en-AU"/>
        </w:rPr>
        <w:t xml:space="preserve">minal </w:t>
      </w:r>
      <w:r w:rsidR="007147C0">
        <w:rPr>
          <w:lang w:val="en-AU"/>
        </w:rPr>
        <w:t>g</w:t>
      </w:r>
      <w:r w:rsidR="00014047">
        <w:rPr>
          <w:lang w:val="en-AU"/>
        </w:rPr>
        <w:t>r</w:t>
      </w:r>
      <w:r w:rsidR="007147C0">
        <w:rPr>
          <w:lang w:val="en-AU"/>
        </w:rPr>
        <w:t>oss</w:t>
      </w:r>
      <w:r w:rsidR="00014047">
        <w:rPr>
          <w:lang w:val="en-AU"/>
        </w:rPr>
        <w:t xml:space="preserve"> domestic product</w:t>
      </w:r>
      <w:r w:rsidR="007147C0">
        <w:rPr>
          <w:lang w:val="en-AU"/>
        </w:rPr>
        <w:t xml:space="preserve"> </w:t>
      </w:r>
      <w:r w:rsidR="00014047">
        <w:rPr>
          <w:lang w:val="en-AU"/>
        </w:rPr>
        <w:t>(</w:t>
      </w:r>
      <w:r w:rsidRPr="4FEBF9DC">
        <w:rPr>
          <w:lang w:val="en-AU"/>
        </w:rPr>
        <w:t>GDP</w:t>
      </w:r>
      <w:r w:rsidR="00014047">
        <w:rPr>
          <w:lang w:val="en-AU"/>
        </w:rPr>
        <w:t>)</w:t>
      </w:r>
      <w:r w:rsidRPr="4FEBF9DC">
        <w:rPr>
          <w:lang w:val="en-AU"/>
        </w:rPr>
        <w:t xml:space="preserve"> </w:t>
      </w:r>
      <w:r w:rsidR="00CA479E" w:rsidRPr="4FEBF9DC">
        <w:rPr>
          <w:lang w:val="en-AU"/>
        </w:rPr>
        <w:t>reach</w:t>
      </w:r>
      <w:r w:rsidR="00CB4CA1">
        <w:rPr>
          <w:lang w:val="en-AU"/>
        </w:rPr>
        <w:t>ing</w:t>
      </w:r>
      <w:r w:rsidRPr="4FEBF9DC">
        <w:rPr>
          <w:lang w:val="en-AU"/>
        </w:rPr>
        <w:t xml:space="preserve"> A$2.</w:t>
      </w:r>
      <w:r w:rsidR="00A35966" w:rsidRPr="4FEBF9DC">
        <w:rPr>
          <w:lang w:val="en-AU"/>
        </w:rPr>
        <w:t>6</w:t>
      </w:r>
      <w:r w:rsidRPr="4FEBF9DC">
        <w:rPr>
          <w:lang w:val="en-AU"/>
        </w:rPr>
        <w:t xml:space="preserve"> trillion (US$1.7 trillion) in 202</w:t>
      </w:r>
      <w:r w:rsidR="00A35966" w:rsidRPr="4FEBF9DC">
        <w:rPr>
          <w:lang w:val="en-AU"/>
        </w:rPr>
        <w:t>3</w:t>
      </w:r>
      <w:r w:rsidRPr="4FEBF9DC">
        <w:rPr>
          <w:lang w:val="en-AU"/>
        </w:rPr>
        <w:t xml:space="preserve">. Australia </w:t>
      </w:r>
      <w:r w:rsidR="001403A0">
        <w:rPr>
          <w:lang w:val="en-AU"/>
        </w:rPr>
        <w:t>wa</w:t>
      </w:r>
      <w:r w:rsidRPr="4FEBF9DC">
        <w:rPr>
          <w:lang w:val="en-AU"/>
        </w:rPr>
        <w:t xml:space="preserve">s home to just 0.3% of the world’s </w:t>
      </w:r>
      <w:proofErr w:type="gramStart"/>
      <w:r w:rsidRPr="4FEBF9DC">
        <w:rPr>
          <w:lang w:val="en-AU"/>
        </w:rPr>
        <w:t>population, but</w:t>
      </w:r>
      <w:proofErr w:type="gramEnd"/>
      <w:r w:rsidRPr="4FEBF9DC">
        <w:rPr>
          <w:lang w:val="en-AU"/>
        </w:rPr>
        <w:t xml:space="preserve"> account</w:t>
      </w:r>
      <w:r w:rsidR="001403A0">
        <w:rPr>
          <w:lang w:val="en-AU"/>
        </w:rPr>
        <w:t>ed</w:t>
      </w:r>
      <w:r w:rsidRPr="4FEBF9DC">
        <w:rPr>
          <w:lang w:val="en-AU"/>
        </w:rPr>
        <w:t xml:space="preserve"> for 1.7% of the global economy. The International Monetary Fund (IMF) predicts that Australia</w:t>
      </w:r>
      <w:r w:rsidR="008B48C5" w:rsidRPr="4FEBF9DC">
        <w:rPr>
          <w:lang w:val="en-AU"/>
        </w:rPr>
        <w:t>’s economic growth</w:t>
      </w:r>
      <w:r w:rsidRPr="4FEBF9DC">
        <w:rPr>
          <w:lang w:val="en-AU"/>
        </w:rPr>
        <w:t xml:space="preserve"> will </w:t>
      </w:r>
      <w:r w:rsidR="003E5DAB">
        <w:rPr>
          <w:lang w:val="en-AU"/>
        </w:rPr>
        <w:t xml:space="preserve">continue to </w:t>
      </w:r>
      <w:r w:rsidR="008B48C5" w:rsidRPr="4FEBF9DC">
        <w:rPr>
          <w:lang w:val="en-AU"/>
        </w:rPr>
        <w:t xml:space="preserve">outperform </w:t>
      </w:r>
      <w:r w:rsidR="00F87D72" w:rsidRPr="4FEBF9DC">
        <w:rPr>
          <w:lang w:val="en-AU"/>
        </w:rPr>
        <w:t>advanced economies over the next five years</w:t>
      </w:r>
      <w:r w:rsidRPr="4FEBF9DC">
        <w:rPr>
          <w:lang w:val="en-AU"/>
        </w:rPr>
        <w:t>.</w:t>
      </w:r>
    </w:p>
    <w:p w14:paraId="0CF6E1BD" w14:textId="4DD4269D" w:rsidR="00FD7AB4" w:rsidRDefault="00FD7AB4" w:rsidP="00FD7AB4">
      <w:pPr>
        <w:pStyle w:val="Caption"/>
      </w:pPr>
      <w:bookmarkStart w:id="8" w:name="_Toc165471213"/>
      <w:bookmarkStart w:id="9" w:name="_Toc171500357"/>
      <w:r w:rsidRPr="002322B7">
        <w:t xml:space="preserve">Figure </w:t>
      </w:r>
      <w:r w:rsidR="00CF16FA">
        <w:fldChar w:fldCharType="begin"/>
      </w:r>
      <w:r w:rsidR="00CF16FA">
        <w:instrText xml:space="preserve"> SEQ Figure \* ARABIC </w:instrText>
      </w:r>
      <w:r w:rsidR="00CF16FA">
        <w:fldChar w:fldCharType="separate"/>
      </w:r>
      <w:r w:rsidR="002459CF">
        <w:rPr>
          <w:noProof/>
        </w:rPr>
        <w:t>1</w:t>
      </w:r>
      <w:r w:rsidR="00CF16FA">
        <w:rPr>
          <w:noProof/>
        </w:rPr>
        <w:fldChar w:fldCharType="end"/>
      </w:r>
      <w:r w:rsidRPr="002322B7">
        <w:t xml:space="preserve"> - World’s largest economies in 202</w:t>
      </w:r>
      <w:bookmarkEnd w:id="8"/>
      <w:r w:rsidR="00A35966" w:rsidRPr="002322B7">
        <w:t>3</w:t>
      </w:r>
      <w:bookmarkEnd w:id="9"/>
    </w:p>
    <w:p w14:paraId="6BB38723" w14:textId="11F75999" w:rsidR="00E01539" w:rsidRDefault="002B452F" w:rsidP="00E01539">
      <w:r>
        <w:rPr>
          <w:noProof/>
        </w:rPr>
        <w:drawing>
          <wp:inline distT="0" distB="0" distL="0" distR="0" wp14:anchorId="59350CAF" wp14:editId="18DE1A05">
            <wp:extent cx="6336030" cy="3806190"/>
            <wp:effectExtent l="0" t="0" r="7620" b="3810"/>
            <wp:docPr id="459639" name="Picture 12" descr="The image shows a global map depicting the world's largest economies in 2023. It displays the rank, the economy (country name) and its percentage of total world nominal gross domestic product (GDP) in US dollars. The economies are:&#10;1. US 26.1%; 2. China 16.9%; 3. Germany 4.3%; 4. Japan 4.0%; 5. India 3.4%; 6. UK 3.2%; 7. France 2.9%; 8. Italy 2.2%; 9. Brazil 2.1%; 10. Canada 2.0%; 11. Russia 1.9%; 12. Mexico 1.7%; 13. Australia 1.7%; 14. Korea 1.6%; 15. Spain 1.5%; 16. Indonesia 1.3%; 17. Netherlands 1.1%; 18. Türkiye 1.1%; 19. Saudi Arabia 1.0%; 20. Switzerland 0.8%; and ASEAN 3.6% ( includes 16. Indonesia 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9" name="Picture 12" descr="The image shows a global map depicting the world's largest economies in 2023. It displays the rank, the economy (country name) and its percentage of total world nominal gross domestic product (GDP) in US dollars. The economies are:&#10;1. US 26.1%; 2. China 16.9%; 3. Germany 4.3%; 4. Japan 4.0%; 5. India 3.4%; 6. UK 3.2%; 7. France 2.9%; 8. Italy 2.2%; 9. Brazil 2.1%; 10. Canada 2.0%; 11. Russia 1.9%; 12. Mexico 1.7%; 13. Australia 1.7%; 14. Korea 1.6%; 15. Spain 1.5%; 16. Indonesia 1.3%; 17. Netherlands 1.1%; 18. Türkiye 1.1%; 19. Saudi Arabia 1.0%; 20. Switzerland 0.8%; and ASEAN 3.6% ( includes 16. Indonesia 1.3%). &#10;"/>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6336030" cy="3806190"/>
                    </a:xfrm>
                    <a:prstGeom prst="rect">
                      <a:avLst/>
                    </a:prstGeom>
                    <a:ln>
                      <a:noFill/>
                    </a:ln>
                    <a:extLst>
                      <a:ext uri="{53640926-AAD7-44D8-BBD7-CCE9431645EC}">
                        <a14:shadowObscured xmlns:a14="http://schemas.microsoft.com/office/drawing/2010/main"/>
                      </a:ext>
                    </a:extLst>
                  </pic:spPr>
                </pic:pic>
              </a:graphicData>
            </a:graphic>
          </wp:inline>
        </w:drawing>
      </w:r>
    </w:p>
    <w:p w14:paraId="763EC5E8" w14:textId="7A754EAD" w:rsidR="00FD7AB4" w:rsidRPr="002322B7" w:rsidRDefault="00FD7AB4" w:rsidP="00FD7AB4"/>
    <w:p w14:paraId="613B429A" w14:textId="77777777" w:rsidR="00FD7AB4" w:rsidRPr="002322B7" w:rsidRDefault="00FD7AB4" w:rsidP="00FD7AB4">
      <w:pPr>
        <w:pStyle w:val="Sourcesandnotes"/>
      </w:pPr>
      <w:r w:rsidRPr="002322B7">
        <w:rPr>
          <w:b/>
          <w:bCs/>
        </w:rPr>
        <w:t>Notes:</w:t>
      </w:r>
      <w:r w:rsidRPr="002322B7">
        <w:t xml:space="preserve"> </w:t>
      </w:r>
      <w:r w:rsidRPr="002322B7">
        <w:rPr>
          <w:b/>
          <w:bCs/>
        </w:rPr>
        <w:t>1.</w:t>
      </w:r>
      <w:r w:rsidRPr="002322B7">
        <w:t xml:space="preserve"> Across 196 economies. </w:t>
      </w:r>
      <w:r w:rsidRPr="002322B7">
        <w:rPr>
          <w:b/>
          <w:bCs/>
        </w:rPr>
        <w:t>2.</w:t>
      </w:r>
      <w:r w:rsidRPr="002322B7">
        <w:t xml:space="preserve"> The GDP for the top 20 largest economies was </w:t>
      </w:r>
      <w:r w:rsidR="00945F60" w:rsidRPr="002322B7">
        <w:t xml:space="preserve">US$84,579 </w:t>
      </w:r>
      <w:r w:rsidRPr="002322B7">
        <w:t>billion or 81% of the world’s GDP in 202</w:t>
      </w:r>
      <w:r w:rsidR="00945F60" w:rsidRPr="002322B7">
        <w:t>3</w:t>
      </w:r>
      <w:r w:rsidRPr="002322B7">
        <w:t xml:space="preserve">. </w:t>
      </w:r>
      <w:r w:rsidRPr="002322B7">
        <w:rPr>
          <w:b/>
          <w:bCs/>
        </w:rPr>
        <w:t>3.</w:t>
      </w:r>
      <w:r w:rsidRPr="002322B7">
        <w:t xml:space="preserve"> The GDP for the rest of the world was US$</w:t>
      </w:r>
      <w:r w:rsidR="003C1D4F" w:rsidRPr="002322B7">
        <w:t xml:space="preserve">20,212 </w:t>
      </w:r>
      <w:r w:rsidRPr="002322B7">
        <w:t>billion in 202</w:t>
      </w:r>
      <w:r w:rsidR="003C1D4F" w:rsidRPr="002322B7">
        <w:t>3</w:t>
      </w:r>
      <w:r w:rsidRPr="002322B7">
        <w:t xml:space="preserve"> or 19% of global GDP.</w:t>
      </w:r>
    </w:p>
    <w:p w14:paraId="3976E862" w14:textId="77777777" w:rsidR="00FD7AB4" w:rsidRPr="002322B7" w:rsidRDefault="00FD7AB4" w:rsidP="00FD7AB4">
      <w:pPr>
        <w:pStyle w:val="Sourcesandnotes"/>
      </w:pPr>
      <w:r w:rsidRPr="002322B7">
        <w:rPr>
          <w:b/>
          <w:bCs/>
        </w:rPr>
        <w:t>Sources:</w:t>
      </w:r>
      <w:r w:rsidRPr="002322B7">
        <w:t xml:space="preserve"> International Monetary Fund, 2024, World economic outlook, </w:t>
      </w:r>
      <w:r w:rsidR="003C1D4F" w:rsidRPr="002322B7">
        <w:t>April</w:t>
      </w:r>
      <w:r w:rsidRPr="002322B7">
        <w:t xml:space="preserve"> 202</w:t>
      </w:r>
      <w:r w:rsidR="003C1D4F" w:rsidRPr="002322B7">
        <w:t>4</w:t>
      </w:r>
      <w:r w:rsidRPr="002322B7">
        <w:t xml:space="preserve"> database; Reserve Bank of Australia, 2024, Foreign exchange rates; Austrade.</w:t>
      </w:r>
    </w:p>
    <w:p w14:paraId="21BDDAA9" w14:textId="77777777" w:rsidR="00FD7AB4" w:rsidRPr="002322B7" w:rsidRDefault="00FD7AB4" w:rsidP="00FD7AB4">
      <w:pPr>
        <w:pStyle w:val="Heading-level2"/>
      </w:pPr>
      <w:bookmarkStart w:id="10" w:name="_Toc165471163"/>
      <w:bookmarkStart w:id="11" w:name="_Toc171500307"/>
      <w:r w:rsidRPr="002322B7">
        <w:lastRenderedPageBreak/>
        <w:t>Our outperforming economy</w:t>
      </w:r>
      <w:bookmarkEnd w:id="10"/>
      <w:bookmarkEnd w:id="11"/>
    </w:p>
    <w:p w14:paraId="0B7A3DD2" w14:textId="572215D4" w:rsidR="00FD7AB4" w:rsidRPr="002322B7" w:rsidRDefault="00FD7AB4" w:rsidP="003F1867">
      <w:pPr>
        <w:pStyle w:val="Body-copy"/>
        <w:rPr>
          <w:lang w:val="en-AU"/>
        </w:rPr>
      </w:pPr>
      <w:r w:rsidRPr="002322B7">
        <w:rPr>
          <w:lang w:val="en-AU"/>
        </w:rPr>
        <w:t xml:space="preserve">Australia consistently grows faster than other advanced economies. During the period 2019 to 2024, our economy is forecast to </w:t>
      </w:r>
      <w:r w:rsidR="002548FE" w:rsidRPr="002322B7">
        <w:rPr>
          <w:lang w:val="en-AU"/>
        </w:rPr>
        <w:t xml:space="preserve">have </w:t>
      </w:r>
      <w:r w:rsidRPr="002322B7">
        <w:rPr>
          <w:lang w:val="en-AU"/>
        </w:rPr>
        <w:t>grow</w:t>
      </w:r>
      <w:r w:rsidR="002548FE" w:rsidRPr="002322B7">
        <w:rPr>
          <w:lang w:val="en-AU"/>
        </w:rPr>
        <w:t>n</w:t>
      </w:r>
      <w:r w:rsidRPr="002322B7">
        <w:rPr>
          <w:lang w:val="en-AU"/>
        </w:rPr>
        <w:t xml:space="preserve"> by 1</w:t>
      </w:r>
      <w:r w:rsidR="00CA72DA" w:rsidRPr="002322B7">
        <w:rPr>
          <w:lang w:val="en-AU"/>
        </w:rPr>
        <w:t>1.1</w:t>
      </w:r>
      <w:r w:rsidRPr="002322B7">
        <w:rPr>
          <w:lang w:val="en-AU"/>
        </w:rPr>
        <w:t>%</w:t>
      </w:r>
      <w:r w:rsidR="00D9759E" w:rsidRPr="002322B7">
        <w:rPr>
          <w:lang w:val="en-AU"/>
        </w:rPr>
        <w:t>, outpacing the</w:t>
      </w:r>
      <w:r w:rsidRPr="002322B7">
        <w:rPr>
          <w:lang w:val="en-AU"/>
        </w:rPr>
        <w:t xml:space="preserve"> average of </w:t>
      </w:r>
      <w:r w:rsidR="00C7797C" w:rsidRPr="002322B7">
        <w:rPr>
          <w:lang w:val="en-AU"/>
        </w:rPr>
        <w:t>7.8</w:t>
      </w:r>
      <w:r w:rsidRPr="002322B7">
        <w:rPr>
          <w:lang w:val="en-AU"/>
        </w:rPr>
        <w:t xml:space="preserve">% </w:t>
      </w:r>
      <w:r w:rsidR="00D9759E" w:rsidRPr="002322B7">
        <w:rPr>
          <w:lang w:val="en-AU"/>
        </w:rPr>
        <w:t xml:space="preserve">growth </w:t>
      </w:r>
      <w:r w:rsidRPr="002322B7">
        <w:rPr>
          <w:lang w:val="en-AU"/>
        </w:rPr>
        <w:t xml:space="preserve">for advanced economies. </w:t>
      </w:r>
      <w:r w:rsidR="00956159">
        <w:rPr>
          <w:lang w:val="en-AU"/>
        </w:rPr>
        <w:t>Over this period</w:t>
      </w:r>
      <w:r w:rsidR="002D2BCB">
        <w:rPr>
          <w:lang w:val="en-AU"/>
        </w:rPr>
        <w:t>,</w:t>
      </w:r>
      <w:r w:rsidR="00D1013B">
        <w:rPr>
          <w:lang w:val="en-AU"/>
        </w:rPr>
        <w:t xml:space="preserve"> </w:t>
      </w:r>
      <w:r w:rsidR="000C37CE">
        <w:rPr>
          <w:lang w:val="en-AU"/>
        </w:rPr>
        <w:t xml:space="preserve">we </w:t>
      </w:r>
      <w:r w:rsidR="00D1013B">
        <w:rPr>
          <w:lang w:val="en-AU"/>
        </w:rPr>
        <w:t xml:space="preserve">will have matched </w:t>
      </w:r>
      <w:r w:rsidR="00984A05">
        <w:rPr>
          <w:lang w:val="en-AU"/>
        </w:rPr>
        <w:t xml:space="preserve">growth in the US, </w:t>
      </w:r>
      <w:r w:rsidR="006C7E84">
        <w:rPr>
          <w:lang w:val="en-AU"/>
        </w:rPr>
        <w:t xml:space="preserve">almost tripled </w:t>
      </w:r>
      <w:r w:rsidR="00FE49D7">
        <w:rPr>
          <w:lang w:val="en-AU"/>
        </w:rPr>
        <w:t xml:space="preserve">the expansion in the Euro Area, and </w:t>
      </w:r>
      <w:r w:rsidR="00085B66">
        <w:rPr>
          <w:lang w:val="en-AU"/>
        </w:rPr>
        <w:t xml:space="preserve">recorded growth that </w:t>
      </w:r>
      <w:r w:rsidR="00B81727">
        <w:rPr>
          <w:lang w:val="en-AU"/>
        </w:rPr>
        <w:t>is</w:t>
      </w:r>
      <w:r w:rsidR="00085B66">
        <w:rPr>
          <w:lang w:val="en-AU"/>
        </w:rPr>
        <w:t xml:space="preserve"> five time</w:t>
      </w:r>
      <w:r w:rsidR="00550496">
        <w:rPr>
          <w:lang w:val="en-AU"/>
        </w:rPr>
        <w:t>s</w:t>
      </w:r>
      <w:r w:rsidR="00085B66">
        <w:rPr>
          <w:lang w:val="en-AU"/>
        </w:rPr>
        <w:t xml:space="preserve"> the </w:t>
      </w:r>
      <w:r w:rsidR="00E53DC2">
        <w:rPr>
          <w:lang w:val="en-AU"/>
        </w:rPr>
        <w:t xml:space="preserve">rate of the </w:t>
      </w:r>
      <w:r w:rsidR="00085B66">
        <w:rPr>
          <w:lang w:val="en-AU"/>
        </w:rPr>
        <w:t xml:space="preserve">UK. </w:t>
      </w:r>
      <w:r w:rsidR="00956159" w:rsidRPr="00956159">
        <w:rPr>
          <w:lang w:val="en-AU"/>
        </w:rPr>
        <w:t>Australia is also forecast to continue to outperform our peers over the next five years to 2029.</w:t>
      </w:r>
      <w:r w:rsidR="00956159">
        <w:rPr>
          <w:lang w:val="en-AU"/>
        </w:rPr>
        <w:t xml:space="preserve"> </w:t>
      </w:r>
      <w:r w:rsidRPr="002322B7">
        <w:rPr>
          <w:lang w:val="en-AU"/>
        </w:rPr>
        <w:t xml:space="preserve">As </w:t>
      </w:r>
      <w:r w:rsidR="00FD5BB8" w:rsidRPr="002322B7">
        <w:rPr>
          <w:lang w:val="en-AU"/>
        </w:rPr>
        <w:t xml:space="preserve">a </w:t>
      </w:r>
      <w:r w:rsidRPr="002322B7">
        <w:rPr>
          <w:lang w:val="en-AU"/>
        </w:rPr>
        <w:t xml:space="preserve">major regional exporter, </w:t>
      </w:r>
      <w:bookmarkStart w:id="12" w:name="_Hlk170209717"/>
      <w:r w:rsidRPr="002322B7">
        <w:rPr>
          <w:lang w:val="en-AU"/>
        </w:rPr>
        <w:t>our outlook partly reflects the prosperity of our major trading partners</w:t>
      </w:r>
      <w:bookmarkEnd w:id="12"/>
      <w:r w:rsidRPr="002322B7">
        <w:rPr>
          <w:lang w:val="en-AU"/>
        </w:rPr>
        <w:t xml:space="preserve"> – including India, China and the </w:t>
      </w:r>
      <w:r w:rsidR="00B73221" w:rsidRPr="002322B7">
        <w:rPr>
          <w:lang w:val="en-AU"/>
        </w:rPr>
        <w:t>Association of Southeast Asian Nations (</w:t>
      </w:r>
      <w:r w:rsidRPr="002322B7">
        <w:rPr>
          <w:lang w:val="en-AU"/>
        </w:rPr>
        <w:t>ASEAN</w:t>
      </w:r>
      <w:r w:rsidR="00B73221" w:rsidRPr="002322B7">
        <w:rPr>
          <w:lang w:val="en-AU"/>
        </w:rPr>
        <w:t>)</w:t>
      </w:r>
      <w:r w:rsidRPr="002322B7">
        <w:rPr>
          <w:lang w:val="en-AU"/>
        </w:rPr>
        <w:t>² economies.</w:t>
      </w:r>
    </w:p>
    <w:p w14:paraId="6BA24C25" w14:textId="3550ED50" w:rsidR="00FD7AB4" w:rsidRDefault="00FD7AB4" w:rsidP="00FD7AB4">
      <w:pPr>
        <w:pStyle w:val="Caption"/>
      </w:pPr>
      <w:bookmarkStart w:id="13" w:name="_Toc165471214"/>
      <w:bookmarkStart w:id="14" w:name="_Toc171500358"/>
      <w:r w:rsidRPr="002322B7">
        <w:t xml:space="preserve">Figure </w:t>
      </w:r>
      <w:r w:rsidR="00CF16FA">
        <w:fldChar w:fldCharType="begin"/>
      </w:r>
      <w:r w:rsidR="00CF16FA">
        <w:instrText xml:space="preserve"> SEQ Figure \* ARABIC </w:instrText>
      </w:r>
      <w:r w:rsidR="00CF16FA">
        <w:fldChar w:fldCharType="separate"/>
      </w:r>
      <w:r w:rsidR="002459CF">
        <w:rPr>
          <w:noProof/>
        </w:rPr>
        <w:t>2</w:t>
      </w:r>
      <w:r w:rsidR="00CF16FA">
        <w:rPr>
          <w:noProof/>
        </w:rPr>
        <w:fldChar w:fldCharType="end"/>
      </w:r>
      <w:r w:rsidRPr="002322B7">
        <w:t xml:space="preserve"> - Change in real GDP¹, selected economies</w:t>
      </w:r>
      <w:bookmarkEnd w:id="13"/>
      <w:bookmarkEnd w:id="14"/>
    </w:p>
    <w:p w14:paraId="1C8505C3" w14:textId="7A8A8B49" w:rsidR="008D7AE9" w:rsidRDefault="008D7AE9" w:rsidP="008D7AE9">
      <w:r>
        <w:rPr>
          <w:noProof/>
        </w:rPr>
        <w:drawing>
          <wp:inline distT="0" distB="0" distL="0" distR="0" wp14:anchorId="300E696E" wp14:editId="7C4C5ECF">
            <wp:extent cx="6336030" cy="4357370"/>
            <wp:effectExtent l="0" t="0" r="7620" b="5080"/>
            <wp:docPr id="985421086" name="Picture 13" descr="The graph shows the estimated percentage change in real gross domestic product (GDP) for selected economies from 2019 to 2024. The selected economies are: Emerging markets and developing economies (18.9%); advanced economies (7.8%); India 27.3%; China 25.8%; Indonesia 17.9%; Association of Southeast Asian Nations 14.1%; US 11.1%; Australia 11.1%; Saudi Arabia 10.8%; Korea 10.2%; Brazil 9.7%; Russia 8.9%; Latin America and the Caribbean 8.6%; New Zealand 8.5%; Netherlands 7.3%; Sweden 6.6%; Mexico 6.1%; Canada 6.1%; Spain 4.4%; Italy 4.2%; Euro Area 4.1%; France 2.4%; UK 2.3%; Japan 2.0%; South Africa 1.8%; Germany 0.9%; and Argentin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21086" name="Picture 13" descr="The graph shows the estimated percentage change in real gross domestic product (GDP) for selected economies from 2019 to 2024. The selected economies are: Emerging markets and developing economies (18.9%); advanced economies (7.8%); India 27.3%; China 25.8%; Indonesia 17.9%; Association of Southeast Asian Nations 14.1%; US 11.1%; Australia 11.1%; Saudi Arabia 10.8%; Korea 10.2%; Brazil 9.7%; Russia 8.9%; Latin America and the Caribbean 8.6%; New Zealand 8.5%; Netherlands 7.3%; Sweden 6.6%; Mexico 6.1%; Canada 6.1%; Spain 4.4%; Italy 4.2%; Euro Area 4.1%; France 2.4%; UK 2.3%; Japan 2.0%; South Africa 1.8%; Germany 0.9%; and Argentina 0.2%."/>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6336030" cy="4357370"/>
                    </a:xfrm>
                    <a:prstGeom prst="rect">
                      <a:avLst/>
                    </a:prstGeom>
                    <a:ln>
                      <a:noFill/>
                    </a:ln>
                    <a:extLst>
                      <a:ext uri="{53640926-AAD7-44D8-BBD7-CCE9431645EC}">
                        <a14:shadowObscured xmlns:a14="http://schemas.microsoft.com/office/drawing/2010/main"/>
                      </a:ext>
                    </a:extLst>
                  </pic:spPr>
                </pic:pic>
              </a:graphicData>
            </a:graphic>
          </wp:inline>
        </w:drawing>
      </w:r>
    </w:p>
    <w:p w14:paraId="39783D6A" w14:textId="1D29C1E7" w:rsidR="00FD7AB4" w:rsidRPr="002322B7" w:rsidRDefault="00FD7AB4" w:rsidP="00FD7AB4">
      <w:pPr>
        <w:pStyle w:val="Sourcesandnotes"/>
        <w:keepNext/>
      </w:pPr>
      <w:r w:rsidRPr="002322B7">
        <w:rPr>
          <w:b/>
          <w:bCs/>
        </w:rPr>
        <w:t>Notes: 1.</w:t>
      </w:r>
      <w:r w:rsidRPr="002322B7">
        <w:t xml:space="preserve"> Gross domestic product (GDP) is </w:t>
      </w:r>
      <w:r w:rsidR="00C31759">
        <w:t xml:space="preserve">in </w:t>
      </w:r>
      <w:r w:rsidRPr="002322B7">
        <w:t xml:space="preserve">national currency and constant prices. </w:t>
      </w:r>
      <w:r w:rsidRPr="002322B7">
        <w:rPr>
          <w:b/>
          <w:bCs/>
        </w:rPr>
        <w:t xml:space="preserve">2. </w:t>
      </w:r>
      <w:r w:rsidRPr="002322B7">
        <w:t xml:space="preserve">Association of Southeast Asian Nations. The forecast includes Indonesia, Malaysia, Philippines, Singapore and Thailand. Singapore is classified as an advanced economy. </w:t>
      </w:r>
      <w:r w:rsidRPr="002322B7">
        <w:rPr>
          <w:b/>
          <w:bCs/>
        </w:rPr>
        <w:t>3.</w:t>
      </w:r>
      <w:r w:rsidRPr="002322B7">
        <w:t xml:space="preserve"> Latin America and the Caribbean. </w:t>
      </w:r>
    </w:p>
    <w:p w14:paraId="54D8DBFB" w14:textId="77777777" w:rsidR="00FD7AB4" w:rsidRPr="002322B7" w:rsidRDefault="00FD7AB4" w:rsidP="00FD7AB4">
      <w:pPr>
        <w:pStyle w:val="Sourcesandnotes"/>
        <w:keepNext/>
      </w:pPr>
      <w:r w:rsidRPr="002322B7">
        <w:rPr>
          <w:b/>
          <w:bCs/>
        </w:rPr>
        <w:t xml:space="preserve">Sources: </w:t>
      </w:r>
      <w:r w:rsidRPr="002322B7">
        <w:t xml:space="preserve">International Monetary Fund, 2024, World Economic Outlook, </w:t>
      </w:r>
      <w:r w:rsidR="00CC0F33" w:rsidRPr="002322B7">
        <w:t>April</w:t>
      </w:r>
      <w:r w:rsidRPr="002322B7">
        <w:t xml:space="preserve"> 202</w:t>
      </w:r>
      <w:r w:rsidR="00CC0F33" w:rsidRPr="002322B7">
        <w:t>4</w:t>
      </w:r>
      <w:r w:rsidRPr="002322B7">
        <w:t xml:space="preserve"> database; Austrade.</w:t>
      </w:r>
    </w:p>
    <w:p w14:paraId="1E7C092C" w14:textId="77777777" w:rsidR="00FD7AB4" w:rsidRPr="002322B7" w:rsidRDefault="00FD7AB4" w:rsidP="00FD7AB4">
      <w:pPr>
        <w:pStyle w:val="Sourcesandnotes"/>
      </w:pPr>
    </w:p>
    <w:p w14:paraId="5E904232" w14:textId="77777777" w:rsidR="00C547A7" w:rsidRPr="002322B7" w:rsidRDefault="00C547A7">
      <w:pPr>
        <w:spacing w:before="0" w:after="160" w:line="259" w:lineRule="auto"/>
      </w:pPr>
    </w:p>
    <w:p w14:paraId="74900142" w14:textId="77777777" w:rsidR="00C547A7" w:rsidRPr="002322B7" w:rsidRDefault="00C547A7">
      <w:pPr>
        <w:spacing w:before="0" w:after="160" w:line="259" w:lineRule="auto"/>
      </w:pPr>
    </w:p>
    <w:p w14:paraId="34997FFA" w14:textId="5F485273" w:rsidR="00EE53AB" w:rsidRPr="002322B7" w:rsidRDefault="00EE53AB">
      <w:pPr>
        <w:spacing w:before="0" w:after="160" w:line="259" w:lineRule="auto"/>
      </w:pPr>
      <w:r w:rsidRPr="002322B7">
        <w:br w:type="page"/>
      </w:r>
    </w:p>
    <w:p w14:paraId="0395B34D" w14:textId="6FA713CF" w:rsidR="00FD7AB4" w:rsidRPr="002322B7" w:rsidRDefault="00FD7AB4" w:rsidP="00FD7AB4">
      <w:pPr>
        <w:pStyle w:val="Heading-level2"/>
      </w:pPr>
      <w:bookmarkStart w:id="15" w:name="_Toc165471165"/>
      <w:bookmarkStart w:id="16" w:name="_Toc171500308"/>
      <w:r w:rsidRPr="002322B7">
        <w:lastRenderedPageBreak/>
        <w:t>Australia is a low-tax country</w:t>
      </w:r>
      <w:bookmarkEnd w:id="15"/>
      <w:bookmarkEnd w:id="16"/>
    </w:p>
    <w:p w14:paraId="07686369" w14:textId="4976518E" w:rsidR="000233F5" w:rsidRPr="002322B7" w:rsidRDefault="00FD7AB4" w:rsidP="003F1867">
      <w:pPr>
        <w:pStyle w:val="Body-copy"/>
        <w:rPr>
          <w:lang w:val="en-AU"/>
        </w:rPr>
      </w:pPr>
      <w:r w:rsidRPr="002322B7">
        <w:rPr>
          <w:lang w:val="en-AU"/>
        </w:rPr>
        <w:t>Australia has one of the lowest overall tax rates</w:t>
      </w:r>
      <w:r w:rsidR="00BF11BC" w:rsidRPr="00BF11BC">
        <w:rPr>
          <w:rFonts w:ascii="AUSansBETAText-Regular" w:hAnsi="AUSansBETAText-Regular" w:cs="AUSansBETAText-Regular"/>
          <w:lang w:val="en-AU"/>
        </w:rPr>
        <w:t xml:space="preserve"> </w:t>
      </w:r>
      <w:r w:rsidR="00BF11BC" w:rsidRPr="00BF11BC">
        <w:rPr>
          <w:lang w:val="en-AU"/>
        </w:rPr>
        <w:t>of any high-income country</w:t>
      </w:r>
      <w:r w:rsidR="00BC6426" w:rsidRPr="002322B7">
        <w:rPr>
          <w:lang w:val="en-AU"/>
        </w:rPr>
        <w:t>. O</w:t>
      </w:r>
      <w:r w:rsidRPr="002322B7">
        <w:rPr>
          <w:lang w:val="en-AU"/>
        </w:rPr>
        <w:t xml:space="preserve">ur tax revenue </w:t>
      </w:r>
      <w:r w:rsidR="007807B2">
        <w:rPr>
          <w:lang w:val="en-AU"/>
        </w:rPr>
        <w:t>is equal to</w:t>
      </w:r>
      <w:r w:rsidRPr="002322B7">
        <w:rPr>
          <w:lang w:val="en-AU"/>
        </w:rPr>
        <w:t xml:space="preserve"> </w:t>
      </w:r>
      <w:r w:rsidR="007216CE" w:rsidRPr="002322B7">
        <w:rPr>
          <w:lang w:val="en-AU"/>
        </w:rPr>
        <w:t>just</w:t>
      </w:r>
      <w:r w:rsidRPr="002322B7">
        <w:rPr>
          <w:lang w:val="en-AU"/>
        </w:rPr>
        <w:t xml:space="preserve"> 29% of GDP</w:t>
      </w:r>
      <w:r w:rsidR="00323834">
        <w:rPr>
          <w:lang w:val="en-AU"/>
        </w:rPr>
        <w:t>, which</w:t>
      </w:r>
      <w:r w:rsidRPr="002322B7">
        <w:rPr>
          <w:lang w:val="en-AU"/>
        </w:rPr>
        <w:t xml:space="preserve"> is </w:t>
      </w:r>
      <w:r w:rsidR="00A060EB">
        <w:rPr>
          <w:lang w:val="en-AU"/>
        </w:rPr>
        <w:t>5</w:t>
      </w:r>
      <w:r w:rsidR="00A060EB" w:rsidRPr="002322B7">
        <w:rPr>
          <w:lang w:val="en-AU"/>
        </w:rPr>
        <w:t xml:space="preserve"> </w:t>
      </w:r>
      <w:r w:rsidRPr="002322B7">
        <w:rPr>
          <w:lang w:val="en-AU"/>
        </w:rPr>
        <w:t xml:space="preserve">percentage points </w:t>
      </w:r>
      <w:r w:rsidR="00CA44B9" w:rsidRPr="002322B7">
        <w:rPr>
          <w:lang w:val="en-AU"/>
        </w:rPr>
        <w:t xml:space="preserve">lower than </w:t>
      </w:r>
      <w:r w:rsidRPr="002322B7">
        <w:rPr>
          <w:lang w:val="en-AU"/>
        </w:rPr>
        <w:t>the 34% average for OECD countries.</w:t>
      </w:r>
      <w:r w:rsidR="00323834" w:rsidRPr="002322B7">
        <w:rPr>
          <w:lang w:val="en-AU"/>
        </w:rPr>
        <w:t>¹</w:t>
      </w:r>
      <w:r w:rsidRPr="002322B7">
        <w:rPr>
          <w:lang w:val="en-AU"/>
        </w:rPr>
        <w:t xml:space="preserve"> Australian taxes on goods and services </w:t>
      </w:r>
      <w:r w:rsidR="00AD68B3" w:rsidRPr="002322B7">
        <w:rPr>
          <w:lang w:val="en-AU"/>
        </w:rPr>
        <w:t xml:space="preserve">are </w:t>
      </w:r>
      <w:r w:rsidR="00791054" w:rsidRPr="002322B7">
        <w:rPr>
          <w:lang w:val="en-AU"/>
        </w:rPr>
        <w:t>equivalent to</w:t>
      </w:r>
      <w:r w:rsidRPr="002322B7">
        <w:rPr>
          <w:lang w:val="en-AU"/>
        </w:rPr>
        <w:t xml:space="preserve"> 7% of Australia’s GDP</w:t>
      </w:r>
      <w:r w:rsidR="00A449A5">
        <w:rPr>
          <w:lang w:val="en-AU"/>
        </w:rPr>
        <w:t>,</w:t>
      </w:r>
      <w:r w:rsidRPr="002322B7">
        <w:rPr>
          <w:lang w:val="en-AU"/>
        </w:rPr>
        <w:t xml:space="preserve"> compared to 11% across OECD countries.</w:t>
      </w:r>
      <w:r w:rsidR="00E240C9" w:rsidRPr="002322B7">
        <w:rPr>
          <w:lang w:val="en-AU"/>
        </w:rPr>
        <w:t xml:space="preserve"> </w:t>
      </w:r>
      <w:r w:rsidR="0016733E" w:rsidRPr="002322B7">
        <w:rPr>
          <w:rFonts w:eastAsia="Times New Roman"/>
          <w:lang w:val="en-AU"/>
        </w:rPr>
        <w:t xml:space="preserve">Australia’s corporate tax rate is </w:t>
      </w:r>
      <w:r w:rsidR="00E240C9" w:rsidRPr="002322B7">
        <w:rPr>
          <w:rFonts w:eastAsia="Times New Roman"/>
          <w:lang w:val="en-AU"/>
        </w:rPr>
        <w:t xml:space="preserve">typically </w:t>
      </w:r>
      <w:r w:rsidR="0016733E" w:rsidRPr="002322B7">
        <w:rPr>
          <w:rFonts w:eastAsia="Times New Roman"/>
          <w:lang w:val="en-AU"/>
        </w:rPr>
        <w:t xml:space="preserve">lower due to various deductions, credits and incentives. For </w:t>
      </w:r>
      <w:r w:rsidR="008E4391" w:rsidRPr="002322B7">
        <w:rPr>
          <w:rFonts w:eastAsia="Times New Roman"/>
          <w:lang w:val="en-AU"/>
        </w:rPr>
        <w:t>instance</w:t>
      </w:r>
      <w:r w:rsidR="0016733E" w:rsidRPr="002322B7">
        <w:rPr>
          <w:rFonts w:eastAsia="Times New Roman"/>
          <w:lang w:val="en-AU"/>
        </w:rPr>
        <w:t xml:space="preserve">, </w:t>
      </w:r>
      <w:r w:rsidR="000233F5" w:rsidRPr="002322B7">
        <w:rPr>
          <w:lang w:val="en-AU"/>
        </w:rPr>
        <w:t>R&amp;D tax incentives significantly reduce rates for innovative companies</w:t>
      </w:r>
      <w:r w:rsidR="008E4391" w:rsidRPr="002322B7">
        <w:rPr>
          <w:lang w:val="en-AU"/>
        </w:rPr>
        <w:t xml:space="preserve"> </w:t>
      </w:r>
      <w:r w:rsidR="00FF7472" w:rsidRPr="002322B7">
        <w:rPr>
          <w:lang w:val="en-AU"/>
        </w:rPr>
        <w:t>(</w:t>
      </w:r>
      <w:r w:rsidR="0003283A">
        <w:rPr>
          <w:lang w:val="en-AU"/>
        </w:rPr>
        <w:t>a</w:t>
      </w:r>
      <w:r w:rsidR="008E4391" w:rsidRPr="002322B7">
        <w:rPr>
          <w:lang w:val="en-AU"/>
        </w:rPr>
        <w:t xml:space="preserve"> small company</w:t>
      </w:r>
      <w:r w:rsidR="00FF7472" w:rsidRPr="002322B7">
        <w:rPr>
          <w:lang w:val="en-AU"/>
        </w:rPr>
        <w:t xml:space="preserve"> that</w:t>
      </w:r>
      <w:r w:rsidR="008E4391" w:rsidRPr="002322B7">
        <w:rPr>
          <w:lang w:val="en-AU"/>
        </w:rPr>
        <w:t xml:space="preserve"> invests $100,000 in R&amp;D </w:t>
      </w:r>
      <w:r w:rsidR="00EB04C5" w:rsidRPr="002322B7">
        <w:rPr>
          <w:lang w:val="en-AU"/>
        </w:rPr>
        <w:t>may be el</w:t>
      </w:r>
      <w:r w:rsidR="00437D94">
        <w:rPr>
          <w:lang w:val="en-AU"/>
        </w:rPr>
        <w:t>i</w:t>
      </w:r>
      <w:r w:rsidR="00EB04C5" w:rsidRPr="002322B7">
        <w:rPr>
          <w:lang w:val="en-AU"/>
        </w:rPr>
        <w:t>gible to</w:t>
      </w:r>
      <w:r w:rsidR="008E4391" w:rsidRPr="002322B7">
        <w:rPr>
          <w:lang w:val="en-AU"/>
        </w:rPr>
        <w:t xml:space="preserve"> receive a </w:t>
      </w:r>
      <w:hyperlink r:id="rId14" w:history="1">
        <w:r w:rsidR="008E4391" w:rsidRPr="002322B7">
          <w:rPr>
            <w:rStyle w:val="Hyperlink"/>
            <w:lang w:val="en-AU"/>
          </w:rPr>
          <w:t>cash refund of over $40,000</w:t>
        </w:r>
      </w:hyperlink>
      <w:r w:rsidR="002F71BE" w:rsidRPr="002322B7">
        <w:rPr>
          <w:lang w:val="en-AU"/>
        </w:rPr>
        <w:t>)</w:t>
      </w:r>
      <w:r w:rsidR="0003283A">
        <w:rPr>
          <w:lang w:val="en-AU"/>
        </w:rPr>
        <w:t>.</w:t>
      </w:r>
      <w:r w:rsidR="002F71BE" w:rsidRPr="002322B7">
        <w:rPr>
          <w:lang w:val="en-AU"/>
        </w:rPr>
        <w:t xml:space="preserve"> </w:t>
      </w:r>
      <w:r w:rsidR="000233F5" w:rsidRPr="002322B7">
        <w:rPr>
          <w:lang w:val="en-AU"/>
        </w:rPr>
        <w:t>Australia's corporate tax laws are stable and predictable, helping to reduce costs</w:t>
      </w:r>
      <w:r w:rsidR="009547FD">
        <w:rPr>
          <w:lang w:val="en-AU"/>
        </w:rPr>
        <w:t>, like</w:t>
      </w:r>
      <w:r w:rsidR="005C3E70" w:rsidRPr="002322B7">
        <w:rPr>
          <w:lang w:val="en-AU"/>
        </w:rPr>
        <w:t xml:space="preserve"> </w:t>
      </w:r>
      <w:r w:rsidR="008D5D46" w:rsidRPr="002322B7">
        <w:rPr>
          <w:lang w:val="en-AU"/>
        </w:rPr>
        <w:t xml:space="preserve">our </w:t>
      </w:r>
      <w:hyperlink r:id="rId15" w:history="1">
        <w:r w:rsidR="000233F5" w:rsidRPr="002322B7">
          <w:rPr>
            <w:rStyle w:val="Hyperlink"/>
            <w:lang w:val="en-AU"/>
          </w:rPr>
          <w:t xml:space="preserve">tax agreements </w:t>
        </w:r>
        <w:r w:rsidR="008D5D46" w:rsidRPr="002322B7">
          <w:rPr>
            <w:rStyle w:val="Hyperlink"/>
            <w:lang w:val="en-AU"/>
          </w:rPr>
          <w:t xml:space="preserve">with other </w:t>
        </w:r>
        <w:r w:rsidR="00970E66" w:rsidRPr="002322B7">
          <w:rPr>
            <w:rStyle w:val="Hyperlink"/>
            <w:lang w:val="en-AU"/>
          </w:rPr>
          <w:t>countries</w:t>
        </w:r>
      </w:hyperlink>
      <w:r w:rsidR="008D5D46" w:rsidRPr="002322B7">
        <w:rPr>
          <w:lang w:val="en-AU"/>
        </w:rPr>
        <w:t xml:space="preserve"> </w:t>
      </w:r>
      <w:r w:rsidR="009547FD">
        <w:rPr>
          <w:lang w:val="en-AU"/>
        </w:rPr>
        <w:t xml:space="preserve">that </w:t>
      </w:r>
      <w:r w:rsidR="000233F5" w:rsidRPr="002322B7">
        <w:rPr>
          <w:lang w:val="en-AU"/>
        </w:rPr>
        <w:t>prevent tax duplication.</w:t>
      </w:r>
    </w:p>
    <w:p w14:paraId="6DE46A5F" w14:textId="07787468" w:rsidR="00F43433" w:rsidRDefault="00F43433" w:rsidP="00F43433">
      <w:pPr>
        <w:pStyle w:val="Caption"/>
      </w:pPr>
      <w:bookmarkStart w:id="17" w:name="_Toc171500359"/>
      <w:bookmarkStart w:id="18" w:name="_Toc165471216"/>
      <w:r w:rsidRPr="002322B7">
        <w:t xml:space="preserve">Figure </w:t>
      </w:r>
      <w:r w:rsidR="00CF16FA">
        <w:fldChar w:fldCharType="begin"/>
      </w:r>
      <w:r w:rsidR="00CF16FA">
        <w:instrText xml:space="preserve"> SEQ Figure \* ARABIC </w:instrText>
      </w:r>
      <w:r w:rsidR="00CF16FA">
        <w:fldChar w:fldCharType="separate"/>
      </w:r>
      <w:r w:rsidR="002459CF">
        <w:rPr>
          <w:noProof/>
        </w:rPr>
        <w:t>3</w:t>
      </w:r>
      <w:r w:rsidR="00CF16FA">
        <w:rPr>
          <w:noProof/>
        </w:rPr>
        <w:fldChar w:fldCharType="end"/>
      </w:r>
      <w:r w:rsidRPr="002322B7">
        <w:t xml:space="preserve"> – Tax revenue as a percentage of GDP by </w:t>
      </w:r>
      <w:r w:rsidR="00970E66" w:rsidRPr="002322B7">
        <w:t>economy</w:t>
      </w:r>
      <w:bookmarkEnd w:id="17"/>
    </w:p>
    <w:bookmarkEnd w:id="18"/>
    <w:p w14:paraId="6ED1A7B5" w14:textId="053915A9" w:rsidR="00F43433" w:rsidRPr="002322B7" w:rsidRDefault="00F556D5" w:rsidP="007E2303">
      <w:r>
        <w:rPr>
          <w:noProof/>
        </w:rPr>
        <w:drawing>
          <wp:inline distT="0" distB="0" distL="0" distR="0" wp14:anchorId="7A0098A8" wp14:editId="1C47747B">
            <wp:extent cx="6336030" cy="4506595"/>
            <wp:effectExtent l="0" t="0" r="7620" b="8255"/>
            <wp:docPr id="1524461579" name="Picture 14" descr="A bar chart shows the tax revenue as a percentage of gross domestic product (GDP) by country, using 2021 data or the latest available across the OECD dataset. The bar chart is stacked; the top part shows tax on personal income and corporate profits, and the lower part shows other taxes.  The figures behind the graph are: France (1) 13% for personal &amp; corporate; 33% for other taxes; and 46 for total; Norway (2) 27% for personal &amp; corporate; 18% for other taxes; and 44 for total; Austria (3) 13% for personal &amp; corporate; 30% for other taxes; and 43 for total; Finland (4) 16% for personal &amp; corporate; 27% for other taxes; and 43 for total; Italy (5) 14% for personal &amp; corporate; 29% for other taxes; and 43 for total; Belgium (6) 16% for personal &amp; corporate; 27% for other taxes; and 42 for total; Denmark (7) 27% for personal &amp; corporate; 15% for other taxes; and 42 for total; Sweden (8) 15% for personal &amp; corporate; 27% for other taxes; and 41 for total; Greece (9) 8% for personal &amp; corporate; 32% for other taxes; and 39 for total; Germany (10) 13% for personal &amp; corporate; 26% for other taxes; and 39 for total; Netherlands (12) 13% for personal &amp; corporate; 25% for other taxes; and 38 for total; Spain (14) 12% for personal &amp; corporate; 26% for other taxes; and 38 for total; UK (17) 13% for personal &amp; corporate; 22% for other taxes; and 35 for total; Iceland (19) 16% for personal &amp; corporate; 18% for other taxes; and 35 for total; OECD 12% for personal &amp; corporate; 23% for other taxes; and 34 for total; Japan (21) 11% for personal &amp; corporate; 23% for other taxes; and 34 for total; New Zealand (23) 19% for personal &amp; corporate; 15% for other taxes; and 34 for total; Canada (25) 16% for personal &amp; corporate; 17% for other taxes; and 33 for total; Israel (26) 12% for personal &amp; corporate; 21% for other taxes; and 33 for total; Korea (28) 12% for personal &amp; corporate; 20% for other taxes; and 32 for total; Australia (30) 18% for personal &amp; corporate; 11% for other taxes; and 29 for total; US (31) 14% for personal &amp; corporate; 13% for other taxes; and 28 for total; Switzerland (32) 12% for personal &amp; corporate; 16% for other taxes; and 27 for total; Ireland (35) 11% for personal &amp; corporate; 10% for other taxes; and 21 for total; Türkiye (36) 6% for personal &amp; corporate; 15% for other taxes; and 21 for total; Mexico (38) 7% for personal &amp; corporate; 10% for other taxes; and 17 for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1579" name="Picture 14" descr="A bar chart shows the tax revenue as a percentage of gross domestic product (GDP) by country, using 2021 data or the latest available across the OECD dataset. The bar chart is stacked; the top part shows tax on personal income and corporate profits, and the lower part shows other taxes.  The figures behind the graph are: France (1) 13% for personal &amp; corporate; 33% for other taxes; and 46 for total; Norway (2) 27% for personal &amp; corporate; 18% for other taxes; and 44 for total; Austria (3) 13% for personal &amp; corporate; 30% for other taxes; and 43 for total; Finland (4) 16% for personal &amp; corporate; 27% for other taxes; and 43 for total; Italy (5) 14% for personal &amp; corporate; 29% for other taxes; and 43 for total; Belgium (6) 16% for personal &amp; corporate; 27% for other taxes; and 42 for total; Denmark (7) 27% for personal &amp; corporate; 15% for other taxes; and 42 for total; Sweden (8) 15% for personal &amp; corporate; 27% for other taxes; and 41 for total; Greece (9) 8% for personal &amp; corporate; 32% for other taxes; and 39 for total; Germany (10) 13% for personal &amp; corporate; 26% for other taxes; and 39 for total; Netherlands (12) 13% for personal &amp; corporate; 25% for other taxes; and 38 for total; Spain (14) 12% for personal &amp; corporate; 26% for other taxes; and 38 for total; UK (17) 13% for personal &amp; corporate; 22% for other taxes; and 35 for total; Iceland (19) 16% for personal &amp; corporate; 18% for other taxes; and 35 for total; OECD 12% for personal &amp; corporate; 23% for other taxes; and 34 for total; Japan (21) 11% for personal &amp; corporate; 23% for other taxes; and 34 for total; New Zealand (23) 19% for personal &amp; corporate; 15% for other taxes; and 34 for total; Canada (25) 16% for personal &amp; corporate; 17% for other taxes; and 33 for total; Israel (26) 12% for personal &amp; corporate; 21% for other taxes; and 33 for total; Korea (28) 12% for personal &amp; corporate; 20% for other taxes; and 32 for total; Australia (30) 18% for personal &amp; corporate; 11% for other taxes; and 29 for total; US (31) 14% for personal &amp; corporate; 13% for other taxes; and 28 for total; Switzerland (32) 12% for personal &amp; corporate; 16% for other taxes; and 27 for total; Ireland (35) 11% for personal &amp; corporate; 10% for other taxes; and 21 for total; Türkiye (36) 6% for personal &amp; corporate; 15% for other taxes; and 21 for total; Mexico (38) 7% for personal &amp; corporate; 10% for other taxes; and 17 for total."/>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6336030" cy="4506595"/>
                    </a:xfrm>
                    <a:prstGeom prst="rect">
                      <a:avLst/>
                    </a:prstGeom>
                    <a:ln>
                      <a:noFill/>
                    </a:ln>
                    <a:extLst>
                      <a:ext uri="{53640926-AAD7-44D8-BBD7-CCE9431645EC}">
                        <a14:shadowObscured xmlns:a14="http://schemas.microsoft.com/office/drawing/2010/main"/>
                      </a:ext>
                    </a:extLst>
                  </pic:spPr>
                </pic:pic>
              </a:graphicData>
            </a:graphic>
          </wp:inline>
        </w:drawing>
      </w:r>
    </w:p>
    <w:p w14:paraId="7C1BCBDA" w14:textId="77777777" w:rsidR="00FD7AB4" w:rsidRPr="002322B7" w:rsidRDefault="00FD7AB4" w:rsidP="00FD7AB4">
      <w:pPr>
        <w:pStyle w:val="Sourcesandnotes"/>
      </w:pPr>
      <w:r w:rsidRPr="002322B7">
        <w:rPr>
          <w:b/>
          <w:bCs/>
        </w:rPr>
        <w:t>Notes: 1.</w:t>
      </w:r>
      <w:r w:rsidRPr="002322B7">
        <w:t xml:space="preserve"> Measured as a percentage of GDP. Tax systems across countries vary significantly and this makes direct comparisons difficult on a like-for-like basis. A simple measure used by the OECD is to consider the total ‘tax take’ of an economy. The tax take (or tax burden) is the ratio of total tax revenues to GDP, at market prices. This ratio is a broad measure of a country’s taxation impost which cuts across the various bases, rates and thresholds. </w:t>
      </w:r>
      <w:r w:rsidRPr="002322B7">
        <w:rPr>
          <w:b/>
          <w:bCs/>
        </w:rPr>
        <w:t>2.</w:t>
      </w:r>
      <w:r w:rsidRPr="002322B7">
        <w:t xml:space="preserve"> Social security contributions/taxes as “compulsory payments paid to general government that confer entitlement to receive a (contingent) future social benefit”. For example, unemployment insurance or family allowances. Social security contributions are often levied on employers and not only employees. </w:t>
      </w:r>
      <w:r w:rsidRPr="002322B7">
        <w:rPr>
          <w:b/>
          <w:bCs/>
        </w:rPr>
        <w:t>3.</w:t>
      </w:r>
      <w:r w:rsidRPr="002322B7">
        <w:t xml:space="preserve"> The number in brackets indicates the country’s ranking across OECD members. </w:t>
      </w:r>
    </w:p>
    <w:p w14:paraId="3E27308A" w14:textId="26D4FFBA" w:rsidR="005C0C76" w:rsidRPr="002322B7" w:rsidRDefault="00FD7AB4" w:rsidP="007E2303">
      <w:pPr>
        <w:pStyle w:val="Sourcesandnotes"/>
      </w:pPr>
      <w:r w:rsidRPr="002322B7">
        <w:rPr>
          <w:b/>
          <w:bCs/>
        </w:rPr>
        <w:t>Sources:</w:t>
      </w:r>
      <w:r w:rsidRPr="002322B7">
        <w:t xml:space="preserve"> Organisation for Economic Co-operation and Development, 2024, Revenue Statistics - OECD countries: Comparative tables, accessed on 28 Feb 2024; Austrade.</w:t>
      </w:r>
    </w:p>
    <w:p w14:paraId="007DF282" w14:textId="77777777" w:rsidR="005C0C76" w:rsidRPr="002322B7" w:rsidRDefault="005C0C76" w:rsidP="005C0C76">
      <w:pPr>
        <w:pStyle w:val="Heading-level2"/>
      </w:pPr>
      <w:bookmarkStart w:id="19" w:name="_Toc171500309"/>
      <w:r w:rsidRPr="002322B7">
        <w:lastRenderedPageBreak/>
        <w:t>Good governance, strong institutions and the rule of law</w:t>
      </w:r>
      <w:bookmarkEnd w:id="19"/>
    </w:p>
    <w:p w14:paraId="7ACD1D92" w14:textId="77777777" w:rsidR="005C0C76" w:rsidRPr="002322B7" w:rsidRDefault="005C0C76" w:rsidP="005C0C76">
      <w:pPr>
        <w:pStyle w:val="Body-copy"/>
        <w:rPr>
          <w:lang w:val="en-AU"/>
        </w:rPr>
      </w:pPr>
      <w:r w:rsidRPr="002322B7">
        <w:rPr>
          <w:lang w:val="en-AU"/>
        </w:rPr>
        <w:t>Australia has a global reputation for good government. We are recognised as one of the least corrupt nations, and Australia’s legal system is well grounded, professional and transparent. Australia is a global leader in protecting property rights, including intellectual property</w:t>
      </w:r>
      <w:r>
        <w:rPr>
          <w:lang w:val="en-AU"/>
        </w:rPr>
        <w:t>, and our s</w:t>
      </w:r>
      <w:r w:rsidRPr="002322B7">
        <w:rPr>
          <w:lang w:val="en-AU"/>
        </w:rPr>
        <w:t xml:space="preserve">ound governance sustains investor confidence. Today, Australia provides a stable base for multinationals who want to secure their supply chains, broaden their commercial horizons, or establish new operations in the Asia-Pacific region. </w:t>
      </w:r>
    </w:p>
    <w:p w14:paraId="29F45AA9" w14:textId="77777777" w:rsidR="005C0C76" w:rsidRPr="002322B7" w:rsidRDefault="005C0C76" w:rsidP="005C0C76">
      <w:pPr>
        <w:pStyle w:val="Body-copy"/>
        <w:rPr>
          <w:lang w:val="en-AU"/>
        </w:rPr>
      </w:pPr>
    </w:p>
    <w:p w14:paraId="1E46C4B6" w14:textId="3A7C21CC" w:rsidR="005C0C76" w:rsidRDefault="005C0C76" w:rsidP="005C0C76">
      <w:pPr>
        <w:pStyle w:val="Caption"/>
      </w:pPr>
      <w:bookmarkStart w:id="20" w:name="_Toc171500360"/>
      <w:r w:rsidRPr="002322B7">
        <w:t xml:space="preserve">Figure </w:t>
      </w:r>
      <w:r w:rsidR="00CF16FA">
        <w:fldChar w:fldCharType="begin"/>
      </w:r>
      <w:r w:rsidR="00CF16FA">
        <w:instrText xml:space="preserve"> SEQ Figure \* ARABIC </w:instrText>
      </w:r>
      <w:r w:rsidR="00CF16FA">
        <w:fldChar w:fldCharType="separate"/>
      </w:r>
      <w:r w:rsidR="002459CF">
        <w:rPr>
          <w:noProof/>
        </w:rPr>
        <w:t>4</w:t>
      </w:r>
      <w:r w:rsidR="00CF16FA">
        <w:rPr>
          <w:noProof/>
        </w:rPr>
        <w:fldChar w:fldCharType="end"/>
      </w:r>
      <w:r w:rsidRPr="002322B7">
        <w:t xml:space="preserve"> – Global rankings of Australia’s governance</w:t>
      </w:r>
      <w:bookmarkEnd w:id="20"/>
    </w:p>
    <w:p w14:paraId="61A941D3" w14:textId="59BA71C6" w:rsidR="00002D86" w:rsidRPr="00002D86" w:rsidRDefault="00F556D5" w:rsidP="00002D86">
      <w:r>
        <w:rPr>
          <w:noProof/>
        </w:rPr>
        <w:drawing>
          <wp:inline distT="0" distB="0" distL="0" distR="0" wp14:anchorId="60AB965D" wp14:editId="3099EDE0">
            <wp:extent cx="6336030" cy="3869055"/>
            <wp:effectExtent l="0" t="0" r="7620" b="0"/>
            <wp:docPr id="1659215764" name="Picture 15" descr="The infographic shows the following information:&#10;#1 Legal system&#10;Australia has a transparent and fair legal system. (footnote #1)&#10;#1 Lowest risk of social unrest&#10;Globally, Australia has the lowest risk of social unrest. (footnote #1)&#10;#2 Regulatory quality&#10;Australia’s government has a strong ability to formulate and implement sound policies and regulations. (footnote #3)&#10;#1 Quality of bureaucracy&#10;Australian public servants have the highest level of specialisation and technical qualification. (footnote #1)&#10;#2 External intervention&#10;Australia’s government is free from the influence and impact of external actors. (footnote #2)&#10;#7 Factionalised elites&#10;Australia’s institutions are less likely to be fragmented by the brinkmanship and gridlock of ruling elites. (footnot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15764" name="Picture 15" descr="The infographic shows the following information:&#10;#1 Legal system&#10;Australia has a transparent and fair legal system. (footnote #1)&#10;#1 Lowest risk of social unrest&#10;Globally, Australia has the lowest risk of social unrest. (footnote #1)&#10;#2 Regulatory quality&#10;Australia’s government has a strong ability to formulate and implement sound policies and regulations. (footnote #3)&#10;#1 Quality of bureaucracy&#10;Australian public servants have the highest level of specialisation and technical qualification. (footnote #1)&#10;#2 External intervention&#10;Australia’s government is free from the influence and impact of external actors. (footnote #2)&#10;#7 Factionalised elites&#10;Australia’s institutions are less likely to be fragmented by the brinkmanship and gridlock of ruling elites. (footnote #2)&#10;"/>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6336030" cy="3869055"/>
                    </a:xfrm>
                    <a:prstGeom prst="rect">
                      <a:avLst/>
                    </a:prstGeom>
                    <a:ln>
                      <a:noFill/>
                    </a:ln>
                    <a:extLst>
                      <a:ext uri="{53640926-AAD7-44D8-BBD7-CCE9431645EC}">
                        <a14:shadowObscured xmlns:a14="http://schemas.microsoft.com/office/drawing/2010/main"/>
                      </a:ext>
                    </a:extLst>
                  </pic:spPr>
                </pic:pic>
              </a:graphicData>
            </a:graphic>
          </wp:inline>
        </w:drawing>
      </w:r>
    </w:p>
    <w:p w14:paraId="2AAEB1B1" w14:textId="77777777" w:rsidR="005C0C76" w:rsidRPr="002322B7" w:rsidRDefault="005C0C76" w:rsidP="005C0C76">
      <w:pPr>
        <w:pStyle w:val="Sourcesandnotes"/>
      </w:pPr>
      <w:r w:rsidRPr="002322B7">
        <w:rPr>
          <w:b/>
          <w:bCs/>
        </w:rPr>
        <w:t>Sources</w:t>
      </w:r>
      <w:r w:rsidRPr="002322B7">
        <w:t xml:space="preserve">: </w:t>
      </w:r>
      <w:r w:rsidRPr="002322B7">
        <w:rPr>
          <w:b/>
          <w:bCs/>
        </w:rPr>
        <w:t>1.</w:t>
      </w:r>
      <w:r w:rsidRPr="002322B7">
        <w:t xml:space="preserve"> Economic Intelligence Unit, 2024, Viewpoint database. </w:t>
      </w:r>
      <w:r w:rsidRPr="002322B7">
        <w:rPr>
          <w:b/>
          <w:bCs/>
        </w:rPr>
        <w:t>2.</w:t>
      </w:r>
      <w:r w:rsidRPr="002322B7">
        <w:t xml:space="preserve"> Fund for Peace, 2023, Fragile states index. </w:t>
      </w:r>
      <w:r w:rsidRPr="002322B7">
        <w:rPr>
          <w:b/>
          <w:bCs/>
        </w:rPr>
        <w:t>3.</w:t>
      </w:r>
      <w:r w:rsidRPr="002322B7">
        <w:t xml:space="preserve"> The World Bank, 2023, The worldwide governance indicators. </w:t>
      </w:r>
      <w:r w:rsidRPr="002322B7">
        <w:rPr>
          <w:b/>
          <w:bCs/>
        </w:rPr>
        <w:t>4.</w:t>
      </w:r>
      <w:r w:rsidRPr="002322B7">
        <w:t xml:space="preserve"> Austrade.</w:t>
      </w:r>
    </w:p>
    <w:p w14:paraId="0AE38FFF" w14:textId="77777777" w:rsidR="005C0C76" w:rsidRPr="002322B7" w:rsidRDefault="005C0C76" w:rsidP="005C0C76"/>
    <w:p w14:paraId="5717E20F" w14:textId="77777777" w:rsidR="005C0C76" w:rsidRPr="002322B7" w:rsidRDefault="005C0C76" w:rsidP="005C0C76">
      <w:pPr>
        <w:pStyle w:val="Heading-level2"/>
      </w:pPr>
      <w:bookmarkStart w:id="21" w:name="_Toc171500310"/>
      <w:r w:rsidRPr="002322B7">
        <w:lastRenderedPageBreak/>
        <w:t>Australia: open and business-friendly</w:t>
      </w:r>
      <w:bookmarkEnd w:id="21"/>
      <w:r w:rsidRPr="002322B7">
        <w:t xml:space="preserve"> </w:t>
      </w:r>
    </w:p>
    <w:p w14:paraId="4A482AAC" w14:textId="0396DE61" w:rsidR="005C0C76" w:rsidRPr="002322B7" w:rsidRDefault="005C0C76" w:rsidP="005C0C76">
      <w:pPr>
        <w:pStyle w:val="Body-copy"/>
        <w:rPr>
          <w:lang w:val="en-AU"/>
        </w:rPr>
      </w:pPr>
      <w:r w:rsidRPr="002322B7">
        <w:rPr>
          <w:lang w:val="en-AU"/>
        </w:rPr>
        <w:t>Australia is a welcoming place for foreign investors and startup ventures</w:t>
      </w:r>
      <w:r>
        <w:rPr>
          <w:lang w:val="en-AU"/>
        </w:rPr>
        <w:t xml:space="preserve">, and we </w:t>
      </w:r>
      <w:r w:rsidRPr="002322B7">
        <w:rPr>
          <w:lang w:val="en-AU"/>
        </w:rPr>
        <w:t xml:space="preserve">lead the world in credit ratings. We rank </w:t>
      </w:r>
      <w:r>
        <w:rPr>
          <w:lang w:val="en-AU"/>
        </w:rPr>
        <w:t>6</w:t>
      </w:r>
      <w:r w:rsidRPr="002322B7">
        <w:rPr>
          <w:vertAlign w:val="superscript"/>
          <w:lang w:val="en-AU"/>
        </w:rPr>
        <w:t>th</w:t>
      </w:r>
      <w:r w:rsidRPr="002322B7">
        <w:rPr>
          <w:lang w:val="en-AU"/>
        </w:rPr>
        <w:t xml:space="preserve"> for low tariff barriers, which reflects Australia’s commitment to open trade. </w:t>
      </w:r>
      <w:r w:rsidR="003F4FD9">
        <w:rPr>
          <w:lang w:val="en-AU"/>
        </w:rPr>
        <w:t>Other high performing areas</w:t>
      </w:r>
      <w:r w:rsidR="00C75893">
        <w:rPr>
          <w:lang w:val="en-AU"/>
        </w:rPr>
        <w:t xml:space="preserve"> include </w:t>
      </w:r>
      <w:r w:rsidRPr="002322B7">
        <w:rPr>
          <w:lang w:val="en-AU"/>
        </w:rPr>
        <w:t>Australia's macroeconomic environment and contract enforcement</w:t>
      </w:r>
      <w:r w:rsidR="004917EB">
        <w:rPr>
          <w:lang w:val="en-AU"/>
        </w:rPr>
        <w:t>, which</w:t>
      </w:r>
      <w:r w:rsidRPr="002322B7">
        <w:rPr>
          <w:lang w:val="en-AU"/>
        </w:rPr>
        <w:t xml:space="preserve"> are global standouts. Global rankings also recognise our relative strength as a place to launch a new business and as an environment for private enterprise. </w:t>
      </w:r>
    </w:p>
    <w:p w14:paraId="4D99DE6D" w14:textId="1BBF2202" w:rsidR="005C0C76" w:rsidRDefault="005C0C76" w:rsidP="005C0C76">
      <w:pPr>
        <w:pStyle w:val="Caption"/>
      </w:pPr>
      <w:bookmarkStart w:id="22" w:name="_Toc171500361"/>
      <w:r w:rsidRPr="002322B7">
        <w:t xml:space="preserve">Figure </w:t>
      </w:r>
      <w:r w:rsidR="00CF16FA">
        <w:fldChar w:fldCharType="begin"/>
      </w:r>
      <w:r w:rsidR="00CF16FA">
        <w:instrText xml:space="preserve"> SEQ Figure \* ARABIC </w:instrText>
      </w:r>
      <w:r w:rsidR="00CF16FA">
        <w:fldChar w:fldCharType="separate"/>
      </w:r>
      <w:r w:rsidR="002459CF">
        <w:rPr>
          <w:noProof/>
        </w:rPr>
        <w:t>5</w:t>
      </w:r>
      <w:r w:rsidR="00CF16FA">
        <w:rPr>
          <w:noProof/>
        </w:rPr>
        <w:fldChar w:fldCharType="end"/>
      </w:r>
      <w:r w:rsidRPr="002322B7">
        <w:t xml:space="preserve"> – Business efficiency and environment, 2024</w:t>
      </w:r>
      <w:bookmarkEnd w:id="22"/>
    </w:p>
    <w:p w14:paraId="22F6E28D" w14:textId="77777777" w:rsidR="005C0C76" w:rsidRDefault="005C0C76" w:rsidP="005C0C76">
      <w:r w:rsidRPr="00403A55">
        <w:rPr>
          <w:noProof/>
        </w:rPr>
        <w:drawing>
          <wp:inline distT="0" distB="0" distL="0" distR="0" wp14:anchorId="00A58A53" wp14:editId="6E82F265">
            <wp:extent cx="6120000" cy="4068346"/>
            <wp:effectExtent l="0" t="0" r="0" b="8890"/>
            <wp:docPr id="1315250002" name="Picture 1" descr="The table shows the rankings of indicators by region, as follows:&#10;IMD World Competitiveness Yearbook 2024 rankings shows the following indicators: Country credit rating¹: Australia 1; China 27; India 53; Japan 30; Korea 17; Norway 1; Singapore 1; UK 22 and US 12. Environmental agreements²: Australia 1; China 7; India 51; Japan 34; Korea 59; Norway 40; Singapore 38; UK 11 and US 55. Income distribution³: Australia 2; China 9; India 23; Japan na; Korea 29; Norway 38; Singapore na; UK 54 and US 55. Agricultural productivity: Australia 5; China 59; India 58; Japan 45; Korea 43; Norway 9; Singapore 63; UK 7 and US 14. Financial card transactions⁴: Australia 5; China 18; India 60; Japan 31; Korea 16; Norway 11; Singapore 6; UK 9 and US 2. Number of days to start a business: Australia 5; China 32; India 53; Japan 38; Korea 27; Norway 9; Singapore 2; UK 15 and US 9. Tariff barriers: Australia 6; China 46; India 62; Japan 43; Korea 60; Norway 52; Singapore 1; UK 5 and US 37. Enforcing contracts⁵: Australia 6; China 5; India 63; Japan 35; Korea 2; Norway 3; Singapore 1; UK 26 and US 16. &#10;EIU Business Environment 2024 rankings shows the following indicators: Private enterprise⁶: Australia 5; China 46; India 42; Japan 20; Korea 26; Norway 12; Singapore 8; UK 10 and US 1. Macroeconomic environment⁷: Australia 5; China 32; India 36; Japan 42; Korea 13; Norway 2; Singapore 9; UK 39 and US 43. &#10;Fund for Peace (2024) Fragile States Index 2023 rankings shows the following indicators: Human flight and brain drain⁸: Australia 1; China 33; India 72; Japan 26; Korea 36; Norway 3; Singapore 9; UK 21 and US 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50002" name="Picture 1" descr="The table shows the rankings of indicators by region, as follows:&#10;IMD World Competitiveness Yearbook 2024 rankings shows the following indicators: Country credit rating¹: Australia 1; China 27; India 53; Japan 30; Korea 17; Norway 1; Singapore 1; UK 22 and US 12. Environmental agreements²: Australia 1; China 7; India 51; Japan 34; Korea 59; Norway 40; Singapore 38; UK 11 and US 55. Income distribution³: Australia 2; China 9; India 23; Japan na; Korea 29; Norway 38; Singapore na; UK 54 and US 55. Agricultural productivity: Australia 5; China 59; India 58; Japan 45; Korea 43; Norway 9; Singapore 63; UK 7 and US 14. Financial card transactions⁴: Australia 5; China 18; India 60; Japan 31; Korea 16; Norway 11; Singapore 6; UK 9 and US 2. Number of days to start a business: Australia 5; China 32; India 53; Japan 38; Korea 27; Norway 9; Singapore 2; UK 15 and US 9. Tariff barriers: Australia 6; China 46; India 62; Japan 43; Korea 60; Norway 52; Singapore 1; UK 5 and US 37. Enforcing contracts⁵: Australia 6; China 5; India 63; Japan 35; Korea 2; Norway 3; Singapore 1; UK 26 and US 16. &#10;EIU Business Environment 2024 rankings shows the following indicators: Private enterprise⁶: Australia 5; China 46; India 42; Japan 20; Korea 26; Norway 12; Singapore 8; UK 10 and US 1. Macroeconomic environment⁷: Australia 5; China 32; India 36; Japan 42; Korea 13; Norway 2; Singapore 9; UK 39 and US 43. &#10;Fund for Peace (2024) Fragile States Index 2023 rankings shows the following indicators: Human flight and brain drain⁸: Australia 1; China 33; India 72; Japan 26; Korea 36; Norway 3; Singapore 9; UK 21 and US 14.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120000" cy="4068346"/>
                    </a:xfrm>
                    <a:prstGeom prst="rect">
                      <a:avLst/>
                    </a:prstGeom>
                    <a:noFill/>
                    <a:ln>
                      <a:noFill/>
                    </a:ln>
                  </pic:spPr>
                </pic:pic>
              </a:graphicData>
            </a:graphic>
          </wp:inline>
        </w:drawing>
      </w:r>
    </w:p>
    <w:p w14:paraId="745E04B9" w14:textId="77777777" w:rsidR="005C0C76" w:rsidRPr="002322B7" w:rsidRDefault="005C0C76" w:rsidP="005C0C76">
      <w:pPr>
        <w:pStyle w:val="Sourcesandnotes"/>
      </w:pPr>
      <w:r w:rsidRPr="002322B7">
        <w:rPr>
          <w:b/>
          <w:bCs/>
        </w:rPr>
        <w:t>Notes: 1.</w:t>
      </w:r>
      <w:r w:rsidRPr="002322B7">
        <w:t xml:space="preserve"> This index is based on credit ratings from Fitch, Moody’s and S&amp;P. </w:t>
      </w:r>
      <w:r w:rsidRPr="002322B7">
        <w:rPr>
          <w:b/>
          <w:bCs/>
        </w:rPr>
        <w:t>2.</w:t>
      </w:r>
      <w:r w:rsidRPr="002322B7">
        <w:t xml:space="preserve"> Based on the number of international multilateral environmental agreements that have been met. </w:t>
      </w:r>
      <w:r w:rsidRPr="002322B7">
        <w:rPr>
          <w:b/>
          <w:bCs/>
        </w:rPr>
        <w:t>3.</w:t>
      </w:r>
      <w:r w:rsidRPr="002322B7">
        <w:t xml:space="preserve"> The percentage of income held by the bottom 10% of income earners. A higher percentage indicates a more equitable distribution. </w:t>
      </w:r>
      <w:r w:rsidRPr="002322B7">
        <w:rPr>
          <w:b/>
          <w:bCs/>
        </w:rPr>
        <w:t xml:space="preserve">4. </w:t>
      </w:r>
      <w:r w:rsidRPr="002322B7">
        <w:t xml:space="preserve">Financial card transactions, US dollars per capita. </w:t>
      </w:r>
      <w:r>
        <w:rPr>
          <w:b/>
          <w:bCs/>
        </w:rPr>
        <w:t>5</w:t>
      </w:r>
      <w:r w:rsidRPr="002322B7">
        <w:rPr>
          <w:b/>
          <w:bCs/>
        </w:rPr>
        <w:t>.</w:t>
      </w:r>
      <w:r w:rsidRPr="002322B7">
        <w:t xml:space="preserve"> Time and cost of a commercial dispute and the quality of judicial processes. </w:t>
      </w:r>
      <w:r>
        <w:rPr>
          <w:b/>
          <w:bCs/>
        </w:rPr>
        <w:t>6</w:t>
      </w:r>
      <w:r w:rsidRPr="002322B7">
        <w:rPr>
          <w:b/>
          <w:bCs/>
        </w:rPr>
        <w:t>.</w:t>
      </w:r>
      <w:r w:rsidRPr="002322B7">
        <w:t xml:space="preserve"> Policy towards private enterprise measures protection of property rights and government attitudes to competition. </w:t>
      </w:r>
      <w:r>
        <w:rPr>
          <w:b/>
          <w:bCs/>
        </w:rPr>
        <w:t>7</w:t>
      </w:r>
      <w:r w:rsidRPr="002322B7">
        <w:rPr>
          <w:b/>
          <w:bCs/>
        </w:rPr>
        <w:t>.</w:t>
      </w:r>
      <w:r w:rsidRPr="002322B7">
        <w:t xml:space="preserve"> The macroeconomic environment index is a measure designed to assess the macroeconomic stability of a country. This index takes into account various economic indicators that reflect the health and stability of an economy. </w:t>
      </w:r>
      <w:r>
        <w:rPr>
          <w:b/>
          <w:bCs/>
        </w:rPr>
        <w:t>8</w:t>
      </w:r>
      <w:r w:rsidRPr="002322B7">
        <w:rPr>
          <w:b/>
          <w:bCs/>
        </w:rPr>
        <w:t>.</w:t>
      </w:r>
      <w:r w:rsidRPr="002322B7">
        <w:t xml:space="preserve"> The Human Flight and Brain Drain index evaluates the economic impact of the emigration of productive, skilled individuals due to economic deterioration or political persecution in their home country.</w:t>
      </w:r>
    </w:p>
    <w:p w14:paraId="309F77CA" w14:textId="55E834AD" w:rsidR="005C0C76" w:rsidRPr="002322B7" w:rsidRDefault="005C0C76" w:rsidP="005C0C76">
      <w:pPr>
        <w:pStyle w:val="Sourcesandnotes"/>
      </w:pPr>
      <w:r w:rsidRPr="002322B7">
        <w:rPr>
          <w:b/>
          <w:bCs/>
        </w:rPr>
        <w:t>Sources:</w:t>
      </w:r>
      <w:r w:rsidRPr="002322B7">
        <w:t xml:space="preserve"> Institute for Management Development, 2024, World competitiveness yearbook 202</w:t>
      </w:r>
      <w:r>
        <w:t>4</w:t>
      </w:r>
      <w:r w:rsidRPr="002322B7">
        <w:t>; Economist Intelligence Unit, 2024, EIU overall business environment rating; Fund for Peace, 2024, Fragile States Index 2023; Austrade.</w:t>
      </w:r>
    </w:p>
    <w:p w14:paraId="5313A694" w14:textId="77777777" w:rsidR="00FD7AB4" w:rsidRPr="002322B7" w:rsidRDefault="00FD7AB4" w:rsidP="00FD7AB4">
      <w:pPr>
        <w:pStyle w:val="Heading-level2"/>
      </w:pPr>
      <w:bookmarkStart w:id="23" w:name="_Toc165471166"/>
      <w:bookmarkStart w:id="24" w:name="_Toc171500311"/>
      <w:r w:rsidRPr="002322B7">
        <w:lastRenderedPageBreak/>
        <w:t>A strong and dynamic financial system</w:t>
      </w:r>
      <w:bookmarkEnd w:id="23"/>
      <w:bookmarkEnd w:id="24"/>
    </w:p>
    <w:p w14:paraId="33EA663D" w14:textId="76A3AB4F" w:rsidR="00FD7AB4" w:rsidRPr="002322B7" w:rsidRDefault="00FD7AB4" w:rsidP="003F1867">
      <w:pPr>
        <w:pStyle w:val="Body-copy"/>
        <w:rPr>
          <w:lang w:val="en-AU"/>
        </w:rPr>
      </w:pPr>
      <w:r w:rsidRPr="4FEBF9DC">
        <w:rPr>
          <w:lang w:val="en-AU"/>
        </w:rPr>
        <w:t>Australia’s financial system combines innovation and rock-solid foundations. Our financial institutions currently manage around US$8 trillion in assets</w:t>
      </w:r>
      <w:r w:rsidR="00F644DC" w:rsidRPr="4FEBF9DC">
        <w:rPr>
          <w:lang w:val="en-AU"/>
        </w:rPr>
        <w:t xml:space="preserve"> and t</w:t>
      </w:r>
      <w:r w:rsidR="00231C39" w:rsidRPr="4FEBF9DC">
        <w:rPr>
          <w:lang w:val="en-AU"/>
        </w:rPr>
        <w:t>he</w:t>
      </w:r>
      <w:r w:rsidRPr="4FEBF9DC">
        <w:rPr>
          <w:lang w:val="en-AU"/>
        </w:rPr>
        <w:t xml:space="preserve"> Australian dollar </w:t>
      </w:r>
      <w:r w:rsidR="00D56618" w:rsidRPr="4FEBF9DC">
        <w:rPr>
          <w:lang w:val="en-AU"/>
        </w:rPr>
        <w:t>is</w:t>
      </w:r>
      <w:r w:rsidRPr="4FEBF9DC">
        <w:rPr>
          <w:lang w:val="en-AU"/>
        </w:rPr>
        <w:t xml:space="preserve"> the </w:t>
      </w:r>
      <w:r w:rsidR="000446BF" w:rsidRPr="4FEBF9DC">
        <w:rPr>
          <w:lang w:val="en-AU"/>
        </w:rPr>
        <w:t>6</w:t>
      </w:r>
      <w:r w:rsidR="000446BF" w:rsidRPr="4FEBF9DC">
        <w:rPr>
          <w:vertAlign w:val="superscript"/>
          <w:lang w:val="en-AU"/>
        </w:rPr>
        <w:t>th</w:t>
      </w:r>
      <w:r w:rsidRPr="4FEBF9DC">
        <w:rPr>
          <w:lang w:val="en-AU"/>
        </w:rPr>
        <w:t>-most traded currency in the world</w:t>
      </w:r>
      <w:r w:rsidR="00D56618" w:rsidRPr="4FEBF9DC">
        <w:rPr>
          <w:lang w:val="en-AU"/>
        </w:rPr>
        <w:t>. Our</w:t>
      </w:r>
      <w:r w:rsidRPr="4FEBF9DC">
        <w:rPr>
          <w:lang w:val="en-AU"/>
        </w:rPr>
        <w:t xml:space="preserve"> </w:t>
      </w:r>
      <w:r w:rsidR="004D3047" w:rsidRPr="4FEBF9DC">
        <w:rPr>
          <w:lang w:val="en-AU"/>
        </w:rPr>
        <w:t xml:space="preserve">impressive </w:t>
      </w:r>
      <w:r w:rsidRPr="4FEBF9DC">
        <w:rPr>
          <w:lang w:val="en-AU"/>
        </w:rPr>
        <w:t xml:space="preserve">repayments culture </w:t>
      </w:r>
      <w:r w:rsidR="004D3047" w:rsidRPr="4FEBF9DC">
        <w:rPr>
          <w:lang w:val="en-AU"/>
        </w:rPr>
        <w:t>boasts</w:t>
      </w:r>
      <w:r w:rsidRPr="4FEBF9DC">
        <w:rPr>
          <w:lang w:val="en-AU"/>
        </w:rPr>
        <w:t xml:space="preserve"> a 99.3% on-time loan repayment rate</w:t>
      </w:r>
      <w:r w:rsidR="003E42D9" w:rsidRPr="4FEBF9DC">
        <w:rPr>
          <w:lang w:val="en-AU"/>
        </w:rPr>
        <w:t>, which outperforms the</w:t>
      </w:r>
      <w:r w:rsidRPr="4FEBF9DC">
        <w:rPr>
          <w:lang w:val="en-AU"/>
        </w:rPr>
        <w:t xml:space="preserve"> average of 94.8% amongst major advanced economies. </w:t>
      </w:r>
    </w:p>
    <w:p w14:paraId="42611045" w14:textId="0862E794" w:rsidR="00FD7AB4" w:rsidRDefault="00FD7AB4" w:rsidP="00FD7AB4">
      <w:pPr>
        <w:pStyle w:val="Caption"/>
      </w:pPr>
      <w:bookmarkStart w:id="25" w:name="_Toc165471217"/>
      <w:bookmarkStart w:id="26" w:name="_Toc171500362"/>
      <w:r w:rsidRPr="002322B7">
        <w:t xml:space="preserve">Figure </w:t>
      </w:r>
      <w:r w:rsidR="00CF16FA">
        <w:fldChar w:fldCharType="begin"/>
      </w:r>
      <w:r w:rsidR="00CF16FA">
        <w:instrText xml:space="preserve"> SEQ Figure \* ARABIC </w:instrText>
      </w:r>
      <w:r w:rsidR="00CF16FA">
        <w:fldChar w:fldCharType="separate"/>
      </w:r>
      <w:r w:rsidR="002459CF">
        <w:rPr>
          <w:noProof/>
        </w:rPr>
        <w:t>6</w:t>
      </w:r>
      <w:r w:rsidR="00CF16FA">
        <w:rPr>
          <w:noProof/>
        </w:rPr>
        <w:fldChar w:fldCharType="end"/>
      </w:r>
      <w:r w:rsidRPr="002322B7">
        <w:t xml:space="preserve"> – Global significance of Australia’s financial markets</w:t>
      </w:r>
      <w:bookmarkEnd w:id="25"/>
      <w:bookmarkEnd w:id="26"/>
    </w:p>
    <w:p w14:paraId="1AFBB24C" w14:textId="3D84293B" w:rsidR="002166D6" w:rsidRDefault="00F556D5" w:rsidP="002166D6">
      <w:r>
        <w:rPr>
          <w:noProof/>
        </w:rPr>
        <w:drawing>
          <wp:inline distT="0" distB="0" distL="0" distR="0" wp14:anchorId="122E935B" wp14:editId="60EFE722">
            <wp:extent cx="6336030" cy="3905885"/>
            <wp:effectExtent l="0" t="0" r="7620" b="0"/>
            <wp:docPr id="1778640248" name="Picture 16" descr="The infographic shows the following information:&#10;US$8.0 trillion1&#10;Assets of Australian &#10;financial institutions*&#10;Four times Australia’s nominal GDP&#10;*December 2023&#10;US$2.4 trillion2,3&#10;Fund assets under management*&#10;6th-largest in the world&#10;2nd-largest in the Asia-Oceania region&#10;*September 2023&#10;94% cashless payments 4&#10;Point of sale*&#10;2nd-largest in the world&#10;*2022&#10;US$2.4 trillion5&#10;Pension assets*&#10;5th-largest in the world &#10;4th-largest in the world as a percentage of GDP&#10;*2023&#10;US$479 billion6&#10;Daily foreign exchange trade using Australian dollar across 52 countries&#10;6th-most traded currency in the world&#10;&#10;99.3% performing loans⁷&#10;Of all deposit-taking institutions*&#10;9th-highest in the world&#10;3rd-highest in the Asia-Oceania region&#10;*First quart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40248" name="Picture 16" descr="The infographic shows the following information:&#10;US$8.0 trillion1&#10;Assets of Australian &#10;financial institutions*&#10;Four times Australia’s nominal GDP&#10;*December 2023&#10;US$2.4 trillion2,3&#10;Fund assets under management*&#10;6th-largest in the world&#10;2nd-largest in the Asia-Oceania region&#10;*September 2023&#10;94% cashless payments 4&#10;Point of sale*&#10;2nd-largest in the world&#10;*2022&#10;US$2.4 trillion5&#10;Pension assets*&#10;5th-largest in the world &#10;4th-largest in the world as a percentage of GDP&#10;*2023&#10;US$479 billion6&#10;Daily foreign exchange trade using Australian dollar across 52 countries&#10;6th-most traded currency in the world&#10;&#10;99.3% performing loans⁷&#10;Of all deposit-taking institutions*&#10;9th-highest in the world&#10;3rd-highest in the Asia-Oceania region&#10;*First quarter, 2023&#10;"/>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336030" cy="3905885"/>
                    </a:xfrm>
                    <a:prstGeom prst="rect">
                      <a:avLst/>
                    </a:prstGeom>
                    <a:ln>
                      <a:noFill/>
                    </a:ln>
                    <a:extLst>
                      <a:ext uri="{53640926-AAD7-44D8-BBD7-CCE9431645EC}">
                        <a14:shadowObscured xmlns:a14="http://schemas.microsoft.com/office/drawing/2010/main"/>
                      </a:ext>
                    </a:extLst>
                  </pic:spPr>
                </pic:pic>
              </a:graphicData>
            </a:graphic>
          </wp:inline>
        </w:drawing>
      </w:r>
    </w:p>
    <w:p w14:paraId="1B908CA5" w14:textId="77777777" w:rsidR="00FD7AB4" w:rsidRPr="002322B7" w:rsidRDefault="00FD7AB4" w:rsidP="00FD7AB4">
      <w:pPr>
        <w:pStyle w:val="Sourcesandnotes"/>
      </w:pPr>
      <w:r w:rsidRPr="002322B7">
        <w:rPr>
          <w:b/>
          <w:bCs/>
        </w:rPr>
        <w:t>Notes: 2.</w:t>
      </w:r>
      <w:r w:rsidRPr="002322B7">
        <w:t xml:space="preserve"> For international comparison, the Investment Company Institute excludes funds of funds. </w:t>
      </w:r>
      <w:r w:rsidRPr="002322B7">
        <w:rPr>
          <w:b/>
          <w:bCs/>
        </w:rPr>
        <w:t>4.</w:t>
      </w:r>
      <w:r w:rsidRPr="002322B7">
        <w:t xml:space="preserve"> All person-to-business transactions that occur at the physical point of sale. This includes traditional in-store transactions as well as all face-to-face transactions, regardless of where they take place. </w:t>
      </w:r>
    </w:p>
    <w:p w14:paraId="13705329" w14:textId="185393A6" w:rsidR="00FD7AB4" w:rsidRPr="002322B7" w:rsidRDefault="00FD7AB4" w:rsidP="00FD7AB4">
      <w:pPr>
        <w:pStyle w:val="Sourcesandnotes"/>
      </w:pPr>
      <w:r w:rsidRPr="002322B7">
        <w:rPr>
          <w:b/>
          <w:bCs/>
        </w:rPr>
        <w:t>Sources: 1.</w:t>
      </w:r>
      <w:r w:rsidRPr="002322B7">
        <w:t xml:space="preserve"> Reserve Bank of Australia (RBA), 2024, Assets of financial institutions; Australian Bureau of Statistics (ABS), 2024, Managed funds; Australian Prudential Regulation Authority, 2024, Quarterly general insurance performance statistics; ABS, 2024, Assets and Liabilities of Australian Securities; ABS, 2024, Australian </w:t>
      </w:r>
      <w:r w:rsidR="00EC1941" w:rsidRPr="002322B7">
        <w:t>N</w:t>
      </w:r>
      <w:r w:rsidRPr="002322B7">
        <w:t xml:space="preserve">ational </w:t>
      </w:r>
      <w:r w:rsidR="00EC1941" w:rsidRPr="002322B7">
        <w:t>A</w:t>
      </w:r>
      <w:r w:rsidRPr="002322B7">
        <w:t xml:space="preserve">ccounts: national income, expenditure and product; RBA, 2024, Foreign exchange rates, accessed via Macrobond in March 2024. </w:t>
      </w:r>
      <w:r w:rsidRPr="002322B7">
        <w:rPr>
          <w:b/>
          <w:bCs/>
        </w:rPr>
        <w:t>3. </w:t>
      </w:r>
      <w:r w:rsidRPr="002322B7">
        <w:t xml:space="preserve">Investment Company Institute, 2024, Worldwide market data. </w:t>
      </w:r>
      <w:r w:rsidRPr="002322B7">
        <w:rPr>
          <w:b/>
          <w:bCs/>
        </w:rPr>
        <w:t>5.</w:t>
      </w:r>
      <w:r w:rsidRPr="002322B7">
        <w:t xml:space="preserve"> Worldpay from FIS, 2024, The Global Payments Report 2023; accessed on 13 March 2024. </w:t>
      </w:r>
      <w:r w:rsidRPr="002322B7">
        <w:rPr>
          <w:b/>
          <w:bCs/>
        </w:rPr>
        <w:t>6.</w:t>
      </w:r>
      <w:r w:rsidRPr="002322B7">
        <w:t xml:space="preserve"> Thinking Ahead Institute, 2022, Global pension assets study. </w:t>
      </w:r>
      <w:r w:rsidRPr="002322B7">
        <w:rPr>
          <w:b/>
          <w:bCs/>
        </w:rPr>
        <w:t>7. </w:t>
      </w:r>
      <w:r w:rsidRPr="002322B7">
        <w:t>International Monetary Fund, 2024, Financial Soundness Indicators, accessed 18 March 2024; Austrade.</w:t>
      </w:r>
    </w:p>
    <w:p w14:paraId="57330EBB" w14:textId="77777777" w:rsidR="00FD7AB4" w:rsidRPr="002322B7" w:rsidRDefault="00FD7AB4" w:rsidP="00FD7AB4"/>
    <w:p w14:paraId="28805BAD" w14:textId="77777777" w:rsidR="00FD7AB4" w:rsidRPr="002322B7" w:rsidRDefault="00FD7AB4" w:rsidP="00C72E6D">
      <w:pPr>
        <w:pStyle w:val="Sourcesandnotes"/>
        <w:tabs>
          <w:tab w:val="right" w:pos="9978"/>
        </w:tabs>
      </w:pPr>
    </w:p>
    <w:p w14:paraId="58A1993C" w14:textId="104B6AC9" w:rsidR="00FD7AB4" w:rsidRPr="002322B7" w:rsidRDefault="00FD7AB4" w:rsidP="00FD7AB4">
      <w:pPr>
        <w:pStyle w:val="Heading-level2"/>
      </w:pPr>
      <w:bookmarkStart w:id="27" w:name="_Toc165471168"/>
      <w:bookmarkStart w:id="28" w:name="_Toc171500312"/>
      <w:r>
        <w:lastRenderedPageBreak/>
        <w:t>The world’s 5</w:t>
      </w:r>
      <w:r w:rsidRPr="4FEBF9DC">
        <w:rPr>
          <w:vertAlign w:val="superscript"/>
        </w:rPr>
        <w:t>th</w:t>
      </w:r>
      <w:r>
        <w:t>-most-valuable pension system</w:t>
      </w:r>
      <w:bookmarkEnd w:id="27"/>
      <w:bookmarkEnd w:id="28"/>
    </w:p>
    <w:p w14:paraId="4A80667E" w14:textId="4881528B" w:rsidR="00FD7AB4" w:rsidRPr="002322B7" w:rsidRDefault="00FD7AB4" w:rsidP="003F1867">
      <w:pPr>
        <w:pStyle w:val="Body-copy"/>
        <w:rPr>
          <w:lang w:val="en-AU"/>
        </w:rPr>
      </w:pPr>
      <w:r w:rsidRPr="4FEBF9DC">
        <w:rPr>
          <w:lang w:val="en-AU"/>
        </w:rPr>
        <w:t>Australia’s system of compulsory superannuation has helped create the world’s 5</w:t>
      </w:r>
      <w:r w:rsidRPr="4FEBF9DC">
        <w:rPr>
          <w:vertAlign w:val="superscript"/>
          <w:lang w:val="en-AU"/>
        </w:rPr>
        <w:t>th</w:t>
      </w:r>
      <w:r w:rsidRPr="4FEBF9DC">
        <w:rPr>
          <w:lang w:val="en-AU"/>
        </w:rPr>
        <w:t>-largest pension market</w:t>
      </w:r>
      <w:r w:rsidR="00F6433C" w:rsidRPr="4FEBF9DC">
        <w:rPr>
          <w:lang w:val="en-AU"/>
        </w:rPr>
        <w:t>,</w:t>
      </w:r>
      <w:r w:rsidR="00B4269A" w:rsidRPr="4FEBF9DC">
        <w:rPr>
          <w:lang w:val="en-AU"/>
        </w:rPr>
        <w:t xml:space="preserve"> </w:t>
      </w:r>
      <w:r w:rsidRPr="4FEBF9DC">
        <w:rPr>
          <w:lang w:val="en-AU"/>
        </w:rPr>
        <w:t xml:space="preserve">worth A$3.7 trillion (US$2.4 trillion) in 2023. Australian pension funds </w:t>
      </w:r>
      <w:r w:rsidR="00715594" w:rsidRPr="4FEBF9DC">
        <w:rPr>
          <w:lang w:val="en-AU"/>
        </w:rPr>
        <w:t xml:space="preserve">have </w:t>
      </w:r>
      <w:r w:rsidR="00193B85" w:rsidRPr="4FEBF9DC">
        <w:rPr>
          <w:lang w:val="en-AU"/>
        </w:rPr>
        <w:t>record</w:t>
      </w:r>
      <w:r w:rsidR="00715594" w:rsidRPr="4FEBF9DC">
        <w:rPr>
          <w:lang w:val="en-AU"/>
        </w:rPr>
        <w:t>ed</w:t>
      </w:r>
      <w:r w:rsidR="00193B85" w:rsidRPr="4FEBF9DC">
        <w:rPr>
          <w:lang w:val="en-AU"/>
        </w:rPr>
        <w:t xml:space="preserve"> strong growth </w:t>
      </w:r>
      <w:r w:rsidR="00715594" w:rsidRPr="4FEBF9DC">
        <w:rPr>
          <w:lang w:val="en-AU"/>
        </w:rPr>
        <w:t xml:space="preserve">of 9.2% per year over the last two decades </w:t>
      </w:r>
      <w:r w:rsidR="00193B85" w:rsidRPr="4FEBF9DC">
        <w:rPr>
          <w:lang w:val="en-AU"/>
        </w:rPr>
        <w:t>with a</w:t>
      </w:r>
      <w:r w:rsidRPr="4FEBF9DC">
        <w:rPr>
          <w:lang w:val="en-AU"/>
        </w:rPr>
        <w:t>ssets r</w:t>
      </w:r>
      <w:r w:rsidR="00193B85" w:rsidRPr="4FEBF9DC">
        <w:rPr>
          <w:lang w:val="en-AU"/>
        </w:rPr>
        <w:t>ising</w:t>
      </w:r>
      <w:r w:rsidRPr="4FEBF9DC">
        <w:rPr>
          <w:lang w:val="en-AU"/>
        </w:rPr>
        <w:t xml:space="preserve"> to </w:t>
      </w:r>
      <w:r w:rsidR="00CD44BA" w:rsidRPr="4FEBF9DC">
        <w:rPr>
          <w:lang w:val="en-AU"/>
        </w:rPr>
        <w:t xml:space="preserve">the equivalent of </w:t>
      </w:r>
      <w:r w:rsidRPr="4FEBF9DC">
        <w:rPr>
          <w:lang w:val="en-AU"/>
        </w:rPr>
        <w:t>145% of GDP in 2023</w:t>
      </w:r>
      <w:r w:rsidR="00A360DC" w:rsidRPr="4FEBF9DC">
        <w:rPr>
          <w:lang w:val="en-AU"/>
        </w:rPr>
        <w:t xml:space="preserve">. This marks an increase from </w:t>
      </w:r>
      <w:r w:rsidRPr="4FEBF9DC">
        <w:rPr>
          <w:lang w:val="en-AU"/>
        </w:rPr>
        <w:t xml:space="preserve">78% </w:t>
      </w:r>
      <w:r w:rsidR="00A360DC" w:rsidRPr="4FEBF9DC">
        <w:rPr>
          <w:lang w:val="en-AU"/>
        </w:rPr>
        <w:t>in</w:t>
      </w:r>
      <w:r w:rsidRPr="4FEBF9DC">
        <w:rPr>
          <w:lang w:val="en-AU"/>
        </w:rPr>
        <w:t xml:space="preserve"> 2003. </w:t>
      </w:r>
      <w:r w:rsidR="003E3E6A" w:rsidRPr="4FEBF9DC">
        <w:rPr>
          <w:lang w:val="en-AU"/>
        </w:rPr>
        <w:t xml:space="preserve">In addition to </w:t>
      </w:r>
      <w:r w:rsidRPr="4FEBF9DC">
        <w:rPr>
          <w:lang w:val="en-AU"/>
        </w:rPr>
        <w:t xml:space="preserve">the vitality of Australia’s </w:t>
      </w:r>
      <w:r w:rsidR="000F2D83" w:rsidRPr="4FEBF9DC">
        <w:rPr>
          <w:lang w:val="en-AU"/>
        </w:rPr>
        <w:t xml:space="preserve">rapidly growing </w:t>
      </w:r>
      <w:r w:rsidRPr="4FEBF9DC">
        <w:rPr>
          <w:lang w:val="en-AU"/>
        </w:rPr>
        <w:t>pension system</w:t>
      </w:r>
      <w:r w:rsidR="00F101B9" w:rsidRPr="4FEBF9DC">
        <w:rPr>
          <w:lang w:val="en-AU"/>
        </w:rPr>
        <w:t>, our s</w:t>
      </w:r>
      <w:r w:rsidRPr="4FEBF9DC">
        <w:rPr>
          <w:lang w:val="en-AU"/>
        </w:rPr>
        <w:t>uperannuation is a major driver of the country’s fast-expanding managed funds industry.</w:t>
      </w:r>
    </w:p>
    <w:p w14:paraId="3AE8C57E" w14:textId="47541223" w:rsidR="00FD7AB4" w:rsidRDefault="00FD7AB4" w:rsidP="00FD7AB4">
      <w:pPr>
        <w:pStyle w:val="Caption"/>
      </w:pPr>
      <w:bookmarkStart w:id="29" w:name="_Toc165471219"/>
      <w:bookmarkStart w:id="30" w:name="_Toc171500363"/>
      <w:r w:rsidRPr="002322B7">
        <w:t xml:space="preserve">Figure </w:t>
      </w:r>
      <w:r w:rsidR="00CF16FA">
        <w:fldChar w:fldCharType="begin"/>
      </w:r>
      <w:r w:rsidR="00CF16FA">
        <w:instrText xml:space="preserve"> SEQ Figure \* ARABIC </w:instrText>
      </w:r>
      <w:r w:rsidR="00CF16FA">
        <w:fldChar w:fldCharType="separate"/>
      </w:r>
      <w:r w:rsidR="002459CF">
        <w:rPr>
          <w:noProof/>
        </w:rPr>
        <w:t>7</w:t>
      </w:r>
      <w:r w:rsidR="00CF16FA">
        <w:rPr>
          <w:noProof/>
        </w:rPr>
        <w:fldChar w:fldCharType="end"/>
      </w:r>
      <w:r w:rsidRPr="002322B7">
        <w:t xml:space="preserve"> – Global pension fund assets, 2023</w:t>
      </w:r>
      <w:bookmarkEnd w:id="29"/>
      <w:bookmarkEnd w:id="30"/>
    </w:p>
    <w:p w14:paraId="0F05956C" w14:textId="0E9FB177" w:rsidR="00CB267B" w:rsidRPr="00CB267B" w:rsidRDefault="007A300D" w:rsidP="00CB267B">
      <w:r>
        <w:rPr>
          <w:noProof/>
        </w:rPr>
        <w:drawing>
          <wp:inline distT="0" distB="0" distL="0" distR="0" wp14:anchorId="1F67D2DC" wp14:editId="3CE965B7">
            <wp:extent cx="6336030" cy="4227830"/>
            <wp:effectExtent l="0" t="0" r="7620" b="1270"/>
            <wp:docPr id="1737834280" name="Picture 17" descr="The graph shows the pension assets as a percentage of GDP by region. The average across the 22 markets was 69% of their GDP. The data presented is: Netherlands 159.0%; Switzerland⁵ 150.3%; Canada 146.6%; Australia 145.0%; US⁶ 132.1%; UK 96.2%; Finland 93.0%; Japan⁷ 80.0%; Korea 64.5%; Malaysia 64.5%; South Africa 63.7%; Chile 57.8%; Hong Kong SAR 56.0%; Ireland 29.2%; Mexico 21.0%; Germany⁸ 13.5%; Brazil⁹ 12.8%; Italy 11.1%; India 6.5%; France 5.1%; Spain 2.7%; and China¹⁰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34280" name="Picture 17" descr="The graph shows the pension assets as a percentage of GDP by region. The average across the 22 markets was 69% of their GDP. The data presented is: Netherlands 159.0%; Switzerland⁵ 150.3%; Canada 146.6%; Australia 145.0%; US⁶ 132.1%; UK 96.2%; Finland 93.0%; Japan⁷ 80.0%; Korea 64.5%; Malaysia 64.5%; South Africa 63.7%; Chile 57.8%; Hong Kong SAR 56.0%; Ireland 29.2%; Mexico 21.0%; Germany⁸ 13.5%; Brazil⁹ 12.8%; Italy 11.1%; India 6.5%; France 5.1%; Spain 2.7%; and China¹⁰ 2.4%. "/>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6336030" cy="4227830"/>
                    </a:xfrm>
                    <a:prstGeom prst="rect">
                      <a:avLst/>
                    </a:prstGeom>
                    <a:ln>
                      <a:noFill/>
                    </a:ln>
                    <a:extLst>
                      <a:ext uri="{53640926-AAD7-44D8-BBD7-CCE9431645EC}">
                        <a14:shadowObscured xmlns:a14="http://schemas.microsoft.com/office/drawing/2010/main"/>
                      </a:ext>
                    </a:extLst>
                  </pic:spPr>
                </pic:pic>
              </a:graphicData>
            </a:graphic>
          </wp:inline>
        </w:drawing>
      </w:r>
    </w:p>
    <w:p w14:paraId="3F760228" w14:textId="6CFBB28C" w:rsidR="00FD7AB4" w:rsidRPr="002322B7" w:rsidRDefault="00FD7AB4" w:rsidP="00FD7AB4">
      <w:pPr>
        <w:pStyle w:val="Sourcesandnotes"/>
      </w:pPr>
      <w:r w:rsidRPr="002322B7">
        <w:rPr>
          <w:b/>
          <w:bCs/>
        </w:rPr>
        <w:t xml:space="preserve">Notes: </w:t>
      </w:r>
      <w:r w:rsidRPr="002322B7">
        <w:t xml:space="preserve"> </w:t>
      </w:r>
      <w:r w:rsidRPr="002322B7">
        <w:rPr>
          <w:b/>
          <w:bCs/>
        </w:rPr>
        <w:t>1.</w:t>
      </w:r>
      <w:r w:rsidRPr="002322B7">
        <w:t xml:space="preserve"> The assets/GDP ratio for individual markets is calculated in local currency terms, and the total assets/GDP ratio is calculated in US dollars. </w:t>
      </w:r>
      <w:r w:rsidRPr="002322B7">
        <w:rPr>
          <w:b/>
          <w:bCs/>
        </w:rPr>
        <w:t>2.</w:t>
      </w:r>
      <w:r w:rsidRPr="002322B7">
        <w:t xml:space="preserve"> Thinking Ahead Institute analysed 22 economies. </w:t>
      </w:r>
      <w:r w:rsidRPr="002322B7">
        <w:rPr>
          <w:b/>
          <w:bCs/>
        </w:rPr>
        <w:t>3.</w:t>
      </w:r>
      <w:r w:rsidRPr="002322B7">
        <w:t xml:space="preserve"> CAGR = compound annual growth rate. </w:t>
      </w:r>
      <w:r w:rsidRPr="002322B7">
        <w:rPr>
          <w:b/>
          <w:bCs/>
        </w:rPr>
        <w:t>4.</w:t>
      </w:r>
      <w:r w:rsidRPr="002322B7">
        <w:t xml:space="preserve"> na = not available for publication. </w:t>
      </w:r>
      <w:r w:rsidRPr="002322B7">
        <w:rPr>
          <w:b/>
          <w:bCs/>
        </w:rPr>
        <w:t>5.</w:t>
      </w:r>
      <w:r w:rsidRPr="002322B7">
        <w:t xml:space="preserve"> Only includes autonomous pension funds. It does not consider insurance companies assets. </w:t>
      </w:r>
      <w:r w:rsidRPr="002322B7">
        <w:rPr>
          <w:b/>
          <w:bCs/>
        </w:rPr>
        <w:t>6.</w:t>
      </w:r>
      <w:r w:rsidRPr="002322B7">
        <w:t xml:space="preserve"> Includes Individual Retirement Accounts (IRAs). </w:t>
      </w:r>
      <w:r w:rsidRPr="002322B7">
        <w:rPr>
          <w:b/>
          <w:bCs/>
        </w:rPr>
        <w:t>7.</w:t>
      </w:r>
      <w:r w:rsidRPr="002322B7">
        <w:t xml:space="preserve"> Does not include the unfunded benefit obligation of corporate pension plans (account receivables).  </w:t>
      </w:r>
      <w:r w:rsidRPr="002322B7">
        <w:rPr>
          <w:b/>
          <w:bCs/>
        </w:rPr>
        <w:t>8.</w:t>
      </w:r>
      <w:r w:rsidRPr="002322B7">
        <w:t xml:space="preserve"> Only includes pension assets for company pension schemes. </w:t>
      </w:r>
      <w:r w:rsidRPr="002322B7">
        <w:rPr>
          <w:b/>
          <w:bCs/>
        </w:rPr>
        <w:t xml:space="preserve">9. </w:t>
      </w:r>
      <w:r w:rsidRPr="002322B7">
        <w:t xml:space="preserve">Only includes pension assets from closed entities.  </w:t>
      </w:r>
      <w:r w:rsidRPr="002322B7">
        <w:rPr>
          <w:b/>
          <w:bCs/>
        </w:rPr>
        <w:t xml:space="preserve">10. </w:t>
      </w:r>
      <w:r w:rsidRPr="002322B7">
        <w:t xml:space="preserve">Only includes Enterprise Annuity assets. </w:t>
      </w:r>
    </w:p>
    <w:p w14:paraId="2D3D9884" w14:textId="4A194E46" w:rsidR="00FD7AB4" w:rsidRDefault="00FD7AB4" w:rsidP="00FD7AB4">
      <w:pPr>
        <w:pStyle w:val="Sourcesandnotes"/>
        <w:rPr>
          <w:b/>
          <w:bCs/>
        </w:rPr>
      </w:pPr>
      <w:r w:rsidRPr="002322B7">
        <w:rPr>
          <w:b/>
          <w:bCs/>
        </w:rPr>
        <w:t>Sources:</w:t>
      </w:r>
      <w:r w:rsidRPr="002322B7">
        <w:t xml:space="preserve"> Willis Towers Watson, 2024, Thinking Ahead Institute and secondary sources, Global Pension Funds Assets Study; Reserve Bank of Australia,</w:t>
      </w:r>
      <w:r w:rsidR="00870B7B" w:rsidRPr="002322B7">
        <w:t xml:space="preserve"> </w:t>
      </w:r>
      <w:r w:rsidRPr="002322B7">
        <w:t>2024, Foreign exchange rates - accessed during March 2024; Austrade</w:t>
      </w:r>
      <w:r w:rsidRPr="002322B7">
        <w:rPr>
          <w:b/>
          <w:bCs/>
        </w:rPr>
        <w:t>.</w:t>
      </w:r>
    </w:p>
    <w:p w14:paraId="67001F42" w14:textId="77777777" w:rsidR="005C0C76" w:rsidRDefault="005C0C76" w:rsidP="00FD7AB4">
      <w:pPr>
        <w:pStyle w:val="Sourcesandnotes"/>
        <w:rPr>
          <w:b/>
          <w:bCs/>
        </w:rPr>
      </w:pPr>
    </w:p>
    <w:p w14:paraId="4C0F2E90" w14:textId="77777777" w:rsidR="005C0C76" w:rsidRPr="002322B7" w:rsidRDefault="005C0C76" w:rsidP="005C0C76">
      <w:pPr>
        <w:pStyle w:val="Heading-level2"/>
      </w:pPr>
      <w:bookmarkStart w:id="31" w:name="_Toc171500313"/>
      <w:r w:rsidRPr="002322B7">
        <w:lastRenderedPageBreak/>
        <w:t>Australia’s cashless society</w:t>
      </w:r>
      <w:bookmarkEnd w:id="31"/>
    </w:p>
    <w:p w14:paraId="7D7A2C3E" w14:textId="77777777" w:rsidR="005C0C76" w:rsidRPr="002322B7" w:rsidRDefault="005C0C76" w:rsidP="005C0C76">
      <w:pPr>
        <w:pStyle w:val="Body-copy"/>
        <w:rPr>
          <w:lang w:val="en-AU"/>
        </w:rPr>
      </w:pPr>
      <w:r w:rsidRPr="002322B7">
        <w:rPr>
          <w:lang w:val="en-AU"/>
        </w:rPr>
        <w:t xml:space="preserve">We are leaders in creating a cashless society, with 94% of transactions now taking place digitally. This </w:t>
      </w:r>
      <w:r>
        <w:rPr>
          <w:lang w:val="en-AU"/>
        </w:rPr>
        <w:t>puts</w:t>
      </w:r>
      <w:r w:rsidRPr="002322B7">
        <w:rPr>
          <w:lang w:val="en-AU"/>
        </w:rPr>
        <w:t xml:space="preserve"> Australia</w:t>
      </w:r>
      <w:r>
        <w:rPr>
          <w:lang w:val="en-AU"/>
        </w:rPr>
        <w:t xml:space="preserve"> in</w:t>
      </w:r>
      <w:r w:rsidRPr="002322B7">
        <w:rPr>
          <w:lang w:val="en-AU"/>
        </w:rPr>
        <w:t xml:space="preserve"> 2</w:t>
      </w:r>
      <w:r w:rsidRPr="002322B7">
        <w:rPr>
          <w:vertAlign w:val="superscript"/>
          <w:lang w:val="en-AU"/>
        </w:rPr>
        <w:t>nd</w:t>
      </w:r>
      <w:r w:rsidRPr="002322B7">
        <w:rPr>
          <w:lang w:val="en-AU"/>
        </w:rPr>
        <w:t xml:space="preserve"> place in digital-payment rankings</w:t>
      </w:r>
      <w:r>
        <w:rPr>
          <w:lang w:val="en-AU"/>
        </w:rPr>
        <w:t xml:space="preserve">, </w:t>
      </w:r>
      <w:r w:rsidRPr="002322B7">
        <w:rPr>
          <w:lang w:val="en-AU"/>
        </w:rPr>
        <w:t>reflect</w:t>
      </w:r>
      <w:r>
        <w:rPr>
          <w:lang w:val="en-AU"/>
        </w:rPr>
        <w:t>ing</w:t>
      </w:r>
      <w:r w:rsidRPr="002322B7">
        <w:rPr>
          <w:lang w:val="en-AU"/>
        </w:rPr>
        <w:t xml:space="preserve"> consumer trust in our financial security and system. Australia’s cashless society promotes easier, faster and safer transactions in a market economy that embraces traceability and transparency. </w:t>
      </w:r>
    </w:p>
    <w:p w14:paraId="53002FDF" w14:textId="693B22F4" w:rsidR="005C0C76" w:rsidRDefault="005C0C76" w:rsidP="005C0C76">
      <w:pPr>
        <w:pStyle w:val="Caption"/>
      </w:pPr>
      <w:bookmarkStart w:id="32" w:name="_Toc171500364"/>
      <w:r w:rsidRPr="002322B7">
        <w:t xml:space="preserve">Figure </w:t>
      </w:r>
      <w:r w:rsidR="00CF16FA">
        <w:fldChar w:fldCharType="begin"/>
      </w:r>
      <w:r w:rsidR="00CF16FA">
        <w:instrText xml:space="preserve"> SEQ Figure \* ARABIC </w:instrText>
      </w:r>
      <w:r w:rsidR="00CF16FA">
        <w:fldChar w:fldCharType="separate"/>
      </w:r>
      <w:r w:rsidR="002459CF">
        <w:rPr>
          <w:noProof/>
        </w:rPr>
        <w:t>8</w:t>
      </w:r>
      <w:r w:rsidR="00CF16FA">
        <w:rPr>
          <w:noProof/>
        </w:rPr>
        <w:fldChar w:fldCharType="end"/>
      </w:r>
      <w:r w:rsidRPr="002322B7">
        <w:t xml:space="preserve"> – Cashless payments by country</w:t>
      </w:r>
      <w:bookmarkEnd w:id="32"/>
    </w:p>
    <w:p w14:paraId="3BBA3330" w14:textId="712A5FE5" w:rsidR="00766D12" w:rsidRPr="00766D12" w:rsidRDefault="007A300D" w:rsidP="00766D12">
      <w:r>
        <w:rPr>
          <w:noProof/>
        </w:rPr>
        <w:drawing>
          <wp:inline distT="0" distB="0" distL="0" distR="0" wp14:anchorId="01ADC75C" wp14:editId="40FEA452">
            <wp:extent cx="6336000" cy="4234188"/>
            <wp:effectExtent l="0" t="0" r="8255" b="0"/>
            <wp:docPr id="725860340" name="Picture 18" descr="The graph shows the percentage of total point of sale transactions made using a cashless payment by economy. The number in brackets shows the ranking of the economy. The data presented is as follows: Thailand (39) 0.44%; Japan (38) 0.49%; Philippines (37) 0.54%; Indonesia (36) 0.55%; Vietnam (34) 0.58%; Germany (30) 0.61%; Mexico (30) 0.61%; Türkiye (29) 0.62%; South Africa (26) 0.65%; India (21) 0.73%; Singapore (17) 0.81%; UAE (15) 0.82%; US (14) 0.88%; Korea (12) 0.89%; France (8) 0.9%; UK (8) 0.9%; Denmark (7) 0.91%; China (5) 0.92%; New Zealand (4) 0.93%; Canada (2) 0.94%; Australia (2) 0.94%; and Norway (1) 0.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60340" name="Picture 18" descr="The graph shows the percentage of total point of sale transactions made using a cashless payment by economy. The number in brackets shows the ranking of the economy. The data presented is as follows: Thailand (39) 0.44%; Japan (38) 0.49%; Philippines (37) 0.54%; Indonesia (36) 0.55%; Vietnam (34) 0.58%; Germany (30) 0.61%; Mexico (30) 0.61%; Türkiye (29) 0.62%; South Africa (26) 0.65%; India (21) 0.73%; Singapore (17) 0.81%; UAE (15) 0.82%; US (14) 0.88%; Korea (12) 0.89%; France (8) 0.9%; UK (8) 0.9%; Denmark (7) 0.91%; China (5) 0.92%; New Zealand (4) 0.93%; Canada (2) 0.94%; Australia (2) 0.94%; and Norway (1) 0.96%. "/>
                    <pic:cNvPicPr/>
                  </pic:nvPicPr>
                  <pic:blipFill rotWithShape="1">
                    <a:blip r:embed="rId21" cstate="hqprint">
                      <a:extLst>
                        <a:ext uri="{28A0092B-C50C-407E-A947-70E740481C1C}">
                          <a14:useLocalDpi xmlns:a14="http://schemas.microsoft.com/office/drawing/2010/main"/>
                        </a:ext>
                      </a:extLst>
                    </a:blip>
                    <a:srcRect l="1631" r="2238"/>
                    <a:stretch/>
                  </pic:blipFill>
                  <pic:spPr bwMode="auto">
                    <a:xfrm>
                      <a:off x="0" y="0"/>
                      <a:ext cx="6336000" cy="4234188"/>
                    </a:xfrm>
                    <a:prstGeom prst="rect">
                      <a:avLst/>
                    </a:prstGeom>
                    <a:ln>
                      <a:noFill/>
                    </a:ln>
                    <a:extLst>
                      <a:ext uri="{53640926-AAD7-44D8-BBD7-CCE9431645EC}">
                        <a14:shadowObscured xmlns:a14="http://schemas.microsoft.com/office/drawing/2010/main"/>
                      </a:ext>
                    </a:extLst>
                  </pic:spPr>
                </pic:pic>
              </a:graphicData>
            </a:graphic>
          </wp:inline>
        </w:drawing>
      </w:r>
    </w:p>
    <w:p w14:paraId="3A2AFE01" w14:textId="77777777" w:rsidR="005C0C76" w:rsidRPr="002322B7" w:rsidRDefault="005C0C76" w:rsidP="005C0C76">
      <w:pPr>
        <w:pStyle w:val="Sourcesandnotes"/>
      </w:pPr>
      <w:r w:rsidRPr="002322B7">
        <w:rPr>
          <w:b/>
          <w:bCs/>
        </w:rPr>
        <w:t>Note: 1.</w:t>
      </w:r>
      <w:r w:rsidRPr="002322B7">
        <w:t xml:space="preserve"> All person-to-business transactions that occur at the physical point of sale. This includes traditional in-store transactions as well as all face-to-face transactions, regardless of where they take place. </w:t>
      </w:r>
    </w:p>
    <w:p w14:paraId="1E5F332C" w14:textId="77777777" w:rsidR="005C0C76" w:rsidRPr="002322B7" w:rsidRDefault="005C0C76" w:rsidP="005C0C76">
      <w:pPr>
        <w:pStyle w:val="Sourcesandnotes"/>
        <w:tabs>
          <w:tab w:val="right" w:pos="9978"/>
        </w:tabs>
      </w:pPr>
      <w:r w:rsidRPr="002322B7">
        <w:rPr>
          <w:b/>
          <w:bCs/>
        </w:rPr>
        <w:t>Source:</w:t>
      </w:r>
      <w:r w:rsidRPr="002322B7">
        <w:t xml:space="preserve"> Worldpay from FIS, 2024, The Global Payments Report 2023, accessed on 13 March 2024; Austrade.</w:t>
      </w:r>
      <w:r w:rsidRPr="002322B7">
        <w:tab/>
      </w:r>
    </w:p>
    <w:p w14:paraId="74E5F230" w14:textId="77777777" w:rsidR="005C0C76" w:rsidRPr="002322B7" w:rsidRDefault="005C0C76" w:rsidP="00FD7AB4">
      <w:pPr>
        <w:pStyle w:val="Sourcesandnotes"/>
        <w:rPr>
          <w:b/>
          <w:bCs/>
        </w:rPr>
      </w:pPr>
    </w:p>
    <w:p w14:paraId="5233877C" w14:textId="2D1D9E0A" w:rsidR="00535D2B" w:rsidRPr="002322B7" w:rsidRDefault="00535D2B" w:rsidP="006E46C3">
      <w:pPr>
        <w:pStyle w:val="Sourcesandnotes"/>
      </w:pPr>
      <w:r w:rsidRPr="002322B7">
        <w:br w:type="page"/>
      </w:r>
    </w:p>
    <w:p w14:paraId="0A6B698D" w14:textId="5217EF53" w:rsidR="00F96AE3" w:rsidRPr="002322B7" w:rsidRDefault="00F96AE3" w:rsidP="00F96AE3">
      <w:pPr>
        <w:pStyle w:val="Heading-level1"/>
      </w:pPr>
      <w:bookmarkStart w:id="33" w:name="_Toc171500314"/>
      <w:r w:rsidRPr="002322B7">
        <w:lastRenderedPageBreak/>
        <w:t xml:space="preserve">Chapter </w:t>
      </w:r>
      <w:r w:rsidR="00162C4F" w:rsidRPr="002322B7">
        <w:t>2</w:t>
      </w:r>
      <w:r w:rsidRPr="002322B7">
        <w:t xml:space="preserve"> –</w:t>
      </w:r>
      <w:r w:rsidR="00EA2E09" w:rsidRPr="002322B7">
        <w:t xml:space="preserve"> </w:t>
      </w:r>
      <w:r w:rsidR="00EF191B" w:rsidRPr="002322B7">
        <w:t xml:space="preserve">Australia: </w:t>
      </w:r>
      <w:r w:rsidR="001B664F" w:rsidRPr="002322B7">
        <w:t>A global resource</w:t>
      </w:r>
      <w:r w:rsidR="00450C40" w:rsidRPr="002322B7">
        <w:t xml:space="preserve"> for </w:t>
      </w:r>
      <w:r w:rsidR="00EF191B" w:rsidRPr="002322B7">
        <w:t>a net zero future</w:t>
      </w:r>
      <w:bookmarkEnd w:id="33"/>
    </w:p>
    <w:p w14:paraId="55BCF68D" w14:textId="6665C6C5" w:rsidR="00F96AE3" w:rsidRPr="002322B7" w:rsidRDefault="00EF191B" w:rsidP="00121607">
      <w:pPr>
        <w:pStyle w:val="Heading-level3"/>
      </w:pPr>
      <w:bookmarkStart w:id="34" w:name="_Toc170769046"/>
      <w:bookmarkStart w:id="35" w:name="_Toc171500315"/>
      <w:r w:rsidRPr="002322B7">
        <w:t>A</w:t>
      </w:r>
      <w:r w:rsidR="00AB4541" w:rsidRPr="002322B7">
        <w:t xml:space="preserve"> partner of choice in a net zero world</w:t>
      </w:r>
      <w:bookmarkEnd w:id="34"/>
      <w:bookmarkEnd w:id="35"/>
    </w:p>
    <w:p w14:paraId="54969422" w14:textId="7602F211" w:rsidR="0002446A" w:rsidRPr="004E6C8A" w:rsidRDefault="00B54DC8" w:rsidP="0002446A">
      <w:pPr>
        <w:pStyle w:val="Body-copy"/>
        <w:rPr>
          <w:rFonts w:eastAsia="Times New Roman"/>
          <w:highlight w:val="yellow"/>
          <w:lang w:val="en-AU"/>
        </w:rPr>
      </w:pPr>
      <w:r w:rsidRPr="00B54DC8">
        <w:rPr>
          <w:lang w:val="en-AU"/>
        </w:rPr>
        <w:t>Given our critical and abundant natural endowments, Australia is well positioned to strengthen priority supply chains and become an indispensable part of the net zero global economy</w:t>
      </w:r>
      <w:r w:rsidR="0097237E">
        <w:rPr>
          <w:lang w:val="en-AU"/>
        </w:rPr>
        <w:t>.</w:t>
      </w:r>
      <w:r w:rsidR="0097237E" w:rsidRPr="00E22A03">
        <w:rPr>
          <w:rFonts w:eastAsia="Times New Roman"/>
          <w:lang w:val="en-AU"/>
        </w:rPr>
        <w:t xml:space="preserve"> </w:t>
      </w:r>
    </w:p>
    <w:p w14:paraId="4EE37FBD" w14:textId="1D1AD5EF" w:rsidR="006C1D92" w:rsidRPr="002322B7" w:rsidRDefault="009050CE" w:rsidP="003F1867">
      <w:pPr>
        <w:pStyle w:val="Body-copy"/>
        <w:rPr>
          <w:lang w:val="en-AU"/>
        </w:rPr>
      </w:pPr>
      <w:r w:rsidRPr="4FEBF9DC">
        <w:rPr>
          <w:lang w:val="en-AU"/>
        </w:rPr>
        <w:t xml:space="preserve">Our </w:t>
      </w:r>
      <w:r w:rsidR="00BD139D" w:rsidRPr="4FEBF9DC">
        <w:rPr>
          <w:lang w:val="en-AU"/>
        </w:rPr>
        <w:t>natural resources</w:t>
      </w:r>
      <w:r w:rsidR="00817AA6" w:rsidRPr="4FEBF9DC">
        <w:rPr>
          <w:lang w:val="en-AU"/>
        </w:rPr>
        <w:t xml:space="preserve"> </w:t>
      </w:r>
      <w:r w:rsidR="004016C8" w:rsidRPr="4FEBF9DC">
        <w:rPr>
          <w:lang w:val="en-AU"/>
        </w:rPr>
        <w:t xml:space="preserve">will </w:t>
      </w:r>
      <w:r w:rsidR="00867CA1" w:rsidRPr="4FEBF9DC">
        <w:rPr>
          <w:lang w:val="en-AU"/>
        </w:rPr>
        <w:t xml:space="preserve">help </w:t>
      </w:r>
      <w:r w:rsidR="004016C8" w:rsidRPr="4FEBF9DC">
        <w:rPr>
          <w:lang w:val="en-AU"/>
        </w:rPr>
        <w:t>drive the global net zero transformation. Th</w:t>
      </w:r>
      <w:r w:rsidR="005A0346" w:rsidRPr="4FEBF9DC">
        <w:rPr>
          <w:lang w:val="en-AU"/>
        </w:rPr>
        <w:t>is is</w:t>
      </w:r>
      <w:r w:rsidR="00C10B5C" w:rsidRPr="4FEBF9DC">
        <w:rPr>
          <w:lang w:val="en-AU"/>
        </w:rPr>
        <w:t xml:space="preserve"> </w:t>
      </w:r>
      <w:r w:rsidR="006E7898" w:rsidRPr="4FEBF9DC">
        <w:rPr>
          <w:lang w:val="en-AU"/>
        </w:rPr>
        <w:t xml:space="preserve">complemented by </w:t>
      </w:r>
      <w:r w:rsidR="008D6A92" w:rsidRPr="4FEBF9DC">
        <w:rPr>
          <w:lang w:val="en-AU"/>
        </w:rPr>
        <w:t>the</w:t>
      </w:r>
      <w:r w:rsidR="00BD139D" w:rsidRPr="4FEBF9DC">
        <w:rPr>
          <w:lang w:val="en-AU"/>
        </w:rPr>
        <w:t xml:space="preserve"> reputation </w:t>
      </w:r>
      <w:r w:rsidR="008D6A92" w:rsidRPr="4FEBF9DC">
        <w:rPr>
          <w:lang w:val="en-AU"/>
        </w:rPr>
        <w:t xml:space="preserve">we have established </w:t>
      </w:r>
      <w:r w:rsidR="00BD139D" w:rsidRPr="4FEBF9DC">
        <w:rPr>
          <w:lang w:val="en-AU"/>
        </w:rPr>
        <w:t>as a safe and profitable destination for investment</w:t>
      </w:r>
      <w:r w:rsidR="00AF2B18" w:rsidRPr="4FEBF9DC">
        <w:rPr>
          <w:lang w:val="en-AU"/>
        </w:rPr>
        <w:t>.</w:t>
      </w:r>
      <w:r w:rsidR="00F9393F" w:rsidRPr="4FEBF9DC">
        <w:rPr>
          <w:lang w:val="en-AU"/>
        </w:rPr>
        <w:t xml:space="preserve"> </w:t>
      </w:r>
      <w:r w:rsidR="00F63323" w:rsidRPr="4FEBF9DC">
        <w:rPr>
          <w:lang w:val="en-AU"/>
        </w:rPr>
        <w:t xml:space="preserve">As a result, </w:t>
      </w:r>
      <w:r w:rsidR="00D3405A" w:rsidRPr="4FEBF9DC">
        <w:rPr>
          <w:lang w:val="en-AU"/>
        </w:rPr>
        <w:t xml:space="preserve">Australia </w:t>
      </w:r>
      <w:r w:rsidR="00F9311D">
        <w:rPr>
          <w:lang w:val="en-AU"/>
        </w:rPr>
        <w:t>i</w:t>
      </w:r>
      <w:r w:rsidR="00D3405A" w:rsidRPr="4FEBF9DC">
        <w:rPr>
          <w:lang w:val="en-AU"/>
        </w:rPr>
        <w:t>s the 5</w:t>
      </w:r>
      <w:r w:rsidR="00D3405A" w:rsidRPr="4FEBF9DC">
        <w:rPr>
          <w:vertAlign w:val="superscript"/>
          <w:lang w:val="en-AU"/>
        </w:rPr>
        <w:t>th</w:t>
      </w:r>
      <w:r w:rsidR="00CA5A1C" w:rsidRPr="4FEBF9DC">
        <w:rPr>
          <w:lang w:val="en-AU"/>
        </w:rPr>
        <w:t>-</w:t>
      </w:r>
      <w:r w:rsidR="00D3405A" w:rsidRPr="4FEBF9DC">
        <w:rPr>
          <w:lang w:val="en-AU"/>
        </w:rPr>
        <w:t>most attractive destination in the world for investment in renewable energy</w:t>
      </w:r>
      <w:r w:rsidR="006C1D92" w:rsidRPr="4FEBF9DC">
        <w:rPr>
          <w:lang w:val="en-AU"/>
        </w:rPr>
        <w:t>.</w:t>
      </w:r>
    </w:p>
    <w:p w14:paraId="362B3201" w14:textId="64603487" w:rsidR="00122E7C" w:rsidRPr="002322B7" w:rsidRDefault="003F6FCC" w:rsidP="003F1867">
      <w:pPr>
        <w:pStyle w:val="Body-copy"/>
        <w:rPr>
          <w:lang w:val="en-AU"/>
        </w:rPr>
      </w:pPr>
      <w:r>
        <w:rPr>
          <w:lang w:val="en-AU"/>
        </w:rPr>
        <w:t xml:space="preserve">Australia offers </w:t>
      </w:r>
      <w:r w:rsidR="00D26B89" w:rsidRPr="002322B7">
        <w:rPr>
          <w:lang w:val="en-AU"/>
        </w:rPr>
        <w:t>significant economic opportunities to help reduce global emissions</w:t>
      </w:r>
      <w:r w:rsidR="00151307">
        <w:rPr>
          <w:lang w:val="en-AU"/>
        </w:rPr>
        <w:t xml:space="preserve"> with</w:t>
      </w:r>
      <w:r w:rsidR="00D26B89" w:rsidRPr="002322B7">
        <w:rPr>
          <w:lang w:val="en-AU"/>
        </w:rPr>
        <w:t xml:space="preserve"> </w:t>
      </w:r>
      <w:r>
        <w:rPr>
          <w:lang w:val="en-AU"/>
        </w:rPr>
        <w:t>our</w:t>
      </w:r>
      <w:r w:rsidR="00D26B89" w:rsidRPr="002322B7">
        <w:rPr>
          <w:lang w:val="en-AU"/>
        </w:rPr>
        <w:t xml:space="preserve"> </w:t>
      </w:r>
      <w:r w:rsidR="008463A8">
        <w:rPr>
          <w:lang w:val="en-AU"/>
        </w:rPr>
        <w:t>vast renewable energy potential</w:t>
      </w:r>
      <w:r w:rsidR="006C189E">
        <w:rPr>
          <w:lang w:val="en-AU"/>
        </w:rPr>
        <w:t xml:space="preserve"> </w:t>
      </w:r>
      <w:r w:rsidR="00151307">
        <w:rPr>
          <w:lang w:val="en-AU"/>
        </w:rPr>
        <w:t>and</w:t>
      </w:r>
      <w:r w:rsidR="006C189E">
        <w:rPr>
          <w:lang w:val="en-AU"/>
        </w:rPr>
        <w:t xml:space="preserve"> </w:t>
      </w:r>
      <w:r w:rsidR="00A90DC1">
        <w:rPr>
          <w:lang w:val="en-AU"/>
        </w:rPr>
        <w:t xml:space="preserve">our </w:t>
      </w:r>
      <w:r w:rsidR="008463A8">
        <w:rPr>
          <w:lang w:val="en-AU"/>
        </w:rPr>
        <w:t>plentiful mineral resources</w:t>
      </w:r>
      <w:r w:rsidR="00D26B89" w:rsidRPr="002322B7">
        <w:rPr>
          <w:lang w:val="en-AU"/>
        </w:rPr>
        <w:t xml:space="preserve">. These include renewable hydrogen, green metals and critical minerals processing, along with manufacturing for a net zero transition. </w:t>
      </w:r>
    </w:p>
    <w:p w14:paraId="5F8D6202" w14:textId="1CBB61C3" w:rsidR="00FD7AB4" w:rsidRPr="002322B7" w:rsidRDefault="00BC65F3" w:rsidP="003F1867">
      <w:pPr>
        <w:pStyle w:val="Body-copy"/>
        <w:rPr>
          <w:lang w:val="en-AU"/>
        </w:rPr>
      </w:pPr>
      <w:r w:rsidRPr="4FEBF9DC">
        <w:rPr>
          <w:lang w:val="en-AU"/>
        </w:rPr>
        <w:t xml:space="preserve">Minerals are a core asset. </w:t>
      </w:r>
      <w:r w:rsidR="00FD7AB4" w:rsidRPr="4FEBF9DC">
        <w:rPr>
          <w:lang w:val="en-AU"/>
        </w:rPr>
        <w:t xml:space="preserve">The Australian continent has vast reserves of minerals that are vital to the </w:t>
      </w:r>
      <w:r w:rsidR="00CC14B6" w:rsidRPr="4FEBF9DC">
        <w:rPr>
          <w:lang w:val="en-AU"/>
        </w:rPr>
        <w:t xml:space="preserve">global </w:t>
      </w:r>
      <w:r w:rsidR="005211AD" w:rsidRPr="4FEBF9DC">
        <w:rPr>
          <w:lang w:val="en-AU"/>
        </w:rPr>
        <w:t xml:space="preserve">transformation </w:t>
      </w:r>
      <w:r w:rsidR="00FD7AB4" w:rsidRPr="4FEBF9DC">
        <w:rPr>
          <w:lang w:val="en-AU"/>
        </w:rPr>
        <w:t xml:space="preserve">to net zero. </w:t>
      </w:r>
      <w:r w:rsidRPr="4FEBF9DC">
        <w:rPr>
          <w:lang w:val="en-AU"/>
        </w:rPr>
        <w:t>We are</w:t>
      </w:r>
      <w:r w:rsidR="00FD7AB4" w:rsidRPr="4FEBF9DC">
        <w:rPr>
          <w:lang w:val="en-AU"/>
        </w:rPr>
        <w:t xml:space="preserve"> already the world’s</w:t>
      </w:r>
      <w:r w:rsidR="001745FB" w:rsidRPr="4FEBF9DC">
        <w:rPr>
          <w:lang w:val="en-AU"/>
        </w:rPr>
        <w:t xml:space="preserve"> </w:t>
      </w:r>
      <w:r w:rsidR="00FD7AB4" w:rsidRPr="4FEBF9DC">
        <w:rPr>
          <w:lang w:val="en-AU"/>
        </w:rPr>
        <w:t xml:space="preserve">largest producer of </w:t>
      </w:r>
      <w:r w:rsidR="005E7472" w:rsidRPr="4FEBF9DC">
        <w:rPr>
          <w:lang w:val="en-AU"/>
        </w:rPr>
        <w:t>lithium</w:t>
      </w:r>
      <w:r w:rsidR="007250F0">
        <w:rPr>
          <w:lang w:val="en-AU"/>
        </w:rPr>
        <w:t xml:space="preserve"> and iron ore</w:t>
      </w:r>
      <w:r w:rsidR="005E7472" w:rsidRPr="4FEBF9DC">
        <w:rPr>
          <w:lang w:val="en-AU"/>
        </w:rPr>
        <w:t>,</w:t>
      </w:r>
      <w:r w:rsidR="000E6624" w:rsidRPr="4FEBF9DC">
        <w:rPr>
          <w:lang w:val="en-AU"/>
        </w:rPr>
        <w:t xml:space="preserve"> and </w:t>
      </w:r>
      <w:r w:rsidRPr="4FEBF9DC">
        <w:rPr>
          <w:lang w:val="en-AU"/>
        </w:rPr>
        <w:t xml:space="preserve">have </w:t>
      </w:r>
      <w:r w:rsidR="00FD7AB4" w:rsidRPr="4FEBF9DC">
        <w:rPr>
          <w:lang w:val="en-AU"/>
        </w:rPr>
        <w:t xml:space="preserve">the largest known reserves of zinc, nickel and </w:t>
      </w:r>
      <w:r w:rsidR="006B78B0">
        <w:rPr>
          <w:lang w:val="en-AU"/>
        </w:rPr>
        <w:t>iron ore</w:t>
      </w:r>
      <w:r w:rsidR="00E133A4" w:rsidRPr="4FEBF9DC">
        <w:rPr>
          <w:lang w:val="en-AU"/>
        </w:rPr>
        <w:t xml:space="preserve">. </w:t>
      </w:r>
      <w:r w:rsidR="00E935C8" w:rsidRPr="4FEBF9DC">
        <w:rPr>
          <w:lang w:val="en-AU"/>
        </w:rPr>
        <w:t xml:space="preserve">Australia </w:t>
      </w:r>
      <w:r w:rsidR="001944AA">
        <w:rPr>
          <w:lang w:val="en-AU"/>
        </w:rPr>
        <w:t>also</w:t>
      </w:r>
      <w:r w:rsidR="00E935C8" w:rsidRPr="4FEBF9DC">
        <w:rPr>
          <w:lang w:val="en-AU"/>
        </w:rPr>
        <w:t xml:space="preserve"> has</w:t>
      </w:r>
      <w:r w:rsidR="00FD7AB4" w:rsidRPr="4FEBF9DC">
        <w:rPr>
          <w:lang w:val="en-AU"/>
        </w:rPr>
        <w:t xml:space="preserve"> the </w:t>
      </w:r>
      <w:r w:rsidR="0020219E" w:rsidRPr="4FEBF9DC">
        <w:rPr>
          <w:lang w:val="en-AU"/>
        </w:rPr>
        <w:t>2</w:t>
      </w:r>
      <w:r w:rsidR="0020219E" w:rsidRPr="4FEBF9DC">
        <w:rPr>
          <w:vertAlign w:val="superscript"/>
          <w:lang w:val="en-AU"/>
        </w:rPr>
        <w:t>nd</w:t>
      </w:r>
      <w:r w:rsidRPr="4FEBF9DC">
        <w:rPr>
          <w:lang w:val="en-AU"/>
        </w:rPr>
        <w:t>-</w:t>
      </w:r>
      <w:r w:rsidR="00FD7AB4" w:rsidRPr="4FEBF9DC">
        <w:rPr>
          <w:lang w:val="en-AU"/>
        </w:rPr>
        <w:t>largest reserves of l</w:t>
      </w:r>
      <w:permStart w:id="1920801002" w:ed="AUSTRADE\Fernando-ramirez"/>
      <w:permEnd w:id="1920801002"/>
      <w:r w:rsidR="00FD7AB4" w:rsidRPr="4FEBF9DC">
        <w:rPr>
          <w:lang w:val="en-AU"/>
        </w:rPr>
        <w:t>ithium</w:t>
      </w:r>
      <w:r w:rsidR="00B339E9">
        <w:rPr>
          <w:lang w:val="en-AU"/>
        </w:rPr>
        <w:t>,</w:t>
      </w:r>
      <w:r w:rsidR="00FD7AB4" w:rsidRPr="4FEBF9DC">
        <w:rPr>
          <w:lang w:val="en-AU"/>
        </w:rPr>
        <w:t xml:space="preserve"> cobalt</w:t>
      </w:r>
      <w:r w:rsidR="00B339E9">
        <w:rPr>
          <w:lang w:val="en-AU"/>
        </w:rPr>
        <w:t xml:space="preserve"> and tantalum</w:t>
      </w:r>
      <w:r w:rsidR="0020219E" w:rsidRPr="4FEBF9DC">
        <w:rPr>
          <w:lang w:val="en-AU"/>
        </w:rPr>
        <w:t xml:space="preserve">, and </w:t>
      </w:r>
      <w:r w:rsidR="00C31308" w:rsidRPr="4FEBF9DC">
        <w:rPr>
          <w:lang w:val="en-AU"/>
        </w:rPr>
        <w:t>the</w:t>
      </w:r>
      <w:r w:rsidR="00FD7AB4" w:rsidRPr="4FEBF9DC">
        <w:rPr>
          <w:lang w:val="en-AU"/>
        </w:rPr>
        <w:t xml:space="preserve"> 6</w:t>
      </w:r>
      <w:r w:rsidR="00FD7AB4" w:rsidRPr="4FEBF9DC">
        <w:rPr>
          <w:vertAlign w:val="superscript"/>
          <w:lang w:val="en-AU"/>
        </w:rPr>
        <w:t>th</w:t>
      </w:r>
      <w:r w:rsidR="001745FB" w:rsidRPr="4FEBF9DC">
        <w:rPr>
          <w:lang w:val="en-AU"/>
        </w:rPr>
        <w:t>-</w:t>
      </w:r>
      <w:r w:rsidR="00FD7AB4" w:rsidRPr="4FEBF9DC">
        <w:rPr>
          <w:lang w:val="en-AU"/>
        </w:rPr>
        <w:t xml:space="preserve">largest reserves of rare earth minerals. </w:t>
      </w:r>
    </w:p>
    <w:p w14:paraId="4DF5CB94" w14:textId="3E14FC0E" w:rsidR="00FD7AB4" w:rsidRPr="002322B7" w:rsidRDefault="00FD7AB4" w:rsidP="003F1867">
      <w:pPr>
        <w:pStyle w:val="Body-copy"/>
        <w:rPr>
          <w:lang w:val="en-AU"/>
        </w:rPr>
      </w:pPr>
      <w:r w:rsidRPr="002322B7">
        <w:rPr>
          <w:lang w:val="en-AU"/>
        </w:rPr>
        <w:t xml:space="preserve">Solar power is growing rapidly thanks to great geography, ideal weather and supportive market regulation. </w:t>
      </w:r>
      <w:r w:rsidR="004A2A42" w:rsidRPr="004A2A42">
        <w:rPr>
          <w:lang w:val="en-AU"/>
        </w:rPr>
        <w:t>As a result,</w:t>
      </w:r>
      <w:r w:rsidRPr="002322B7">
        <w:rPr>
          <w:lang w:val="en-AU"/>
        </w:rPr>
        <w:t xml:space="preserve"> Australia </w:t>
      </w:r>
      <w:r w:rsidR="004A2A42" w:rsidRPr="004A2A42">
        <w:rPr>
          <w:lang w:val="en-AU"/>
        </w:rPr>
        <w:t>is</w:t>
      </w:r>
      <w:r w:rsidRPr="002322B7">
        <w:rPr>
          <w:lang w:val="en-AU"/>
        </w:rPr>
        <w:t xml:space="preserve"> the </w:t>
      </w:r>
      <w:r w:rsidR="004A2A42" w:rsidRPr="004A2A42">
        <w:rPr>
          <w:lang w:val="en-AU"/>
        </w:rPr>
        <w:t>largest producer of solar energy per person</w:t>
      </w:r>
      <w:r w:rsidRPr="002322B7">
        <w:rPr>
          <w:lang w:val="en-AU"/>
        </w:rPr>
        <w:t xml:space="preserve"> in the world</w:t>
      </w:r>
      <w:r w:rsidR="004A2A42" w:rsidRPr="004A2A42">
        <w:rPr>
          <w:lang w:val="en-AU"/>
        </w:rPr>
        <w:t>.</w:t>
      </w:r>
      <w:r w:rsidRPr="002322B7">
        <w:rPr>
          <w:lang w:val="en-AU"/>
        </w:rPr>
        <w:t xml:space="preserve"> Australia </w:t>
      </w:r>
      <w:r w:rsidR="00256C67">
        <w:rPr>
          <w:lang w:val="en-AU"/>
        </w:rPr>
        <w:t>also</w:t>
      </w:r>
      <w:r w:rsidRPr="002322B7">
        <w:rPr>
          <w:lang w:val="en-AU"/>
        </w:rPr>
        <w:t xml:space="preserve"> has the theoretical potential for 5,000 </w:t>
      </w:r>
      <w:r w:rsidR="00757652">
        <w:rPr>
          <w:lang w:val="en-AU"/>
        </w:rPr>
        <w:t>giga</w:t>
      </w:r>
      <w:r w:rsidR="005D2777">
        <w:rPr>
          <w:lang w:val="en-AU"/>
        </w:rPr>
        <w:t>watts</w:t>
      </w:r>
      <w:r w:rsidRPr="002322B7">
        <w:rPr>
          <w:lang w:val="en-AU"/>
        </w:rPr>
        <w:t xml:space="preserve"> of offshore wind generation</w:t>
      </w:r>
      <w:r w:rsidR="00965582" w:rsidRPr="002322B7">
        <w:rPr>
          <w:lang w:val="en-AU"/>
        </w:rPr>
        <w:t>, which</w:t>
      </w:r>
      <w:r w:rsidRPr="002322B7">
        <w:rPr>
          <w:lang w:val="en-AU"/>
        </w:rPr>
        <w:t xml:space="preserve"> is greater than the combined output of all the world’s coal-fired power stations.</w:t>
      </w:r>
    </w:p>
    <w:p w14:paraId="676C8751" w14:textId="72A09267" w:rsidR="00F96AE3" w:rsidRPr="002322B7" w:rsidRDefault="00FD7AB4" w:rsidP="003F1867">
      <w:pPr>
        <w:pStyle w:val="Body-copy"/>
        <w:rPr>
          <w:lang w:val="en-AU"/>
        </w:rPr>
      </w:pPr>
      <w:r w:rsidRPr="002322B7">
        <w:rPr>
          <w:lang w:val="en-AU"/>
        </w:rPr>
        <w:t xml:space="preserve">Australia </w:t>
      </w:r>
      <w:r w:rsidR="004A3153" w:rsidRPr="002322B7">
        <w:rPr>
          <w:lang w:val="en-AU"/>
        </w:rPr>
        <w:t xml:space="preserve">is set to </w:t>
      </w:r>
      <w:r w:rsidRPr="002322B7">
        <w:rPr>
          <w:lang w:val="en-AU"/>
        </w:rPr>
        <w:t xml:space="preserve">become a major </w:t>
      </w:r>
      <w:r w:rsidR="00CC14B6" w:rsidRPr="002322B7">
        <w:rPr>
          <w:lang w:val="en-AU"/>
        </w:rPr>
        <w:t xml:space="preserve">global </w:t>
      </w:r>
      <w:r w:rsidR="00D90A3D" w:rsidRPr="002322B7">
        <w:rPr>
          <w:lang w:val="en-AU"/>
        </w:rPr>
        <w:t>producer</w:t>
      </w:r>
      <w:r w:rsidR="00F96AE3" w:rsidRPr="002322B7">
        <w:rPr>
          <w:lang w:val="en-AU"/>
        </w:rPr>
        <w:t xml:space="preserve"> of clean </w:t>
      </w:r>
      <w:r w:rsidR="004811A7" w:rsidRPr="002322B7">
        <w:rPr>
          <w:lang w:val="en-AU"/>
        </w:rPr>
        <w:t>hydrogen</w:t>
      </w:r>
      <w:r w:rsidR="00F96AE3" w:rsidRPr="002322B7">
        <w:rPr>
          <w:lang w:val="en-AU"/>
        </w:rPr>
        <w:t xml:space="preserve">. </w:t>
      </w:r>
      <w:r w:rsidR="0043309B" w:rsidRPr="002322B7">
        <w:rPr>
          <w:lang w:val="en-AU"/>
        </w:rPr>
        <w:t>Currently</w:t>
      </w:r>
      <w:r w:rsidR="00B110CC" w:rsidRPr="002322B7">
        <w:rPr>
          <w:lang w:val="en-AU"/>
        </w:rPr>
        <w:t>, more than 100 major hydrogen projects are under development across the country. A significant number of these projects focus on green hydrogen, taking advantage of our abundant wind and solar power</w:t>
      </w:r>
      <w:r w:rsidRPr="002322B7">
        <w:rPr>
          <w:lang w:val="en-AU"/>
        </w:rPr>
        <w:t>.</w:t>
      </w:r>
      <w:r w:rsidR="00E65062" w:rsidRPr="002322B7">
        <w:rPr>
          <w:lang w:val="en-AU"/>
        </w:rPr>
        <w:t xml:space="preserve"> </w:t>
      </w:r>
    </w:p>
    <w:p w14:paraId="3696BCC3" w14:textId="2AD441B4" w:rsidR="00976471" w:rsidRPr="004E6C8A" w:rsidRDefault="00976471" w:rsidP="00976471">
      <w:pPr>
        <w:pStyle w:val="Body-copy"/>
        <w:rPr>
          <w:rFonts w:eastAsia="Times New Roman"/>
          <w:highlight w:val="yellow"/>
          <w:lang w:val="en-AU"/>
        </w:rPr>
      </w:pPr>
      <w:r>
        <w:rPr>
          <w:rFonts w:eastAsia="Times New Roman"/>
          <w:lang w:val="en-AU"/>
        </w:rPr>
        <w:t xml:space="preserve">Finally, </w:t>
      </w:r>
      <w:r w:rsidR="002D0F9E">
        <w:rPr>
          <w:rFonts w:eastAsia="Times New Roman"/>
          <w:lang w:val="en-AU"/>
        </w:rPr>
        <w:t xml:space="preserve">there is a supportive policy environment, including </w:t>
      </w:r>
      <w:r>
        <w:rPr>
          <w:rFonts w:eastAsia="Times New Roman"/>
          <w:lang w:val="en-AU"/>
        </w:rPr>
        <w:t>t</w:t>
      </w:r>
      <w:r w:rsidRPr="00E22A03">
        <w:rPr>
          <w:rFonts w:eastAsia="Times New Roman"/>
          <w:lang w:val="en-AU"/>
        </w:rPr>
        <w:t>he Australian Government</w:t>
      </w:r>
      <w:r w:rsidR="0081604F">
        <w:rPr>
          <w:rFonts w:eastAsia="Times New Roman"/>
          <w:lang w:val="en-AU"/>
        </w:rPr>
        <w:t>’s ambitions for a Future Made in Australia</w:t>
      </w:r>
      <w:r w:rsidR="00FD2E78">
        <w:rPr>
          <w:rFonts w:eastAsia="Times New Roman"/>
          <w:lang w:val="en-AU"/>
        </w:rPr>
        <w:t xml:space="preserve"> that </w:t>
      </w:r>
      <w:r w:rsidR="00A90ED3">
        <w:rPr>
          <w:rFonts w:eastAsia="Times New Roman"/>
          <w:lang w:val="en-AU"/>
        </w:rPr>
        <w:t>aims</w:t>
      </w:r>
      <w:r w:rsidRPr="00E22A03">
        <w:rPr>
          <w:rFonts w:eastAsia="Times New Roman"/>
          <w:lang w:val="en-AU"/>
        </w:rPr>
        <w:t xml:space="preserve"> to encourage and facilitate private sector investment</w:t>
      </w:r>
      <w:r w:rsidR="00153327">
        <w:rPr>
          <w:rFonts w:eastAsia="Times New Roman"/>
          <w:lang w:val="en-AU"/>
        </w:rPr>
        <w:t xml:space="preserve">. </w:t>
      </w:r>
    </w:p>
    <w:p w14:paraId="4554D604" w14:textId="77777777" w:rsidR="00976471" w:rsidRPr="002322B7" w:rsidRDefault="00976471" w:rsidP="003F1867">
      <w:pPr>
        <w:pStyle w:val="Body-copy"/>
        <w:rPr>
          <w:lang w:val="en-AU"/>
        </w:rPr>
      </w:pPr>
    </w:p>
    <w:p w14:paraId="4990227D" w14:textId="77777777" w:rsidR="00F96AE3" w:rsidRPr="002322B7" w:rsidRDefault="00F96AE3" w:rsidP="00F96AE3">
      <w:pPr>
        <w:pStyle w:val="Heading-level2"/>
      </w:pPr>
      <w:bookmarkStart w:id="36" w:name="_Toc164678006"/>
      <w:bookmarkStart w:id="37" w:name="_Toc165471192"/>
      <w:bookmarkStart w:id="38" w:name="_Toc171500316"/>
      <w:r w:rsidRPr="002322B7">
        <w:lastRenderedPageBreak/>
        <w:t>A natural leader in clean energy</w:t>
      </w:r>
      <w:bookmarkEnd w:id="36"/>
      <w:bookmarkEnd w:id="37"/>
      <w:bookmarkEnd w:id="38"/>
    </w:p>
    <w:p w14:paraId="6532FA82" w14:textId="3FE685BB" w:rsidR="00EE07D0" w:rsidRPr="002322B7" w:rsidRDefault="00BC1374" w:rsidP="003F1867">
      <w:pPr>
        <w:pStyle w:val="Body-copy"/>
        <w:rPr>
          <w:lang w:val="en-AU"/>
        </w:rPr>
      </w:pPr>
      <w:r w:rsidRPr="002322B7">
        <w:rPr>
          <w:lang w:val="en-AU"/>
        </w:rPr>
        <w:t xml:space="preserve">Australia has a comparative advantage in renewable energy thanks to world-leading, large-scale resources. Our continent receives the highest </w:t>
      </w:r>
      <w:r w:rsidR="00485220" w:rsidRPr="002322B7">
        <w:rPr>
          <w:lang w:val="en-AU"/>
        </w:rPr>
        <w:t xml:space="preserve">level of </w:t>
      </w:r>
      <w:r w:rsidRPr="002322B7">
        <w:rPr>
          <w:lang w:val="en-AU"/>
        </w:rPr>
        <w:t>solar radiation per square met</w:t>
      </w:r>
      <w:r w:rsidR="00944C2E" w:rsidRPr="002322B7">
        <w:rPr>
          <w:lang w:val="en-AU"/>
        </w:rPr>
        <w:t>re</w:t>
      </w:r>
      <w:r w:rsidRPr="002322B7">
        <w:rPr>
          <w:lang w:val="en-AU"/>
        </w:rPr>
        <w:t xml:space="preserve"> globally, making it one of the best locations for solar energy. Additionally, Australia boasts some of the best wind resources, with vast onshore and offshore areas that have consistent, high-speed winds suitable for energy generation. </w:t>
      </w:r>
      <w:r w:rsidR="00F96AE3" w:rsidRPr="002322B7">
        <w:rPr>
          <w:lang w:val="en-AU"/>
        </w:rPr>
        <w:t xml:space="preserve">These two factors make Australia an attractive place to invest in wind and solar power. Australia </w:t>
      </w:r>
      <w:r w:rsidR="00BC4386">
        <w:rPr>
          <w:lang w:val="en-AU"/>
        </w:rPr>
        <w:t xml:space="preserve">also </w:t>
      </w:r>
      <w:r w:rsidR="00F96AE3" w:rsidRPr="002322B7">
        <w:rPr>
          <w:lang w:val="en-AU"/>
        </w:rPr>
        <w:t>has ambitious emissions</w:t>
      </w:r>
      <w:r w:rsidR="0044347E" w:rsidRPr="002322B7">
        <w:rPr>
          <w:lang w:val="en-AU"/>
        </w:rPr>
        <w:t>-</w:t>
      </w:r>
      <w:r w:rsidR="00F96AE3" w:rsidRPr="002322B7">
        <w:rPr>
          <w:lang w:val="en-AU"/>
        </w:rPr>
        <w:t>reduction targets</w:t>
      </w:r>
      <w:r w:rsidR="0044347E" w:rsidRPr="002322B7">
        <w:rPr>
          <w:lang w:val="en-AU"/>
        </w:rPr>
        <w:t xml:space="preserve">: </w:t>
      </w:r>
      <w:r w:rsidR="00F96AE3" w:rsidRPr="002322B7">
        <w:rPr>
          <w:lang w:val="en-AU"/>
        </w:rPr>
        <w:t>43% below 2005 levels by 2030 and net zero by 2050</w:t>
      </w:r>
      <w:r w:rsidR="00A02E6A">
        <w:rPr>
          <w:lang w:val="en-AU"/>
        </w:rPr>
        <w:t xml:space="preserve">, which </w:t>
      </w:r>
      <w:r w:rsidR="00272580" w:rsidRPr="002322B7">
        <w:rPr>
          <w:lang w:val="en-AU"/>
        </w:rPr>
        <w:t>help</w:t>
      </w:r>
      <w:r w:rsidR="00473823" w:rsidRPr="002322B7">
        <w:rPr>
          <w:lang w:val="en-AU"/>
        </w:rPr>
        <w:t>s</w:t>
      </w:r>
      <w:r w:rsidR="00272580" w:rsidRPr="002322B7">
        <w:rPr>
          <w:lang w:val="en-AU"/>
        </w:rPr>
        <w:t xml:space="preserve"> </w:t>
      </w:r>
      <w:r w:rsidR="00F96AE3" w:rsidRPr="002322B7">
        <w:rPr>
          <w:lang w:val="en-AU"/>
        </w:rPr>
        <w:t xml:space="preserve">provide investors with certainty on our energy transition. </w:t>
      </w:r>
    </w:p>
    <w:p w14:paraId="310603FF" w14:textId="4CEB2EFB" w:rsidR="00F96AE3" w:rsidRDefault="00F96AE3" w:rsidP="00F96AE3">
      <w:pPr>
        <w:pStyle w:val="Caption"/>
      </w:pPr>
      <w:bookmarkStart w:id="39" w:name="_Toc171500365"/>
      <w:r w:rsidRPr="002322B7">
        <w:t xml:space="preserve">Figure </w:t>
      </w:r>
      <w:r w:rsidR="00CF16FA">
        <w:fldChar w:fldCharType="begin"/>
      </w:r>
      <w:r w:rsidR="00CF16FA">
        <w:instrText xml:space="preserve"> SEQ Figure \* ARABIC </w:instrText>
      </w:r>
      <w:r w:rsidR="00CF16FA">
        <w:fldChar w:fldCharType="separate"/>
      </w:r>
      <w:r w:rsidR="002459CF">
        <w:rPr>
          <w:noProof/>
        </w:rPr>
        <w:t>9</w:t>
      </w:r>
      <w:r w:rsidR="00CF16FA">
        <w:rPr>
          <w:noProof/>
        </w:rPr>
        <w:fldChar w:fldCharType="end"/>
      </w:r>
      <w:r w:rsidRPr="002322B7">
        <w:t xml:space="preserve"> – Australia’s renewable energy credentials</w:t>
      </w:r>
      <w:bookmarkEnd w:id="39"/>
    </w:p>
    <w:p w14:paraId="3112ABA9" w14:textId="37BFD982" w:rsidR="00054FF9" w:rsidRDefault="00054FF9" w:rsidP="00054FF9">
      <w:r>
        <w:rPr>
          <w:noProof/>
        </w:rPr>
        <w:drawing>
          <wp:inline distT="0" distB="0" distL="0" distR="0" wp14:anchorId="5608348E" wp14:editId="47DDFC72">
            <wp:extent cx="6336030" cy="4164965"/>
            <wp:effectExtent l="0" t="0" r="7620" b="6985"/>
            <wp:docPr id="1692015921" name="Picture 19" descr="The infographic shows the following information:&#10;A$300 billion in potential hydrogen investments1&#10;Over 100 major hydrogen projects planned2&#10;+37,000 km2 of future wind generation3&#10;Larger than the surface area of Belgium or the Netherlands&#10;The 2nd highest potential for solar power4&#10;6th-largest producer of solar energy5&#10;Sufficient to power 7 million homes6&#10;1st in per capita terms⁵&#10;Almost 40,000 renewable energy patents in two decades7&#10;7th for renewable energy patents per head7&#10;10,700 patents in solar technologies7&#10;4,000 patents in wind technologies7&#10;4,000 patents in bioenergy technologies7&#10;Largest producer of lithium in the world&#10;Largest reserves of nickel, zinc and&#10;iron ore&#10;2nd largest reserves of lithium, copper, cobalt and tantalum8&#10;5th-most attractive country for renewable energy investment9&#10;9.3 terawatt-hours more of solar and wind energy in one year10&#10;Target of 82% of power from renewables by 203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15921" name="Picture 19" descr="The infographic shows the following information:&#10;A$300 billion in potential hydrogen investments1&#10;Over 100 major hydrogen projects planned2&#10;+37,000 km2 of future wind generation3&#10;Larger than the surface area of Belgium or the Netherlands&#10;The 2nd highest potential for solar power4&#10;6th-largest producer of solar energy5&#10;Sufficient to power 7 million homes6&#10;1st in per capita terms⁵&#10;Almost 40,000 renewable energy patents in two decades7&#10;7th for renewable energy patents per head7&#10;10,700 patents in solar technologies7&#10;4,000 patents in wind technologies7&#10;4,000 patents in bioenergy technologies7&#10;Largest producer of lithium in the world&#10;Largest reserves of nickel, zinc and&#10;iron ore&#10;2nd largest reserves of lithium, copper, cobalt and tantalum8&#10;5th-most attractive country for renewable energy investment9&#10;9.3 terawatt-hours more of solar and wind energy in one year10&#10;Target of 82% of power from renewables by 203011&#10;"/>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6336030" cy="4164965"/>
                    </a:xfrm>
                    <a:prstGeom prst="rect">
                      <a:avLst/>
                    </a:prstGeom>
                    <a:ln>
                      <a:noFill/>
                    </a:ln>
                    <a:extLst>
                      <a:ext uri="{53640926-AAD7-44D8-BBD7-CCE9431645EC}">
                        <a14:shadowObscured xmlns:a14="http://schemas.microsoft.com/office/drawing/2010/main"/>
                      </a:ext>
                    </a:extLst>
                  </pic:spPr>
                </pic:pic>
              </a:graphicData>
            </a:graphic>
          </wp:inline>
        </w:drawing>
      </w:r>
    </w:p>
    <w:p w14:paraId="3CA4DD5D" w14:textId="529B412D" w:rsidR="00FD7AB4" w:rsidRPr="002322B7" w:rsidRDefault="00FD7AB4" w:rsidP="00FD7AB4">
      <w:pPr>
        <w:pStyle w:val="Sourcesandnotes"/>
      </w:pPr>
      <w:r w:rsidRPr="002322B7">
        <w:rPr>
          <w:b/>
          <w:bCs/>
        </w:rPr>
        <w:t>Sources: 1.</w:t>
      </w:r>
      <w:r w:rsidRPr="0012529D">
        <w:rPr>
          <w:b/>
        </w:rPr>
        <w:t xml:space="preserve"> </w:t>
      </w:r>
      <w:r w:rsidR="00B04209" w:rsidRPr="002322B7">
        <w:t xml:space="preserve">Department of </w:t>
      </w:r>
      <w:r w:rsidR="000E284F" w:rsidRPr="002322B7">
        <w:t>Climate Change, Energy, the Environment and Water</w:t>
      </w:r>
      <w:r w:rsidRPr="002322B7">
        <w:t>,</w:t>
      </w:r>
      <w:r w:rsidR="000E284F" w:rsidRPr="002322B7">
        <w:t xml:space="preserve"> </w:t>
      </w:r>
      <w:r w:rsidRPr="002322B7">
        <w:t>2024,</w:t>
      </w:r>
      <w:r w:rsidR="000E284F" w:rsidRPr="002322B7">
        <w:t xml:space="preserve"> </w:t>
      </w:r>
      <w:r w:rsidR="00826930" w:rsidRPr="002322B7">
        <w:t>Australia’s National Hydrogen Strategy</w:t>
      </w:r>
      <w:r w:rsidRPr="002322B7">
        <w:t xml:space="preserve">. </w:t>
      </w:r>
      <w:r w:rsidRPr="002322B7">
        <w:rPr>
          <w:b/>
          <w:bCs/>
        </w:rPr>
        <w:t>2.</w:t>
      </w:r>
      <w:r w:rsidRPr="0012529D">
        <w:rPr>
          <w:b/>
        </w:rPr>
        <w:t xml:space="preserve"> </w:t>
      </w:r>
      <w:r w:rsidRPr="002322B7">
        <w:t xml:space="preserve">Geoscience Australia, 2022, Australian Hydrogen projects dataset, September 2022. </w:t>
      </w:r>
      <w:r w:rsidRPr="002322B7">
        <w:rPr>
          <w:b/>
          <w:bCs/>
        </w:rPr>
        <w:t>3.</w:t>
      </w:r>
      <w:r w:rsidRPr="002322B7">
        <w:t xml:space="preserve"> </w:t>
      </w:r>
      <w:r w:rsidR="0012529D" w:rsidRPr="0012529D">
        <w:t xml:space="preserve">Department of Climate Change, Energy, the Environment and Water, 2024, Australia's offshore wind areas. </w:t>
      </w:r>
      <w:r w:rsidR="0012529D" w:rsidRPr="0012529D">
        <w:rPr>
          <w:b/>
          <w:bCs/>
        </w:rPr>
        <w:t>4.</w:t>
      </w:r>
      <w:r w:rsidR="0012529D" w:rsidRPr="0012529D">
        <w:t xml:space="preserve"> </w:t>
      </w:r>
      <w:r w:rsidRPr="002322B7">
        <w:t xml:space="preserve">The World Bank, 2023, Global photovoltaic power potential by country. </w:t>
      </w:r>
      <w:r w:rsidRPr="002322B7">
        <w:rPr>
          <w:b/>
          <w:bCs/>
        </w:rPr>
        <w:t>5.</w:t>
      </w:r>
      <w:r w:rsidRPr="0012529D">
        <w:t xml:space="preserve"> </w:t>
      </w:r>
      <w:r w:rsidRPr="002322B7">
        <w:t xml:space="preserve">The World Bank, 2024, The </w:t>
      </w:r>
      <w:r w:rsidR="00E7486E" w:rsidRPr="002322B7">
        <w:t>W</w:t>
      </w:r>
      <w:r w:rsidRPr="002322B7">
        <w:t xml:space="preserve">orld </w:t>
      </w:r>
      <w:r w:rsidR="00E7486E" w:rsidRPr="002322B7">
        <w:t>B</w:t>
      </w:r>
      <w:r w:rsidRPr="002322B7">
        <w:t xml:space="preserve">ank open data; U.S. Energy Information Administration, 2024, Electricity data; Worldometer, 2024, Population by country; all accessed on 19 April 2024, Austrade. </w:t>
      </w:r>
      <w:r w:rsidRPr="002322B7">
        <w:rPr>
          <w:b/>
          <w:bCs/>
        </w:rPr>
        <w:t>6.</w:t>
      </w:r>
      <w:r w:rsidRPr="002322B7">
        <w:t xml:space="preserve"> Frontier Economics, 2020, Residential energy consumption benchmarks.</w:t>
      </w:r>
      <w:r w:rsidRPr="0012529D">
        <w:rPr>
          <w:b/>
        </w:rPr>
        <w:t xml:space="preserve"> </w:t>
      </w:r>
      <w:r w:rsidRPr="002322B7">
        <w:rPr>
          <w:b/>
          <w:bCs/>
        </w:rPr>
        <w:t>7.</w:t>
      </w:r>
      <w:r w:rsidRPr="0012529D">
        <w:rPr>
          <w:b/>
        </w:rPr>
        <w:t xml:space="preserve"> </w:t>
      </w:r>
      <w:r w:rsidRPr="002322B7">
        <w:t xml:space="preserve">IRENA, 2022, Patents evolution; Worldometer, 2022, Population by country. </w:t>
      </w:r>
      <w:r w:rsidRPr="002322B7">
        <w:rPr>
          <w:b/>
          <w:bCs/>
        </w:rPr>
        <w:t>8.</w:t>
      </w:r>
      <w:r w:rsidRPr="0012529D">
        <w:t xml:space="preserve"> </w:t>
      </w:r>
      <w:r w:rsidRPr="002322B7">
        <w:t xml:space="preserve">Geoscience Australia, 2024, Australia’s Identified Mineral Resources; US Department of the Interior, 2024, Mineral Commodity Summaries. </w:t>
      </w:r>
      <w:r w:rsidRPr="002322B7">
        <w:rPr>
          <w:b/>
          <w:bCs/>
        </w:rPr>
        <w:t>9.</w:t>
      </w:r>
      <w:r w:rsidRPr="0012529D">
        <w:t xml:space="preserve"> </w:t>
      </w:r>
      <w:r w:rsidRPr="002322B7">
        <w:t xml:space="preserve">EY, 2024, Renewable Energy Country Attractiveness Index 2023. </w:t>
      </w:r>
      <w:r w:rsidR="00B50514" w:rsidRPr="002322B7">
        <w:rPr>
          <w:b/>
          <w:bCs/>
        </w:rPr>
        <w:t>10.</w:t>
      </w:r>
      <w:r w:rsidR="00B50514" w:rsidRPr="002322B7">
        <w:t xml:space="preserve"> Department of Industry, Science, Energy and Resources (2024) Australian Energy Statistics. </w:t>
      </w:r>
      <w:r w:rsidRPr="002322B7">
        <w:rPr>
          <w:b/>
          <w:bCs/>
        </w:rPr>
        <w:t>1</w:t>
      </w:r>
      <w:r w:rsidR="00B50514" w:rsidRPr="002322B7">
        <w:rPr>
          <w:b/>
          <w:bCs/>
        </w:rPr>
        <w:t>1</w:t>
      </w:r>
      <w:r w:rsidRPr="002322B7">
        <w:rPr>
          <w:b/>
          <w:bCs/>
        </w:rPr>
        <w:t>.</w:t>
      </w:r>
      <w:r w:rsidRPr="002322B7">
        <w:t xml:space="preserve"> Department of Climate Change, Energy, the Environment and Water, 2022, Government backs next-generation renewable technology</w:t>
      </w:r>
      <w:r w:rsidR="00B50514" w:rsidRPr="002322B7">
        <w:t>;</w:t>
      </w:r>
      <w:r w:rsidRPr="002322B7">
        <w:t xml:space="preserve"> Austrade.</w:t>
      </w:r>
    </w:p>
    <w:p w14:paraId="785EC9C7" w14:textId="7CE1C985" w:rsidR="009856D0" w:rsidRPr="002322B7" w:rsidRDefault="009856D0" w:rsidP="009856D0">
      <w:pPr>
        <w:pStyle w:val="Heading-level2"/>
      </w:pPr>
      <w:bookmarkStart w:id="40" w:name="_Toc171500317"/>
      <w:r w:rsidRPr="002322B7">
        <w:lastRenderedPageBreak/>
        <w:t xml:space="preserve">Abundant minerals for </w:t>
      </w:r>
      <w:r w:rsidR="005645A1" w:rsidRPr="002322B7">
        <w:t xml:space="preserve">a </w:t>
      </w:r>
      <w:r w:rsidRPr="002322B7">
        <w:t>net zero transformation</w:t>
      </w:r>
      <w:bookmarkEnd w:id="40"/>
    </w:p>
    <w:p w14:paraId="0D0C935D" w14:textId="66B4F222" w:rsidR="009856D0" w:rsidRPr="002322B7" w:rsidRDefault="009856D0" w:rsidP="003F1867">
      <w:pPr>
        <w:pStyle w:val="Body-copy"/>
        <w:rPr>
          <w:lang w:val="en-AU"/>
        </w:rPr>
      </w:pPr>
      <w:r w:rsidRPr="002322B7">
        <w:rPr>
          <w:lang w:val="en-AU"/>
        </w:rPr>
        <w:t xml:space="preserve">Australia is a secure and reliable source of minerals. </w:t>
      </w:r>
      <w:r w:rsidR="00A23494">
        <w:rPr>
          <w:lang w:val="en-AU"/>
        </w:rPr>
        <w:t>And w</w:t>
      </w:r>
      <w:r w:rsidRPr="002322B7">
        <w:rPr>
          <w:lang w:val="en-AU"/>
        </w:rPr>
        <w:t>ith abundant reserves and an advanced mining industry, Australia will remain a top exporter of minerals. Australia boasts the largest reserves of iron ore</w:t>
      </w:r>
      <w:r w:rsidR="00D02E5D">
        <w:rPr>
          <w:lang w:val="en-AU"/>
        </w:rPr>
        <w:t xml:space="preserve"> i</w:t>
      </w:r>
      <w:r w:rsidRPr="002322B7">
        <w:rPr>
          <w:lang w:val="en-AU"/>
        </w:rPr>
        <w:t>nclud</w:t>
      </w:r>
      <w:r w:rsidR="00D02E5D">
        <w:rPr>
          <w:lang w:val="en-AU"/>
        </w:rPr>
        <w:t>ing</w:t>
      </w:r>
      <w:r w:rsidRPr="002322B7">
        <w:rPr>
          <w:lang w:val="en-AU"/>
        </w:rPr>
        <w:t xml:space="preserve"> magnetite and high-grade hematite</w:t>
      </w:r>
      <w:r w:rsidR="004E4586" w:rsidRPr="002322B7">
        <w:rPr>
          <w:lang w:val="en-AU"/>
        </w:rPr>
        <w:t xml:space="preserve">, which are ideal </w:t>
      </w:r>
      <w:r w:rsidRPr="002322B7">
        <w:rPr>
          <w:lang w:val="en-AU"/>
        </w:rPr>
        <w:t xml:space="preserve">for green steel production. </w:t>
      </w:r>
      <w:r w:rsidR="005F7C47">
        <w:rPr>
          <w:lang w:val="en-AU"/>
        </w:rPr>
        <w:t>We are</w:t>
      </w:r>
      <w:r w:rsidRPr="002322B7">
        <w:rPr>
          <w:lang w:val="en-AU"/>
        </w:rPr>
        <w:t xml:space="preserve"> also the world’s largest producer of lithium, which is in high global demand </w:t>
      </w:r>
      <w:r w:rsidR="00FC2617" w:rsidRPr="002322B7">
        <w:rPr>
          <w:lang w:val="en-AU"/>
        </w:rPr>
        <w:t>owing to the popularity of</w:t>
      </w:r>
      <w:r w:rsidRPr="002322B7">
        <w:rPr>
          <w:lang w:val="en-AU"/>
        </w:rPr>
        <w:t xml:space="preserve"> lithium batteries. Australia boasts the world's largest reserves of zinc and nickel, and is also becoming a </w:t>
      </w:r>
      <w:r w:rsidR="00FF37B6" w:rsidRPr="002322B7">
        <w:rPr>
          <w:lang w:val="en-AU"/>
        </w:rPr>
        <w:t xml:space="preserve">key </w:t>
      </w:r>
      <w:r w:rsidRPr="002322B7">
        <w:rPr>
          <w:lang w:val="en-AU"/>
        </w:rPr>
        <w:t xml:space="preserve">supplier of multiple rare earth minerals. </w:t>
      </w:r>
      <w:bookmarkStart w:id="41" w:name="_Hlk168464293"/>
      <w:r w:rsidR="00965603">
        <w:rPr>
          <w:lang w:val="en-AU"/>
        </w:rPr>
        <w:t xml:space="preserve">And </w:t>
      </w:r>
      <w:r w:rsidRPr="002322B7">
        <w:rPr>
          <w:lang w:val="en-AU"/>
        </w:rPr>
        <w:t xml:space="preserve">Australia is a promising destination for </w:t>
      </w:r>
      <w:r w:rsidR="004E4586" w:rsidRPr="002322B7">
        <w:rPr>
          <w:lang w:val="en-AU"/>
        </w:rPr>
        <w:t xml:space="preserve">fresh </w:t>
      </w:r>
      <w:r w:rsidRPr="002322B7">
        <w:rPr>
          <w:lang w:val="en-AU"/>
        </w:rPr>
        <w:t>investment</w:t>
      </w:r>
      <w:r w:rsidR="00F0395C" w:rsidRPr="002322B7">
        <w:rPr>
          <w:lang w:val="en-AU"/>
        </w:rPr>
        <w:t>. A</w:t>
      </w:r>
      <w:r w:rsidRPr="002322B7">
        <w:rPr>
          <w:lang w:val="en-AU"/>
        </w:rPr>
        <w:t xml:space="preserve">bout 80% of </w:t>
      </w:r>
      <w:r w:rsidR="00A1302D">
        <w:rPr>
          <w:lang w:val="en-AU"/>
        </w:rPr>
        <w:t xml:space="preserve">our </w:t>
      </w:r>
      <w:r w:rsidRPr="002322B7">
        <w:rPr>
          <w:lang w:val="en-AU"/>
        </w:rPr>
        <w:t xml:space="preserve">land </w:t>
      </w:r>
      <w:r w:rsidR="00F0395C" w:rsidRPr="002322B7">
        <w:rPr>
          <w:lang w:val="en-AU"/>
        </w:rPr>
        <w:t xml:space="preserve">is </w:t>
      </w:r>
      <w:r w:rsidRPr="002322B7">
        <w:rPr>
          <w:lang w:val="en-AU"/>
        </w:rPr>
        <w:t>still largely unexplored, offering vast potential for discovering new mineral deposits.</w:t>
      </w:r>
    </w:p>
    <w:p w14:paraId="367E1B0C" w14:textId="0E02E7BE" w:rsidR="009856D0" w:rsidRDefault="009856D0" w:rsidP="009856D0">
      <w:pPr>
        <w:pStyle w:val="Caption"/>
      </w:pPr>
      <w:bookmarkStart w:id="42" w:name="_Toc171500366"/>
      <w:bookmarkStart w:id="43" w:name="_Toc164678052"/>
      <w:bookmarkStart w:id="44" w:name="_Toc165471239"/>
      <w:bookmarkEnd w:id="41"/>
      <w:r w:rsidRPr="002322B7">
        <w:t xml:space="preserve">Figure </w:t>
      </w:r>
      <w:r w:rsidR="00CF16FA">
        <w:fldChar w:fldCharType="begin"/>
      </w:r>
      <w:r w:rsidR="00CF16FA">
        <w:instrText xml:space="preserve"> SEQ Figure \* ARABIC </w:instrText>
      </w:r>
      <w:r w:rsidR="00CF16FA">
        <w:fldChar w:fldCharType="separate"/>
      </w:r>
      <w:r w:rsidR="002459CF">
        <w:rPr>
          <w:noProof/>
        </w:rPr>
        <w:t>10</w:t>
      </w:r>
      <w:r w:rsidR="00CF16FA">
        <w:rPr>
          <w:noProof/>
        </w:rPr>
        <w:fldChar w:fldCharType="end"/>
      </w:r>
      <w:r w:rsidRPr="002322B7">
        <w:rPr>
          <w:noProof/>
        </w:rPr>
        <w:t xml:space="preserve"> </w:t>
      </w:r>
      <w:r w:rsidRPr="002322B7">
        <w:t>– Australia’s minerals - Global ranking for production and reserves, 2022</w:t>
      </w:r>
      <w:bookmarkEnd w:id="42"/>
    </w:p>
    <w:p w14:paraId="43CFE21B" w14:textId="0D71982E" w:rsidR="000D13F1" w:rsidRPr="000D13F1" w:rsidRDefault="00054FF9" w:rsidP="000D13F1">
      <w:r>
        <w:rPr>
          <w:noProof/>
        </w:rPr>
        <w:drawing>
          <wp:inline distT="0" distB="0" distL="0" distR="0" wp14:anchorId="59E7C5D8" wp14:editId="2C3D5476">
            <wp:extent cx="6336000" cy="3029421"/>
            <wp:effectExtent l="0" t="0" r="8255" b="0"/>
            <wp:docPr id="1749123898" name="Picture 20" descr="The table shows the global production and reserve rankings for a selection of Australia's minerals in 2022. The information is as follows: Iron ore rank production is #1 and #1 for reserves. Lithium rank production is #1 and #2 for reserves. Zinc rank production is #3 and #1 for reserves. Manganese Ore rank production is #3 and #4 for reserves. Rare earths rank production is #3 and #6 for reserves. Tantalum¹ rank production is #3 and #2 for reserves. Cobalt rank production is #4 and #2 for reserves. Nickel rank production is #5 and #1 for reserves. Aluminium¹ rank production is #7 and #na for reserves. Copper rank production is #8 and #2 for reserves. Graphite rank production is #na and #8 for reserves. Molybdenum rank production is #na and #5 for reser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23898" name="Picture 20" descr="The table shows the global production and reserve rankings for a selection of Australia's minerals in 2022. The information is as follows: Iron ore rank production is #1 and #1 for reserves. Lithium rank production is #1 and #2 for reserves. Zinc rank production is #3 and #1 for reserves. Manganese Ore rank production is #3 and #4 for reserves. Rare earths rank production is #3 and #6 for reserves. Tantalum¹ rank production is #3 and #2 for reserves. Cobalt rank production is #4 and #2 for reserves. Nickel rank production is #5 and #1 for reserves. Aluminium¹ rank production is #7 and #na for reserves. Copper rank production is #8 and #2 for reserves. Graphite rank production is #na and #8 for reserves. Molybdenum rank production is #na and #5 for reserves. "/>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6336000" cy="3029421"/>
                    </a:xfrm>
                    <a:prstGeom prst="rect">
                      <a:avLst/>
                    </a:prstGeom>
                    <a:ln>
                      <a:noFill/>
                    </a:ln>
                    <a:extLst>
                      <a:ext uri="{53640926-AAD7-44D8-BBD7-CCE9431645EC}">
                        <a14:shadowObscured xmlns:a14="http://schemas.microsoft.com/office/drawing/2010/main"/>
                      </a:ext>
                    </a:extLst>
                  </pic:spPr>
                </pic:pic>
              </a:graphicData>
            </a:graphic>
          </wp:inline>
        </w:drawing>
      </w:r>
    </w:p>
    <w:bookmarkEnd w:id="43"/>
    <w:bookmarkEnd w:id="44"/>
    <w:p w14:paraId="2645693E" w14:textId="77777777" w:rsidR="009856D0" w:rsidRPr="002322B7" w:rsidRDefault="009856D0" w:rsidP="009856D0">
      <w:pPr>
        <w:pStyle w:val="Sourcesandnotes"/>
      </w:pPr>
      <w:r w:rsidRPr="002322B7">
        <w:rPr>
          <w:b/>
          <w:bCs/>
        </w:rPr>
        <w:t xml:space="preserve">Note: 1. </w:t>
      </w:r>
      <w:r w:rsidRPr="002322B7">
        <w:t>Information for 2023.</w:t>
      </w:r>
    </w:p>
    <w:p w14:paraId="4FE3495D" w14:textId="77777777" w:rsidR="009856D0" w:rsidRPr="002322B7" w:rsidRDefault="009856D0" w:rsidP="009856D0">
      <w:pPr>
        <w:pStyle w:val="Sourcesandnotes"/>
      </w:pPr>
      <w:r w:rsidRPr="002322B7">
        <w:rPr>
          <w:b/>
          <w:bCs/>
        </w:rPr>
        <w:t>Sources:</w:t>
      </w:r>
      <w:r w:rsidRPr="002322B7">
        <w:t xml:space="preserve"> Geoscience Australia, 2024, Australia’s Identified Mineral Resources; US Department of the Interior, 2024, Mineral Commodity Summaries; Austrade.</w:t>
      </w:r>
    </w:p>
    <w:p w14:paraId="108FEC81" w14:textId="77777777" w:rsidR="00A0486A" w:rsidRPr="002322B7" w:rsidRDefault="00A0486A" w:rsidP="00A0486A">
      <w:pPr>
        <w:pStyle w:val="Heading-level2"/>
      </w:pPr>
      <w:bookmarkStart w:id="45" w:name="_Toc171500318"/>
      <w:r w:rsidRPr="002322B7">
        <w:lastRenderedPageBreak/>
        <w:t>A top destination for renewables investment</w:t>
      </w:r>
      <w:bookmarkEnd w:id="45"/>
    </w:p>
    <w:p w14:paraId="7C70CD8D" w14:textId="6B1B290A" w:rsidR="00A0486A" w:rsidRPr="002322B7" w:rsidRDefault="00CA77E8" w:rsidP="003F1867">
      <w:pPr>
        <w:pStyle w:val="Body-copy"/>
        <w:rPr>
          <w:lang w:val="en-AU"/>
        </w:rPr>
      </w:pPr>
      <w:r w:rsidRPr="4FEBF9DC">
        <w:rPr>
          <w:lang w:val="en-AU"/>
        </w:rPr>
        <w:t xml:space="preserve">Australia is a top-tier location for investment in renewable energy. </w:t>
      </w:r>
      <w:r w:rsidR="00A0486A" w:rsidRPr="4FEBF9DC">
        <w:rPr>
          <w:lang w:val="en-AU"/>
        </w:rPr>
        <w:t xml:space="preserve">In </w:t>
      </w:r>
      <w:r w:rsidR="005907E2" w:rsidRPr="4FEBF9DC">
        <w:rPr>
          <w:lang w:val="en-AU"/>
        </w:rPr>
        <w:t>fact</w:t>
      </w:r>
      <w:r w:rsidR="00A0486A" w:rsidRPr="4FEBF9DC">
        <w:rPr>
          <w:lang w:val="en-AU"/>
        </w:rPr>
        <w:t>, EY ranked Australia as the 5</w:t>
      </w:r>
      <w:r w:rsidR="00A0486A" w:rsidRPr="4FEBF9DC">
        <w:rPr>
          <w:vertAlign w:val="superscript"/>
          <w:lang w:val="en-AU"/>
        </w:rPr>
        <w:t>th</w:t>
      </w:r>
      <w:r w:rsidRPr="4FEBF9DC">
        <w:rPr>
          <w:lang w:val="en-AU"/>
        </w:rPr>
        <w:t>-</w:t>
      </w:r>
      <w:r w:rsidR="00A0486A" w:rsidRPr="4FEBF9DC">
        <w:rPr>
          <w:lang w:val="en-AU"/>
        </w:rPr>
        <w:t>most attractive destination in the world for renewable energy</w:t>
      </w:r>
      <w:r w:rsidR="001D3003" w:rsidRPr="4FEBF9DC">
        <w:rPr>
          <w:lang w:val="en-AU"/>
        </w:rPr>
        <w:t xml:space="preserve"> </w:t>
      </w:r>
      <w:r w:rsidR="00A0486A" w:rsidRPr="4FEBF9DC">
        <w:rPr>
          <w:lang w:val="en-AU"/>
        </w:rPr>
        <w:t>investment</w:t>
      </w:r>
      <w:r w:rsidR="005907E2" w:rsidRPr="4FEBF9DC">
        <w:rPr>
          <w:lang w:val="en-AU"/>
        </w:rPr>
        <w:t xml:space="preserve"> in 2023</w:t>
      </w:r>
      <w:r w:rsidR="001D3003" w:rsidRPr="4FEBF9DC">
        <w:rPr>
          <w:lang w:val="en-AU"/>
        </w:rPr>
        <w:t>.</w:t>
      </w:r>
      <w:r w:rsidR="00A82D02" w:rsidRPr="4FEBF9DC">
        <w:rPr>
          <w:lang w:val="en-AU"/>
        </w:rPr>
        <w:t xml:space="preserve"> This measure takes into account factors such as energy demand, policy reliability, project stability</w:t>
      </w:r>
      <w:r w:rsidR="003F1516" w:rsidRPr="4FEBF9DC">
        <w:rPr>
          <w:lang w:val="en-AU"/>
        </w:rPr>
        <w:t xml:space="preserve"> and </w:t>
      </w:r>
      <w:r w:rsidR="00A82D02" w:rsidRPr="4FEBF9DC">
        <w:rPr>
          <w:lang w:val="en-AU"/>
        </w:rPr>
        <w:t>delivery</w:t>
      </w:r>
      <w:r w:rsidR="003F1516" w:rsidRPr="4FEBF9DC">
        <w:rPr>
          <w:lang w:val="en-AU"/>
        </w:rPr>
        <w:t>,</w:t>
      </w:r>
      <w:r w:rsidR="00A82D02" w:rsidRPr="4FEBF9DC">
        <w:rPr>
          <w:lang w:val="en-AU"/>
        </w:rPr>
        <w:t xml:space="preserve"> and </w:t>
      </w:r>
      <w:r w:rsidR="00B45471" w:rsidRPr="4FEBF9DC">
        <w:rPr>
          <w:lang w:val="en-AU"/>
        </w:rPr>
        <w:t xml:space="preserve">the </w:t>
      </w:r>
      <w:r w:rsidR="00A82D02" w:rsidRPr="4FEBF9DC">
        <w:rPr>
          <w:lang w:val="en-AU"/>
        </w:rPr>
        <w:t>diversity of natural resources.</w:t>
      </w:r>
    </w:p>
    <w:p w14:paraId="0E8A9F60" w14:textId="564B2293" w:rsidR="00A0486A" w:rsidRDefault="00FD7AB4" w:rsidP="00A0486A">
      <w:pPr>
        <w:pStyle w:val="Caption"/>
      </w:pPr>
      <w:bookmarkStart w:id="46" w:name="_Toc171500367"/>
      <w:bookmarkStart w:id="47" w:name="_Toc164678053"/>
      <w:bookmarkStart w:id="48" w:name="_Toc165471240"/>
      <w:r w:rsidRPr="002322B7">
        <w:t xml:space="preserve">Figure </w:t>
      </w:r>
      <w:r w:rsidR="00CF16FA">
        <w:fldChar w:fldCharType="begin"/>
      </w:r>
      <w:r w:rsidR="00CF16FA">
        <w:instrText xml:space="preserve"> SEQ Figure \* ARABIC </w:instrText>
      </w:r>
      <w:r w:rsidR="00CF16FA">
        <w:fldChar w:fldCharType="separate"/>
      </w:r>
      <w:r w:rsidR="002459CF">
        <w:rPr>
          <w:noProof/>
        </w:rPr>
        <w:t>11</w:t>
      </w:r>
      <w:r w:rsidR="00CF16FA">
        <w:rPr>
          <w:noProof/>
        </w:rPr>
        <w:fldChar w:fldCharType="end"/>
      </w:r>
      <w:r w:rsidR="00A0486A" w:rsidRPr="002322B7">
        <w:rPr>
          <w:noProof/>
        </w:rPr>
        <w:t xml:space="preserve"> </w:t>
      </w:r>
      <w:r w:rsidR="00A0486A" w:rsidRPr="002322B7">
        <w:t xml:space="preserve">– Renewable energy </w:t>
      </w:r>
      <w:r w:rsidR="00D32FD7">
        <w:t>region</w:t>
      </w:r>
      <w:r w:rsidR="00A0486A" w:rsidRPr="002322B7">
        <w:t xml:space="preserve"> attractiveness</w:t>
      </w:r>
      <w:bookmarkEnd w:id="46"/>
    </w:p>
    <w:p w14:paraId="1A760C19" w14:textId="1409DCC8" w:rsidR="0034244B" w:rsidRDefault="00094E67" w:rsidP="0034244B">
      <w:r>
        <w:rPr>
          <w:noProof/>
        </w:rPr>
        <w:drawing>
          <wp:inline distT="0" distB="0" distL="0" distR="0" wp14:anchorId="5967A29F" wp14:editId="4A4DF859">
            <wp:extent cx="6336030" cy="4563745"/>
            <wp:effectExtent l="0" t="0" r="7620" b="8255"/>
            <wp:docPr id="109370633" name="Picture 21" descr="The graph plots a country’s attractiveness for renewable energy in 2023. The information, including each country's ranking in brackets, is as follows: US (1) 73.9; Germany (2) 71.4; China (2) 71.4; France (4) 70.6; Australia (5) 70.2; India (6) 69.2; UK (7) 68.3; Spain (8) 67.1; Denmark (9) 66.3; Netherlands (10) 66.1; Canada (11) 65.1; Italy (14) 63.2; Poland (15) 62.4; Finland (20) 60; Taiwan (24) 59.1; Korea (27) 57.3; Philippines (32) 56.1; Vietnam (33) 56; Mexico (35) 55.5; South Africa (37) 54.3; Thailand (38) 54.2; and Saudi Arabia (40)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3" name="Picture 21" descr="The graph plots a country’s attractiveness for renewable energy in 2023. The information, including each country's ranking in brackets, is as follows: US (1) 73.9; Germany (2) 71.4; China (2) 71.4; France (4) 70.6; Australia (5) 70.2; India (6) 69.2; UK (7) 68.3; Spain (8) 67.1; Denmark (9) 66.3; Netherlands (10) 66.1; Canada (11) 65.1; Italy (14) 63.2; Poland (15) 62.4; Finland (20) 60; Taiwan (24) 59.1; Korea (27) 57.3; Philippines (32) 56.1; Vietnam (33) 56; Mexico (35) 55.5; South Africa (37) 54.3; Thailand (38) 54.2; and Saudi Arabia (40) 53.7."/>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6336030" cy="4563745"/>
                    </a:xfrm>
                    <a:prstGeom prst="rect">
                      <a:avLst/>
                    </a:prstGeom>
                    <a:ln>
                      <a:noFill/>
                    </a:ln>
                    <a:extLst>
                      <a:ext uri="{53640926-AAD7-44D8-BBD7-CCE9431645EC}">
                        <a14:shadowObscured xmlns:a14="http://schemas.microsoft.com/office/drawing/2010/main"/>
                      </a:ext>
                    </a:extLst>
                  </pic:spPr>
                </pic:pic>
              </a:graphicData>
            </a:graphic>
          </wp:inline>
        </w:drawing>
      </w:r>
    </w:p>
    <w:p w14:paraId="430BCD0A" w14:textId="303DB8A3" w:rsidR="00365EDB" w:rsidRDefault="00365EDB" w:rsidP="00365EDB"/>
    <w:bookmarkEnd w:id="47"/>
    <w:bookmarkEnd w:id="48"/>
    <w:p w14:paraId="5B27721C" w14:textId="0DA8F2A2" w:rsidR="00FD7AB4" w:rsidRPr="002322B7" w:rsidRDefault="00FD7AB4" w:rsidP="00FD7AB4">
      <w:pPr>
        <w:pStyle w:val="Sourcesandnotes"/>
      </w:pPr>
      <w:r w:rsidRPr="002322B7">
        <w:rPr>
          <w:b/>
          <w:bCs/>
        </w:rPr>
        <w:t xml:space="preserve">Source: </w:t>
      </w:r>
      <w:r w:rsidRPr="002322B7">
        <w:t>EY, 2024, Renewable Energy Country Attractiveness Index 2023, accessed February 2024, Austrade.</w:t>
      </w:r>
    </w:p>
    <w:p w14:paraId="6020009B" w14:textId="77777777" w:rsidR="00FD7AB4" w:rsidRPr="002322B7" w:rsidRDefault="00FD7AB4" w:rsidP="00FD7AB4">
      <w:pPr>
        <w:pStyle w:val="Sourcesandnotes"/>
      </w:pPr>
    </w:p>
    <w:p w14:paraId="1BCD0537" w14:textId="50006CA1" w:rsidR="00F96AE3" w:rsidRPr="002322B7" w:rsidRDefault="00972BFA" w:rsidP="00F96AE3">
      <w:pPr>
        <w:pStyle w:val="Heading-level2"/>
      </w:pPr>
      <w:bookmarkStart w:id="49" w:name="_Toc171500319"/>
      <w:r w:rsidRPr="002322B7">
        <w:lastRenderedPageBreak/>
        <w:t>Rapid growth in renewable energy</w:t>
      </w:r>
      <w:bookmarkEnd w:id="49"/>
    </w:p>
    <w:p w14:paraId="5400D113" w14:textId="2E822B91" w:rsidR="00D70BC9" w:rsidRPr="002322B7" w:rsidRDefault="00F96AE3" w:rsidP="003F1867">
      <w:pPr>
        <w:pStyle w:val="Body-copy"/>
        <w:rPr>
          <w:lang w:val="en-AU"/>
        </w:rPr>
      </w:pPr>
      <w:r w:rsidRPr="002322B7">
        <w:rPr>
          <w:lang w:val="en-AU"/>
        </w:rPr>
        <w:t xml:space="preserve">Renewables </w:t>
      </w:r>
      <w:r w:rsidR="00D33F15" w:rsidRPr="002322B7">
        <w:rPr>
          <w:lang w:val="en-AU"/>
        </w:rPr>
        <w:t xml:space="preserve">are </w:t>
      </w:r>
      <w:r w:rsidRPr="002322B7">
        <w:rPr>
          <w:lang w:val="en-AU"/>
        </w:rPr>
        <w:t>deliver</w:t>
      </w:r>
      <w:r w:rsidR="00D33F15" w:rsidRPr="002322B7">
        <w:rPr>
          <w:lang w:val="en-AU"/>
        </w:rPr>
        <w:t>ing</w:t>
      </w:r>
      <w:r w:rsidRPr="002322B7">
        <w:rPr>
          <w:lang w:val="en-AU"/>
        </w:rPr>
        <w:t xml:space="preserve"> a fast-growing share of Australia’s energy production. Over the past </w:t>
      </w:r>
      <w:r w:rsidR="008675AE" w:rsidRPr="002322B7">
        <w:rPr>
          <w:lang w:val="en-AU"/>
        </w:rPr>
        <w:t>eight years</w:t>
      </w:r>
      <w:r w:rsidRPr="002322B7">
        <w:rPr>
          <w:lang w:val="en-AU"/>
        </w:rPr>
        <w:t xml:space="preserve">, Australia’s renewable electricity production has </w:t>
      </w:r>
      <w:r w:rsidR="00D70BC9" w:rsidRPr="002322B7">
        <w:rPr>
          <w:lang w:val="en-AU"/>
        </w:rPr>
        <w:t>nearly</w:t>
      </w:r>
      <w:r w:rsidR="00CF040E" w:rsidRPr="002322B7">
        <w:rPr>
          <w:lang w:val="en-AU"/>
        </w:rPr>
        <w:t xml:space="preserve"> </w:t>
      </w:r>
      <w:r w:rsidRPr="002322B7">
        <w:rPr>
          <w:lang w:val="en-AU"/>
        </w:rPr>
        <w:t xml:space="preserve">tripled, </w:t>
      </w:r>
      <w:r w:rsidR="004F1688" w:rsidRPr="002322B7">
        <w:rPr>
          <w:lang w:val="en-AU"/>
        </w:rPr>
        <w:t>thanks to solar and wind power. In 2023 alone, these two sources contributed an additional 9.3 terawatt-hours of renewable energy to Australia's grids.</w:t>
      </w:r>
      <w:r w:rsidR="003837AC" w:rsidRPr="002322B7">
        <w:rPr>
          <w:lang w:val="en-AU"/>
        </w:rPr>
        <w:t xml:space="preserve"> </w:t>
      </w:r>
      <w:r w:rsidR="0028607A">
        <w:rPr>
          <w:lang w:val="en-AU"/>
        </w:rPr>
        <w:t xml:space="preserve">Looking forward, </w:t>
      </w:r>
      <w:r w:rsidR="004F54E2" w:rsidRPr="002322B7">
        <w:rPr>
          <w:lang w:val="en-AU"/>
        </w:rPr>
        <w:t xml:space="preserve">Australia is targeting 82% renewable energy in our electricity grids by 2030. </w:t>
      </w:r>
      <w:r w:rsidR="00D70BC9" w:rsidRPr="002322B7">
        <w:rPr>
          <w:lang w:val="en-AU"/>
        </w:rPr>
        <w:t xml:space="preserve">To </w:t>
      </w:r>
      <w:r w:rsidR="004F54E2" w:rsidRPr="002322B7">
        <w:rPr>
          <w:lang w:val="en-AU"/>
        </w:rPr>
        <w:t>meet</w:t>
      </w:r>
      <w:r w:rsidR="00D70BC9" w:rsidRPr="002322B7">
        <w:rPr>
          <w:lang w:val="en-AU"/>
        </w:rPr>
        <w:t xml:space="preserve"> this </w:t>
      </w:r>
      <w:r w:rsidR="004F54E2" w:rsidRPr="002322B7">
        <w:rPr>
          <w:lang w:val="en-AU"/>
        </w:rPr>
        <w:t>target</w:t>
      </w:r>
      <w:r w:rsidR="00D70BC9" w:rsidRPr="002322B7">
        <w:rPr>
          <w:lang w:val="en-AU"/>
        </w:rPr>
        <w:t>, the country's electricity grid will need significant upgrades</w:t>
      </w:r>
      <w:r w:rsidR="006E4A8A">
        <w:rPr>
          <w:lang w:val="en-AU"/>
        </w:rPr>
        <w:t xml:space="preserve">, which </w:t>
      </w:r>
      <w:r w:rsidR="00A14E93">
        <w:rPr>
          <w:lang w:val="en-AU"/>
        </w:rPr>
        <w:t xml:space="preserve">will </w:t>
      </w:r>
      <w:r w:rsidR="00F010E3" w:rsidRPr="002322B7">
        <w:rPr>
          <w:lang w:val="en-AU"/>
        </w:rPr>
        <w:t>open</w:t>
      </w:r>
      <w:r w:rsidR="006E4A8A">
        <w:rPr>
          <w:lang w:val="en-AU"/>
        </w:rPr>
        <w:t xml:space="preserve"> </w:t>
      </w:r>
      <w:r w:rsidR="00C93222">
        <w:rPr>
          <w:lang w:val="en-AU"/>
        </w:rPr>
        <w:t xml:space="preserve">up </w:t>
      </w:r>
      <w:r w:rsidR="00D70BC9" w:rsidRPr="002322B7">
        <w:rPr>
          <w:lang w:val="en-AU"/>
        </w:rPr>
        <w:t>new opportunities for investment.</w:t>
      </w:r>
    </w:p>
    <w:p w14:paraId="233F846F" w14:textId="25B86C25" w:rsidR="00F96AE3" w:rsidRDefault="00783DE8" w:rsidP="00F96AE3">
      <w:pPr>
        <w:pStyle w:val="Caption"/>
      </w:pPr>
      <w:bookmarkStart w:id="50" w:name="_Toc171500368"/>
      <w:bookmarkStart w:id="51" w:name="_Toc164678056"/>
      <w:r w:rsidRPr="002322B7">
        <w:t xml:space="preserve">Figure </w:t>
      </w:r>
      <w:r w:rsidR="00CF16FA">
        <w:fldChar w:fldCharType="begin"/>
      </w:r>
      <w:r w:rsidR="00CF16FA">
        <w:instrText xml:space="preserve"> SEQ Figure \* ARABIC </w:instrText>
      </w:r>
      <w:r w:rsidR="00CF16FA">
        <w:fldChar w:fldCharType="separate"/>
      </w:r>
      <w:r w:rsidR="002459CF">
        <w:rPr>
          <w:noProof/>
        </w:rPr>
        <w:t>12</w:t>
      </w:r>
      <w:r w:rsidR="00CF16FA">
        <w:rPr>
          <w:noProof/>
        </w:rPr>
        <w:fldChar w:fldCharType="end"/>
      </w:r>
      <w:r w:rsidR="00F96AE3" w:rsidRPr="002322B7">
        <w:t xml:space="preserve"> – Australia’s renewable energy generation volumes and world rankings</w:t>
      </w:r>
      <w:bookmarkEnd w:id="50"/>
    </w:p>
    <w:p w14:paraId="04678052" w14:textId="28A07A79" w:rsidR="00B65EBC" w:rsidRPr="00B65EBC" w:rsidRDefault="00881029" w:rsidP="00B65EBC">
      <w:r>
        <w:rPr>
          <w:noProof/>
        </w:rPr>
        <w:drawing>
          <wp:inline distT="0" distB="0" distL="0" distR="0" wp14:anchorId="2271E23F" wp14:editId="66A45B43">
            <wp:extent cx="6336030" cy="4508500"/>
            <wp:effectExtent l="0" t="0" r="7620" b="6350"/>
            <wp:docPr id="1597374679" name="Picture 22" descr="The graph plots Australia's renewable energy generation by year and type. &#10;The graph contains the following information: &#10;Hydropower 14.21 TWh in 2015, 17.93 TWh in 2016, 13.75 TWh in 2017, 17.53 TWh in 2018, 14.39 TWh in 2019, 14.81 TWh in 2020, 16.38 TWh in 2021, 17.37 TWh in 2022, 15.98 TWh in 2023.  Wind energy 11.83 TWh in 2015, 13.04 TWh in 2016, 13.21 TWh in 2017, 16.26 TWh in 2018, 19.47 TWh in 2019, 22.61 TWh in 2020, 26.8 TWh in 2021, 30.05 TWh in 2022, 31.87 TWh in 2023. Solar PV 6.2 TWh in 2015, 7.44 TWh in 2016, 8.92 TWh in 2017, 12.33 TWh in 2018, 18.3 TWh in 2019, 23.84 TWh in 2020, 31.19 TWh in 2021, 37.54 TWh in 2022, 44.99 TWh in 2023.  Bioenergy 3.68 TWh in 2015, 3.63 TWh in 2016, 3.56 TWh in 2017, 3.59 TWh in 2018, 3.47 TWh in 2019, 3.41 TWh in 2020, 3.34 TWh in 2021, 3.19 TWh in 2022, 3.13 TWh in 2023. TOTAL 253.98 TWh in 2015, 258.22 TWh in 2016, 258.97 TWh in 2017, 262.63 TWh in 2018, 265.9 TWh in 2019, 265.16 TWh in 2020, 267.45 TWh in 2021, 272.92 TWh in 2022, 273.11 TWh in 2023. Renewables % of total electricity generation (right-hand side) 3.7% in 2015; 3.6% in 2016; 3.6% in 2017; 3.6% in 2018; 3.5% in 2019; 3.4% in 2020; 3.3% in 2021; 3.2% in 2022; 3.1% in 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74679" name="Picture 22" descr="The graph plots Australia's renewable energy generation by year and type. &#10;The graph contains the following information: &#10;Hydropower 14.21 TWh in 2015, 17.93 TWh in 2016, 13.75 TWh in 2017, 17.53 TWh in 2018, 14.39 TWh in 2019, 14.81 TWh in 2020, 16.38 TWh in 2021, 17.37 TWh in 2022, 15.98 TWh in 2023.  Wind energy 11.83 TWh in 2015, 13.04 TWh in 2016, 13.21 TWh in 2017, 16.26 TWh in 2018, 19.47 TWh in 2019, 22.61 TWh in 2020, 26.8 TWh in 2021, 30.05 TWh in 2022, 31.87 TWh in 2023. Solar PV 6.2 TWh in 2015, 7.44 TWh in 2016, 8.92 TWh in 2017, 12.33 TWh in 2018, 18.3 TWh in 2019, 23.84 TWh in 2020, 31.19 TWh in 2021, 37.54 TWh in 2022, 44.99 TWh in 2023.  Bioenergy 3.68 TWh in 2015, 3.63 TWh in 2016, 3.56 TWh in 2017, 3.59 TWh in 2018, 3.47 TWh in 2019, 3.41 TWh in 2020, 3.34 TWh in 2021, 3.19 TWh in 2022, 3.13 TWh in 2023. TOTAL 253.98 TWh in 2015, 258.22 TWh in 2016, 258.97 TWh in 2017, 262.63 TWh in 2018, 265.9 TWh in 2019, 265.16 TWh in 2020, 267.45 TWh in 2021, 272.92 TWh in 2022, 273.11 TWh in 2023. Renewables % of total electricity generation (right-hand side) 3.7% in 2015; 3.6% in 2016; 3.6% in 2017; 3.6% in 2018; 3.5% in 2019; 3.4% in 2020; 3.3% in 2021; 3.2% in 2022; 3.1% in 2023. &#10;"/>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6336030" cy="4508500"/>
                    </a:xfrm>
                    <a:prstGeom prst="rect">
                      <a:avLst/>
                    </a:prstGeom>
                    <a:ln>
                      <a:noFill/>
                    </a:ln>
                    <a:extLst>
                      <a:ext uri="{53640926-AAD7-44D8-BBD7-CCE9431645EC}">
                        <a14:shadowObscured xmlns:a14="http://schemas.microsoft.com/office/drawing/2010/main"/>
                      </a:ext>
                    </a:extLst>
                  </pic:spPr>
                </pic:pic>
              </a:graphicData>
            </a:graphic>
          </wp:inline>
        </w:drawing>
      </w:r>
    </w:p>
    <w:bookmarkEnd w:id="51"/>
    <w:p w14:paraId="0DDFE81E" w14:textId="58B33EED" w:rsidR="00F96AE3" w:rsidRPr="002322B7" w:rsidRDefault="00F96AE3" w:rsidP="00F96AE3">
      <w:pPr>
        <w:pStyle w:val="Sourcesandnotes"/>
      </w:pPr>
      <w:r w:rsidRPr="002322B7">
        <w:rPr>
          <w:b/>
          <w:bCs/>
        </w:rPr>
        <w:t>Sources:</w:t>
      </w:r>
      <w:r w:rsidRPr="002322B7">
        <w:t xml:space="preserve"> U.S. Energy Information Administration, 2023, International energy statistics;</w:t>
      </w:r>
      <w:r w:rsidR="00FF6476" w:rsidRPr="002322B7">
        <w:t xml:space="preserve"> Department of Industry, Science, Energy and Resources (2024) Australian Energy Statistics;</w:t>
      </w:r>
      <w:r w:rsidRPr="002322B7">
        <w:t xml:space="preserve"> Department of Climate Change, Energy, the Environment and Water, 2023, Government backs next-generation renewable technology, December 2022; Snowy Hydro, 2024, About Snowy 2.0; Austrade.</w:t>
      </w:r>
    </w:p>
    <w:p w14:paraId="1E977AEF" w14:textId="77777777" w:rsidR="00FD7AB4" w:rsidRPr="002322B7" w:rsidRDefault="00FD7AB4" w:rsidP="009E7878"/>
    <w:p w14:paraId="3453D960" w14:textId="77777777" w:rsidR="00FD7AB4" w:rsidRPr="002322B7" w:rsidRDefault="00FD7AB4" w:rsidP="00FD7AB4">
      <w:pPr>
        <w:pStyle w:val="Heading-level2"/>
      </w:pPr>
      <w:bookmarkStart w:id="52" w:name="_Toc164678013"/>
      <w:bookmarkStart w:id="53" w:name="_Toc165471200"/>
      <w:bookmarkStart w:id="54" w:name="_Toc171500320"/>
      <w:r w:rsidRPr="002322B7">
        <w:lastRenderedPageBreak/>
        <w:t>Solar power: Australia’s next gold rush</w:t>
      </w:r>
      <w:bookmarkEnd w:id="52"/>
      <w:bookmarkEnd w:id="53"/>
      <w:bookmarkEnd w:id="54"/>
      <w:r w:rsidRPr="002322B7">
        <w:t xml:space="preserve"> </w:t>
      </w:r>
    </w:p>
    <w:p w14:paraId="0FC6F458" w14:textId="781D4321" w:rsidR="009E7878" w:rsidRPr="002322B7" w:rsidRDefault="00841E89" w:rsidP="003F1867">
      <w:pPr>
        <w:pStyle w:val="Body-copy"/>
        <w:rPr>
          <w:lang w:val="en-AU"/>
        </w:rPr>
      </w:pPr>
      <w:bookmarkStart w:id="55" w:name="_Hlk164759033"/>
      <w:r w:rsidRPr="002322B7">
        <w:rPr>
          <w:lang w:val="en-AU"/>
        </w:rPr>
        <w:t xml:space="preserve">Australia </w:t>
      </w:r>
      <w:r>
        <w:rPr>
          <w:lang w:val="en-AU"/>
        </w:rPr>
        <w:t xml:space="preserve">is </w:t>
      </w:r>
      <w:r w:rsidRPr="002322B7">
        <w:rPr>
          <w:lang w:val="en-AU"/>
        </w:rPr>
        <w:t>one of the best locations for solar energy</w:t>
      </w:r>
      <w:r w:rsidR="0098319B">
        <w:rPr>
          <w:lang w:val="en-AU"/>
        </w:rPr>
        <w:t xml:space="preserve"> globally.</w:t>
      </w:r>
      <w:r w:rsidRPr="002322B7">
        <w:rPr>
          <w:lang w:val="en-AU"/>
        </w:rPr>
        <w:t xml:space="preserve"> </w:t>
      </w:r>
      <w:r w:rsidR="00B45471" w:rsidRPr="002322B7">
        <w:rPr>
          <w:lang w:val="en-AU"/>
        </w:rPr>
        <w:t>The Australian</w:t>
      </w:r>
      <w:r w:rsidR="00CF0DC5" w:rsidRPr="002322B7">
        <w:rPr>
          <w:lang w:val="en-AU"/>
        </w:rPr>
        <w:t xml:space="preserve"> continent receive</w:t>
      </w:r>
      <w:r w:rsidR="00311E86" w:rsidRPr="002322B7">
        <w:rPr>
          <w:lang w:val="en-AU"/>
        </w:rPr>
        <w:t>s</w:t>
      </w:r>
      <w:r w:rsidR="00CF0DC5" w:rsidRPr="002322B7">
        <w:rPr>
          <w:lang w:val="en-AU"/>
        </w:rPr>
        <w:t xml:space="preserve"> the highest </w:t>
      </w:r>
      <w:r w:rsidR="006057A7" w:rsidRPr="002322B7">
        <w:rPr>
          <w:lang w:val="en-AU"/>
        </w:rPr>
        <w:t>level of</w:t>
      </w:r>
      <w:r w:rsidR="00CF0DC5" w:rsidRPr="002322B7">
        <w:rPr>
          <w:lang w:val="en-AU"/>
        </w:rPr>
        <w:t xml:space="preserve"> solar radiation per square met</w:t>
      </w:r>
      <w:r w:rsidR="00884851">
        <w:rPr>
          <w:lang w:val="en-AU"/>
        </w:rPr>
        <w:t>re</w:t>
      </w:r>
      <w:r w:rsidR="00CF0DC5" w:rsidRPr="002322B7">
        <w:rPr>
          <w:lang w:val="en-AU"/>
        </w:rPr>
        <w:t xml:space="preserve"> </w:t>
      </w:r>
      <w:r w:rsidR="00592288" w:rsidRPr="002322B7">
        <w:rPr>
          <w:lang w:val="en-AU"/>
        </w:rPr>
        <w:t>in the world</w:t>
      </w:r>
      <w:r w:rsidR="008404C3">
        <w:rPr>
          <w:lang w:val="en-AU"/>
        </w:rPr>
        <w:t xml:space="preserve"> and our nation</w:t>
      </w:r>
      <w:r w:rsidR="007202FD" w:rsidRPr="002322B7">
        <w:rPr>
          <w:lang w:val="en-AU"/>
        </w:rPr>
        <w:t xml:space="preserve"> </w:t>
      </w:r>
      <w:r w:rsidR="00CB0937">
        <w:rPr>
          <w:lang w:val="en-AU"/>
        </w:rPr>
        <w:t>w</w:t>
      </w:r>
      <w:r w:rsidR="007202FD" w:rsidRPr="002322B7">
        <w:rPr>
          <w:lang w:val="en-AU"/>
        </w:rPr>
        <w:t>as</w:t>
      </w:r>
      <w:r w:rsidR="00CB0937">
        <w:rPr>
          <w:lang w:val="en-AU"/>
        </w:rPr>
        <w:t xml:space="preserve"> ranked as having</w:t>
      </w:r>
      <w:r w:rsidR="007202FD" w:rsidRPr="002322B7">
        <w:rPr>
          <w:lang w:val="en-AU"/>
        </w:rPr>
        <w:t xml:space="preserve"> the </w:t>
      </w:r>
      <w:r w:rsidR="00E83713" w:rsidRPr="002322B7">
        <w:rPr>
          <w:lang w:val="en-AU"/>
        </w:rPr>
        <w:t>2</w:t>
      </w:r>
      <w:r w:rsidR="00E83713" w:rsidRPr="002322B7">
        <w:rPr>
          <w:vertAlign w:val="superscript"/>
          <w:lang w:val="en-AU"/>
        </w:rPr>
        <w:t>nd</w:t>
      </w:r>
      <w:r w:rsidR="00A67BB6" w:rsidRPr="002322B7">
        <w:rPr>
          <w:lang w:val="en-AU"/>
        </w:rPr>
        <w:t>-</w:t>
      </w:r>
      <w:r w:rsidR="00326686" w:rsidRPr="002322B7">
        <w:rPr>
          <w:lang w:val="en-AU"/>
        </w:rPr>
        <w:t>highest potential</w:t>
      </w:r>
      <w:r w:rsidR="007202FD" w:rsidRPr="002322B7">
        <w:rPr>
          <w:lang w:val="en-AU"/>
        </w:rPr>
        <w:t xml:space="preserve"> </w:t>
      </w:r>
      <w:r w:rsidR="00326686" w:rsidRPr="002322B7">
        <w:rPr>
          <w:lang w:val="en-AU"/>
        </w:rPr>
        <w:t>for solar power</w:t>
      </w:r>
      <w:r w:rsidR="00697D21" w:rsidRPr="002322B7">
        <w:rPr>
          <w:lang w:val="en-AU"/>
        </w:rPr>
        <w:t xml:space="preserve">. </w:t>
      </w:r>
      <w:r w:rsidR="009E7878" w:rsidRPr="002322B7">
        <w:rPr>
          <w:lang w:val="en-AU"/>
        </w:rPr>
        <w:t xml:space="preserve">Australians are </w:t>
      </w:r>
      <w:r w:rsidR="00505728">
        <w:rPr>
          <w:lang w:val="en-AU"/>
        </w:rPr>
        <w:t xml:space="preserve">also </w:t>
      </w:r>
      <w:r w:rsidR="009E7878" w:rsidRPr="002322B7">
        <w:rPr>
          <w:lang w:val="en-AU"/>
        </w:rPr>
        <w:t>keen adopters of solar power for domestic use with over 3.7 million photovoltaic (PV) installations by late 2023</w:t>
      </w:r>
      <w:r w:rsidR="007B4FF5" w:rsidRPr="002322B7">
        <w:rPr>
          <w:lang w:val="en-AU"/>
        </w:rPr>
        <w:t>. These installations</w:t>
      </w:r>
      <w:r w:rsidR="009E7878" w:rsidRPr="002322B7">
        <w:rPr>
          <w:lang w:val="en-AU"/>
        </w:rPr>
        <w:t xml:space="preserve"> collectively generate over 34 gigawatts of power. </w:t>
      </w:r>
      <w:r w:rsidR="00035BC1">
        <w:rPr>
          <w:lang w:val="en-AU"/>
        </w:rPr>
        <w:t>This s</w:t>
      </w:r>
      <w:r w:rsidR="009E7878" w:rsidRPr="002322B7">
        <w:rPr>
          <w:lang w:val="en-AU"/>
        </w:rPr>
        <w:t xml:space="preserve">trong consumer uptake is helping to </w:t>
      </w:r>
      <w:r w:rsidR="008A2C25" w:rsidRPr="002322B7">
        <w:rPr>
          <w:lang w:val="en-AU"/>
        </w:rPr>
        <w:t>drive</w:t>
      </w:r>
      <w:r w:rsidR="009E7878" w:rsidRPr="002322B7">
        <w:rPr>
          <w:lang w:val="en-AU"/>
        </w:rPr>
        <w:t xml:space="preserve"> investment in the solar industry </w:t>
      </w:r>
      <w:r w:rsidR="00127058" w:rsidRPr="002322B7">
        <w:rPr>
          <w:lang w:val="en-AU"/>
        </w:rPr>
        <w:t xml:space="preserve">in Australia, </w:t>
      </w:r>
      <w:r w:rsidR="00C007A6" w:rsidRPr="002322B7">
        <w:rPr>
          <w:lang w:val="en-AU"/>
        </w:rPr>
        <w:t xml:space="preserve">and </w:t>
      </w:r>
      <w:r w:rsidR="001359E3">
        <w:rPr>
          <w:lang w:val="en-AU"/>
        </w:rPr>
        <w:t xml:space="preserve">demand for </w:t>
      </w:r>
      <w:r w:rsidR="00592288" w:rsidRPr="002322B7">
        <w:rPr>
          <w:lang w:val="en-AU"/>
        </w:rPr>
        <w:t>power</w:t>
      </w:r>
      <w:r w:rsidR="008A2C25" w:rsidRPr="002322B7">
        <w:rPr>
          <w:lang w:val="en-AU"/>
        </w:rPr>
        <w:t>-</w:t>
      </w:r>
      <w:r w:rsidR="009E7878" w:rsidRPr="002322B7">
        <w:rPr>
          <w:lang w:val="en-AU"/>
        </w:rPr>
        <w:t>storage technologies</w:t>
      </w:r>
      <w:r w:rsidR="00127058" w:rsidRPr="002322B7">
        <w:rPr>
          <w:lang w:val="en-AU"/>
        </w:rPr>
        <w:t>.</w:t>
      </w:r>
      <w:r w:rsidR="009E7878" w:rsidRPr="002322B7">
        <w:rPr>
          <w:lang w:val="en-AU"/>
        </w:rPr>
        <w:t xml:space="preserve"> </w:t>
      </w:r>
    </w:p>
    <w:p w14:paraId="5E989DD9" w14:textId="0F983A45" w:rsidR="00FD7AB4" w:rsidRPr="002322B7" w:rsidRDefault="009E7878" w:rsidP="00FD7AB4">
      <w:pPr>
        <w:pStyle w:val="Caption"/>
      </w:pPr>
      <w:bookmarkStart w:id="56" w:name="_Toc164678059"/>
      <w:bookmarkStart w:id="57" w:name="_Toc171500369"/>
      <w:bookmarkEnd w:id="55"/>
      <w:r w:rsidRPr="002322B7">
        <w:t xml:space="preserve">Figure </w:t>
      </w:r>
      <w:r w:rsidR="00CF16FA">
        <w:fldChar w:fldCharType="begin"/>
      </w:r>
      <w:r w:rsidR="00CF16FA">
        <w:instrText xml:space="preserve"> SEQ Figure \* ARABIC </w:instrText>
      </w:r>
      <w:r w:rsidR="00CF16FA">
        <w:fldChar w:fldCharType="separate"/>
      </w:r>
      <w:r w:rsidR="002459CF">
        <w:rPr>
          <w:noProof/>
        </w:rPr>
        <w:t>13</w:t>
      </w:r>
      <w:r w:rsidR="00CF16FA">
        <w:rPr>
          <w:noProof/>
        </w:rPr>
        <w:fldChar w:fldCharType="end"/>
      </w:r>
      <w:r w:rsidR="00FB652B" w:rsidRPr="002322B7">
        <w:t xml:space="preserve"> </w:t>
      </w:r>
      <w:r w:rsidR="00FD7AB4" w:rsidRPr="002322B7">
        <w:t xml:space="preserve">– Solar power potential¹, </w:t>
      </w:r>
      <w:r w:rsidR="00372C38">
        <w:t>t</w:t>
      </w:r>
      <w:r w:rsidR="00FD7AB4" w:rsidRPr="002322B7">
        <w:t>op 20 regions</w:t>
      </w:r>
      <w:bookmarkEnd w:id="56"/>
      <w:bookmarkEnd w:id="57"/>
    </w:p>
    <w:p w14:paraId="1FEC6B6B" w14:textId="316DAB95" w:rsidR="00FD7AB4" w:rsidRPr="002322B7" w:rsidRDefault="00186C1E" w:rsidP="00FD7AB4">
      <w:r>
        <w:rPr>
          <w:noProof/>
        </w:rPr>
        <w:drawing>
          <wp:inline distT="0" distB="0" distL="0" distR="0" wp14:anchorId="1072B3D1" wp14:editId="59CE9E86">
            <wp:extent cx="6336030" cy="4588510"/>
            <wp:effectExtent l="0" t="0" r="7620" b="2540"/>
            <wp:docPr id="484268000" name="Picture 23" descr="The graph plots the solar power potential for the top 20 regions, expressed in terawatts per day. The information, including each country's ranking in brackets, is as follows:&#10;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8000" name="Picture 23" descr="The graph plots the solar power potential for the top 20 regions, expressed in terawatts per day. The information, including each country's ranking in brackets, is as follows:&#10;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6336030" cy="4588510"/>
                    </a:xfrm>
                    <a:prstGeom prst="rect">
                      <a:avLst/>
                    </a:prstGeom>
                    <a:ln>
                      <a:noFill/>
                    </a:ln>
                    <a:extLst>
                      <a:ext uri="{53640926-AAD7-44D8-BBD7-CCE9431645EC}">
                        <a14:shadowObscured xmlns:a14="http://schemas.microsoft.com/office/drawing/2010/main"/>
                      </a:ext>
                    </a:extLst>
                  </pic:spPr>
                </pic:pic>
              </a:graphicData>
            </a:graphic>
          </wp:inline>
        </w:drawing>
      </w:r>
    </w:p>
    <w:p w14:paraId="4BE1BCB1" w14:textId="70C92BCE" w:rsidR="00FD7AB4" w:rsidRPr="002322B7" w:rsidRDefault="00FD7AB4" w:rsidP="00FD7AB4">
      <w:pPr>
        <w:pStyle w:val="Sourcesandnotes"/>
      </w:pPr>
      <w:r w:rsidRPr="002322B7">
        <w:rPr>
          <w:b/>
          <w:bCs/>
        </w:rPr>
        <w:t>Note: 1.</w:t>
      </w:r>
      <w:r w:rsidRPr="002322B7">
        <w:t xml:space="preserve"> Measured by theoretical potential solar photovoltaic power. </w:t>
      </w:r>
    </w:p>
    <w:p w14:paraId="2E109D75" w14:textId="77777777" w:rsidR="00FD7AB4" w:rsidRPr="002322B7" w:rsidRDefault="00FD7AB4" w:rsidP="00FD7AB4">
      <w:pPr>
        <w:pStyle w:val="Sourcesandnotes"/>
      </w:pPr>
      <w:r w:rsidRPr="002322B7">
        <w:rPr>
          <w:b/>
          <w:bCs/>
        </w:rPr>
        <w:t>Sources:</w:t>
      </w:r>
      <w:r w:rsidRPr="002322B7">
        <w:t xml:space="preserve"> The World Bank, 2023, Global photovoltaic power potential by country; Geoscience Australia, 2023, Australia’s solar energy resources and production; US Office of Energy Efficiency and Renewable Energy, 2023, How much power is 1 gigawatt?; Australian Photovoltaic Institute, 2024, Market Analyses (apvi.org.au); Austrade. </w:t>
      </w:r>
    </w:p>
    <w:p w14:paraId="5CE35ABB" w14:textId="77777777" w:rsidR="00A86FFE" w:rsidRPr="002322B7" w:rsidRDefault="00A86FFE" w:rsidP="00A86FFE">
      <w:pPr>
        <w:pStyle w:val="Heading-level2"/>
      </w:pPr>
      <w:bookmarkStart w:id="58" w:name="_Toc164678010"/>
      <w:bookmarkStart w:id="59" w:name="_Toc165471197"/>
      <w:bookmarkStart w:id="60" w:name="_Toc171500321"/>
      <w:r w:rsidRPr="002322B7">
        <w:lastRenderedPageBreak/>
        <w:t>The southern hemisphere’s solar powerhouse</w:t>
      </w:r>
      <w:bookmarkEnd w:id="58"/>
      <w:bookmarkEnd w:id="59"/>
      <w:bookmarkEnd w:id="60"/>
    </w:p>
    <w:p w14:paraId="191CB298" w14:textId="6104572A" w:rsidR="00A86FFE" w:rsidRPr="002322B7" w:rsidRDefault="00A86FFE" w:rsidP="003F1867">
      <w:pPr>
        <w:pStyle w:val="Body-copy"/>
        <w:rPr>
          <w:lang w:val="en-AU"/>
        </w:rPr>
      </w:pPr>
      <w:r w:rsidRPr="4FEBF9DC">
        <w:rPr>
          <w:lang w:val="en-AU"/>
        </w:rPr>
        <w:t xml:space="preserve">Australia </w:t>
      </w:r>
      <w:r w:rsidR="00DB1764" w:rsidRPr="4FEBF9DC">
        <w:rPr>
          <w:lang w:val="en-AU"/>
        </w:rPr>
        <w:t xml:space="preserve">was </w:t>
      </w:r>
      <w:r w:rsidRPr="4FEBF9DC">
        <w:rPr>
          <w:lang w:val="en-AU"/>
        </w:rPr>
        <w:t>ranked the world's 6</w:t>
      </w:r>
      <w:r w:rsidRPr="4FEBF9DC">
        <w:rPr>
          <w:vertAlign w:val="superscript"/>
          <w:lang w:val="en-AU"/>
        </w:rPr>
        <w:t>th</w:t>
      </w:r>
      <w:r w:rsidRPr="4FEBF9DC">
        <w:rPr>
          <w:lang w:val="en-AU"/>
        </w:rPr>
        <w:t xml:space="preserve">-largest producer of solar power in 2022, generating a total of 40 </w:t>
      </w:r>
      <w:r w:rsidR="00854067" w:rsidRPr="4FEBF9DC">
        <w:rPr>
          <w:lang w:val="en-AU"/>
        </w:rPr>
        <w:t>terawatt-hour</w:t>
      </w:r>
      <w:r w:rsidR="005B7402" w:rsidRPr="4FEBF9DC">
        <w:rPr>
          <w:lang w:val="en-AU"/>
        </w:rPr>
        <w:t>s</w:t>
      </w:r>
      <w:r w:rsidRPr="4FEBF9DC">
        <w:rPr>
          <w:lang w:val="en-AU"/>
        </w:rPr>
        <w:t xml:space="preserve">. Australia now produces nearly double the solar power of Mexico and the UK combined. </w:t>
      </w:r>
      <w:r w:rsidR="004F61D6" w:rsidRPr="4FEBF9DC">
        <w:rPr>
          <w:lang w:val="en-AU"/>
        </w:rPr>
        <w:t>In per capita terms, Australia became the world's largest producer of solar electricity in 2022</w:t>
      </w:r>
      <w:r w:rsidR="00AE14F1" w:rsidRPr="4FEBF9DC">
        <w:rPr>
          <w:lang w:val="en-AU"/>
        </w:rPr>
        <w:t xml:space="preserve"> at</w:t>
      </w:r>
      <w:r w:rsidR="005E6528" w:rsidRPr="4FEBF9DC">
        <w:rPr>
          <w:lang w:val="en-AU"/>
        </w:rPr>
        <w:t xml:space="preserve"> </w:t>
      </w:r>
      <w:r w:rsidR="00CF17ED" w:rsidRPr="4FEBF9DC">
        <w:rPr>
          <w:lang w:val="en-AU"/>
        </w:rPr>
        <w:t>1,500</w:t>
      </w:r>
      <w:r w:rsidR="004F61D6" w:rsidRPr="4FEBF9DC">
        <w:rPr>
          <w:lang w:val="en-AU"/>
        </w:rPr>
        <w:t xml:space="preserve"> kilowatt-hours (</w:t>
      </w:r>
      <w:r w:rsidR="00EF0FBD" w:rsidRPr="4FEBF9DC">
        <w:rPr>
          <w:lang w:val="en-AU"/>
        </w:rPr>
        <w:t>k</w:t>
      </w:r>
      <w:r w:rsidR="004F61D6" w:rsidRPr="4FEBF9DC">
        <w:rPr>
          <w:lang w:val="en-AU"/>
        </w:rPr>
        <w:t>Wh) generated per person</w:t>
      </w:r>
      <w:r w:rsidR="00FA6BAC" w:rsidRPr="4FEBF9DC">
        <w:rPr>
          <w:lang w:val="en-AU"/>
        </w:rPr>
        <w:t>. This was</w:t>
      </w:r>
      <w:r w:rsidR="00A33155" w:rsidRPr="4FEBF9DC">
        <w:rPr>
          <w:lang w:val="en-AU"/>
        </w:rPr>
        <w:t xml:space="preserve"> higher than the </w:t>
      </w:r>
      <w:r w:rsidR="00FE7A31" w:rsidRPr="4FEBF9DC">
        <w:rPr>
          <w:lang w:val="en-AU"/>
        </w:rPr>
        <w:t>Netherlands</w:t>
      </w:r>
      <w:r w:rsidR="00A33155" w:rsidRPr="4FEBF9DC">
        <w:rPr>
          <w:lang w:val="en-AU"/>
        </w:rPr>
        <w:t xml:space="preserve"> (</w:t>
      </w:r>
      <w:r w:rsidR="00FE7A31" w:rsidRPr="4FEBF9DC">
        <w:rPr>
          <w:lang w:val="en-AU"/>
        </w:rPr>
        <w:t>997 k</w:t>
      </w:r>
      <w:r w:rsidR="00283A86" w:rsidRPr="4FEBF9DC">
        <w:rPr>
          <w:lang w:val="en-AU"/>
        </w:rPr>
        <w:t>W</w:t>
      </w:r>
      <w:r w:rsidR="00FE7A31" w:rsidRPr="4FEBF9DC">
        <w:rPr>
          <w:lang w:val="en-AU"/>
        </w:rPr>
        <w:t>h</w:t>
      </w:r>
      <w:r w:rsidR="00CF1179" w:rsidRPr="4FEBF9DC">
        <w:rPr>
          <w:lang w:val="en-AU"/>
        </w:rPr>
        <w:t xml:space="preserve"> per person</w:t>
      </w:r>
      <w:r w:rsidR="00FE7A31" w:rsidRPr="4FEBF9DC">
        <w:rPr>
          <w:lang w:val="en-AU"/>
        </w:rPr>
        <w:t>), Japan (</w:t>
      </w:r>
      <w:r w:rsidR="00566BCE" w:rsidRPr="4FEBF9DC">
        <w:rPr>
          <w:lang w:val="en-AU"/>
        </w:rPr>
        <w:t>745 k</w:t>
      </w:r>
      <w:r w:rsidR="00283A86" w:rsidRPr="4FEBF9DC">
        <w:rPr>
          <w:lang w:val="en-AU"/>
        </w:rPr>
        <w:t>W</w:t>
      </w:r>
      <w:r w:rsidR="00566BCE" w:rsidRPr="4FEBF9DC">
        <w:rPr>
          <w:lang w:val="en-AU"/>
        </w:rPr>
        <w:t>h</w:t>
      </w:r>
      <w:r w:rsidR="00CF1179" w:rsidRPr="4FEBF9DC">
        <w:rPr>
          <w:lang w:val="en-AU"/>
        </w:rPr>
        <w:t xml:space="preserve"> per person</w:t>
      </w:r>
      <w:r w:rsidR="00566BCE" w:rsidRPr="4FEBF9DC">
        <w:rPr>
          <w:lang w:val="en-AU"/>
        </w:rPr>
        <w:t xml:space="preserve">) </w:t>
      </w:r>
      <w:r w:rsidR="007B6BA1" w:rsidRPr="4FEBF9DC">
        <w:rPr>
          <w:lang w:val="en-AU"/>
        </w:rPr>
        <w:t>and</w:t>
      </w:r>
      <w:r w:rsidR="00B2508E" w:rsidRPr="4FEBF9DC">
        <w:rPr>
          <w:lang w:val="en-AU"/>
        </w:rPr>
        <w:t xml:space="preserve"> </w:t>
      </w:r>
      <w:r w:rsidR="00555D33" w:rsidRPr="4FEBF9DC">
        <w:rPr>
          <w:lang w:val="en-AU"/>
        </w:rPr>
        <w:t>Germany (</w:t>
      </w:r>
      <w:r w:rsidR="008041AE" w:rsidRPr="4FEBF9DC">
        <w:rPr>
          <w:lang w:val="en-AU"/>
        </w:rPr>
        <w:t>691 k</w:t>
      </w:r>
      <w:r w:rsidR="000E4253" w:rsidRPr="4FEBF9DC">
        <w:rPr>
          <w:lang w:val="en-AU"/>
        </w:rPr>
        <w:t>W</w:t>
      </w:r>
      <w:r w:rsidR="008041AE" w:rsidRPr="4FEBF9DC">
        <w:rPr>
          <w:lang w:val="en-AU"/>
        </w:rPr>
        <w:t>h</w:t>
      </w:r>
      <w:r w:rsidR="00CF1179" w:rsidRPr="4FEBF9DC">
        <w:rPr>
          <w:lang w:val="en-AU"/>
        </w:rPr>
        <w:t xml:space="preserve"> per </w:t>
      </w:r>
      <w:r w:rsidR="00B22A24" w:rsidRPr="4FEBF9DC">
        <w:rPr>
          <w:lang w:val="en-AU"/>
        </w:rPr>
        <w:t>person</w:t>
      </w:r>
      <w:r w:rsidR="008041AE" w:rsidRPr="4FEBF9DC">
        <w:rPr>
          <w:lang w:val="en-AU"/>
        </w:rPr>
        <w:t>)</w:t>
      </w:r>
      <w:r w:rsidR="004F61D6" w:rsidRPr="4FEBF9DC">
        <w:rPr>
          <w:lang w:val="en-AU"/>
        </w:rPr>
        <w:t xml:space="preserve">. </w:t>
      </w:r>
      <w:r w:rsidRPr="4FEBF9DC">
        <w:rPr>
          <w:lang w:val="en-AU"/>
        </w:rPr>
        <w:t>Mega projects include the 26</w:t>
      </w:r>
      <w:r w:rsidR="00D17C74">
        <w:rPr>
          <w:lang w:val="en-AU"/>
        </w:rPr>
        <w:t xml:space="preserve"> </w:t>
      </w:r>
      <w:r w:rsidR="00774EDC" w:rsidRPr="00774EDC">
        <w:rPr>
          <w:lang w:val="en-AU"/>
        </w:rPr>
        <w:t>gigawatt</w:t>
      </w:r>
      <w:r w:rsidRPr="4FEBF9DC">
        <w:rPr>
          <w:lang w:val="en-AU"/>
        </w:rPr>
        <w:t xml:space="preserve"> Australian Renewable Energy Hub (AREH). Located in the Pilbara region of Western Australia, the 6,500 km</w:t>
      </w:r>
      <w:r w:rsidRPr="4FEBF9DC">
        <w:rPr>
          <w:vertAlign w:val="superscript"/>
          <w:lang w:val="en-AU"/>
        </w:rPr>
        <w:t>2</w:t>
      </w:r>
      <w:r w:rsidRPr="4FEBF9DC">
        <w:rPr>
          <w:lang w:val="en-AU"/>
        </w:rPr>
        <w:t xml:space="preserve"> wind and solar AREH project will export green hydrogen. </w:t>
      </w:r>
    </w:p>
    <w:p w14:paraId="7CFC31F4" w14:textId="05B13CEA" w:rsidR="00A86FFE" w:rsidRDefault="00A86FFE" w:rsidP="00A86FFE">
      <w:pPr>
        <w:pStyle w:val="Caption"/>
      </w:pPr>
      <w:bookmarkStart w:id="61" w:name="_Toc171500370"/>
      <w:r w:rsidRPr="002322B7">
        <w:t xml:space="preserve">Figure </w:t>
      </w:r>
      <w:r w:rsidR="00CF16FA">
        <w:fldChar w:fldCharType="begin"/>
      </w:r>
      <w:r w:rsidR="00CF16FA">
        <w:instrText xml:space="preserve"> SEQ Figure \* ARABIC </w:instrText>
      </w:r>
      <w:r w:rsidR="00CF16FA">
        <w:fldChar w:fldCharType="separate"/>
      </w:r>
      <w:r w:rsidR="002459CF">
        <w:rPr>
          <w:noProof/>
        </w:rPr>
        <w:t>14</w:t>
      </w:r>
      <w:r w:rsidR="00CF16FA">
        <w:rPr>
          <w:noProof/>
        </w:rPr>
        <w:fldChar w:fldCharType="end"/>
      </w:r>
      <w:r w:rsidRPr="002322B7">
        <w:rPr>
          <w:noProof/>
        </w:rPr>
        <w:t xml:space="preserve"> </w:t>
      </w:r>
      <w:r w:rsidRPr="002322B7">
        <w:t>– Electricity generated by solar – selected regions</w:t>
      </w:r>
      <w:bookmarkEnd w:id="61"/>
    </w:p>
    <w:p w14:paraId="069DAA56" w14:textId="2DF5FD2A" w:rsidR="00186C1E" w:rsidRPr="00186C1E" w:rsidRDefault="00186C1E" w:rsidP="00186C1E">
      <w:r>
        <w:rPr>
          <w:noProof/>
        </w:rPr>
        <w:drawing>
          <wp:inline distT="0" distB="0" distL="0" distR="0" wp14:anchorId="50FDFBE3" wp14:editId="46A59840">
            <wp:extent cx="6300000" cy="4767372"/>
            <wp:effectExtent l="0" t="0" r="5715" b="0"/>
            <wp:docPr id="1290196062" name="Picture 24" descr="The graph plots the electricity generated by solar energy in 2022, expressed in terawatts-hour per capita. &#10;The information, including each country's ranking in brackets, is as follows: 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96062" name="Picture 24" descr="The graph plots the electricity generated by solar energy in 2022, expressed in terawatts-hour per capita. &#10;The information, including each country's ranking in brackets, is as follows: Russia (1) 51 trillion; Australia (2) 44 trillion; Brazil (3) 44 trillion; US (4) 41 trillion; China (5) 39 trillion; Canada (6) 30 trillion; India (7) 15 trillion; Algeria (8) 14 trillion; Argentina (9) 14 trillion; Saudi Arabia (10) 13 trillion; Congo (11) 12 trillion; Mexico (12) 11 trillion; Libya (13) 11 trillion; Kazakhstan (14) 10 trillion; Iran (15) 9 trillion; Indonesia (16) 8 trillion; Niger (17) 8 trillion; Chad (18) 8 trillion; Mali (19) 7 trillion; and Angola (20) 7 trillion.&#10;"/>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6300000" cy="4767372"/>
                    </a:xfrm>
                    <a:prstGeom prst="rect">
                      <a:avLst/>
                    </a:prstGeom>
                    <a:ln>
                      <a:noFill/>
                    </a:ln>
                    <a:extLst>
                      <a:ext uri="{53640926-AAD7-44D8-BBD7-CCE9431645EC}">
                        <a14:shadowObscured xmlns:a14="http://schemas.microsoft.com/office/drawing/2010/main"/>
                      </a:ext>
                    </a:extLst>
                  </pic:spPr>
                </pic:pic>
              </a:graphicData>
            </a:graphic>
          </wp:inline>
        </w:drawing>
      </w:r>
    </w:p>
    <w:p w14:paraId="3861FD5B" w14:textId="77777777" w:rsidR="00A86FFE" w:rsidRPr="002322B7" w:rsidRDefault="00A86FFE" w:rsidP="00A86FFE">
      <w:pPr>
        <w:pStyle w:val="Sourcesandnotes"/>
      </w:pPr>
      <w:r w:rsidRPr="002322B7">
        <w:rPr>
          <w:b/>
          <w:bCs/>
        </w:rPr>
        <w:t>Note: 1.</w:t>
      </w:r>
      <w:r w:rsidRPr="002322B7">
        <w:t xml:space="preserve"> The number in brackets indicates the economy’s ranking across 210 economies.</w:t>
      </w:r>
    </w:p>
    <w:p w14:paraId="224156EA" w14:textId="77777777" w:rsidR="00A86FFE" w:rsidRPr="002322B7" w:rsidRDefault="00A86FFE" w:rsidP="00A86FFE">
      <w:pPr>
        <w:pStyle w:val="Sourcesandnotes"/>
      </w:pPr>
      <w:r w:rsidRPr="002322B7">
        <w:rPr>
          <w:b/>
          <w:bCs/>
        </w:rPr>
        <w:t>Sources:</w:t>
      </w:r>
      <w:r w:rsidRPr="002322B7">
        <w:t xml:space="preserve"> The World Bank, 2024, The world bank open data; U.S. Energy Information Administration, 2024, Electricity data; Worldometer, 2024, Population by country; all accessed on 19 April 2024, Austrade.</w:t>
      </w:r>
    </w:p>
    <w:p w14:paraId="4E754C19" w14:textId="77777777" w:rsidR="00FD7AB4" w:rsidRPr="002322B7" w:rsidRDefault="00FD7AB4" w:rsidP="00FD7AB4">
      <w:pPr>
        <w:pStyle w:val="Sourcesandnotes"/>
      </w:pPr>
    </w:p>
    <w:p w14:paraId="04F53693" w14:textId="77777777" w:rsidR="00FD7AB4" w:rsidRPr="002322B7" w:rsidRDefault="00FD7AB4" w:rsidP="00FD7AB4">
      <w:pPr>
        <w:pStyle w:val="Heading-level2"/>
      </w:pPr>
      <w:bookmarkStart w:id="62" w:name="_Toc164678014"/>
      <w:bookmarkStart w:id="63" w:name="_Toc165471201"/>
      <w:bookmarkStart w:id="64" w:name="_Toc171500322"/>
      <w:r w:rsidRPr="002322B7">
        <w:lastRenderedPageBreak/>
        <w:t>Efficient solar power generation</w:t>
      </w:r>
      <w:bookmarkEnd w:id="62"/>
      <w:bookmarkEnd w:id="63"/>
      <w:bookmarkEnd w:id="64"/>
    </w:p>
    <w:p w14:paraId="4E3B508F" w14:textId="7F65BDB1" w:rsidR="009E7878" w:rsidRPr="002322B7" w:rsidRDefault="009E7878" w:rsidP="003F1867">
      <w:pPr>
        <w:pStyle w:val="Body-copy"/>
        <w:rPr>
          <w:lang w:val="en-AU"/>
        </w:rPr>
      </w:pPr>
      <w:bookmarkStart w:id="65" w:name="_Hlk164759483"/>
      <w:r w:rsidRPr="4FEBF9DC">
        <w:rPr>
          <w:lang w:val="en-AU"/>
        </w:rPr>
        <w:t xml:space="preserve">Australia’s competitiveness in solar power </w:t>
      </w:r>
      <w:r w:rsidR="00CB0D75" w:rsidRPr="4FEBF9DC">
        <w:rPr>
          <w:lang w:val="en-AU"/>
        </w:rPr>
        <w:t xml:space="preserve">is due to </w:t>
      </w:r>
      <w:r w:rsidR="00D26D52" w:rsidRPr="4FEBF9DC">
        <w:rPr>
          <w:lang w:val="en-AU"/>
        </w:rPr>
        <w:t>its</w:t>
      </w:r>
      <w:r w:rsidRPr="4FEBF9DC">
        <w:rPr>
          <w:lang w:val="en-AU"/>
        </w:rPr>
        <w:t xml:space="preserve"> weather, </w:t>
      </w:r>
      <w:r w:rsidR="00CB0D75" w:rsidRPr="4FEBF9DC">
        <w:rPr>
          <w:lang w:val="en-AU"/>
        </w:rPr>
        <w:t xml:space="preserve">ideal </w:t>
      </w:r>
      <w:r w:rsidRPr="4FEBF9DC">
        <w:rPr>
          <w:lang w:val="en-AU"/>
        </w:rPr>
        <w:t xml:space="preserve">geography, supportive regulation and an efficient market. Our costs </w:t>
      </w:r>
      <w:r w:rsidR="00164039" w:rsidRPr="4FEBF9DC">
        <w:rPr>
          <w:lang w:val="en-AU"/>
        </w:rPr>
        <w:t>for</w:t>
      </w:r>
      <w:r w:rsidRPr="4FEBF9DC">
        <w:rPr>
          <w:lang w:val="en-AU"/>
        </w:rPr>
        <w:t xml:space="preserve"> solar power production fell by 91% from 2010 to 2024</w:t>
      </w:r>
      <w:r w:rsidR="00C15E25" w:rsidRPr="4FEBF9DC">
        <w:rPr>
          <w:lang w:val="en-AU"/>
        </w:rPr>
        <w:t xml:space="preserve"> and </w:t>
      </w:r>
      <w:r w:rsidRPr="4FEBF9DC">
        <w:rPr>
          <w:lang w:val="en-AU"/>
        </w:rPr>
        <w:t>IRE</w:t>
      </w:r>
      <w:r w:rsidR="001A25E8" w:rsidRPr="4FEBF9DC">
        <w:rPr>
          <w:lang w:val="en-AU"/>
        </w:rPr>
        <w:t>N</w:t>
      </w:r>
      <w:r w:rsidRPr="4FEBF9DC">
        <w:rPr>
          <w:lang w:val="en-AU"/>
        </w:rPr>
        <w:t xml:space="preserve">A </w:t>
      </w:r>
      <w:r w:rsidR="0050567B" w:rsidRPr="4FEBF9DC">
        <w:rPr>
          <w:lang w:val="en-AU"/>
        </w:rPr>
        <w:t xml:space="preserve">now </w:t>
      </w:r>
      <w:r w:rsidRPr="4FEBF9DC">
        <w:rPr>
          <w:lang w:val="en-AU"/>
        </w:rPr>
        <w:t>rank</w:t>
      </w:r>
      <w:r w:rsidR="0050567B" w:rsidRPr="4FEBF9DC">
        <w:rPr>
          <w:lang w:val="en-AU"/>
        </w:rPr>
        <w:t>s</w:t>
      </w:r>
      <w:r w:rsidRPr="4FEBF9DC">
        <w:rPr>
          <w:lang w:val="en-AU"/>
        </w:rPr>
        <w:t xml:space="preserve"> Australia</w:t>
      </w:r>
      <w:r w:rsidR="0050567B" w:rsidRPr="4FEBF9DC">
        <w:rPr>
          <w:lang w:val="en-AU"/>
        </w:rPr>
        <w:t xml:space="preserve"> as</w:t>
      </w:r>
      <w:r w:rsidRPr="4FEBF9DC">
        <w:rPr>
          <w:lang w:val="en-AU"/>
        </w:rPr>
        <w:t xml:space="preserve"> the 5</w:t>
      </w:r>
      <w:r w:rsidRPr="4FEBF9DC">
        <w:rPr>
          <w:vertAlign w:val="superscript"/>
          <w:lang w:val="en-AU"/>
        </w:rPr>
        <w:t>th</w:t>
      </w:r>
      <w:r w:rsidRPr="4FEBF9DC">
        <w:rPr>
          <w:lang w:val="en-AU"/>
        </w:rPr>
        <w:t>-most affordable nation for large-scale solar power production in the world. These low generating costs are set to attract further investment in solar power and associated grid infrastructure.</w:t>
      </w:r>
    </w:p>
    <w:p w14:paraId="548E6FC4" w14:textId="0B1C78CA" w:rsidR="00FD7AB4" w:rsidRDefault="00FB652B" w:rsidP="00FD7AB4">
      <w:pPr>
        <w:pStyle w:val="Caption"/>
      </w:pPr>
      <w:bookmarkStart w:id="66" w:name="_Toc164678060"/>
      <w:bookmarkStart w:id="67" w:name="_Toc171500371"/>
      <w:bookmarkEnd w:id="65"/>
      <w:r w:rsidRPr="002322B7">
        <w:t xml:space="preserve">Figure </w:t>
      </w:r>
      <w:r w:rsidR="00CF16FA">
        <w:fldChar w:fldCharType="begin"/>
      </w:r>
      <w:r w:rsidR="00CF16FA">
        <w:instrText xml:space="preserve"> SEQ Figure \* ARABIC </w:instrText>
      </w:r>
      <w:r w:rsidR="00CF16FA">
        <w:fldChar w:fldCharType="separate"/>
      </w:r>
      <w:r w:rsidR="002459CF">
        <w:rPr>
          <w:noProof/>
        </w:rPr>
        <w:t>15</w:t>
      </w:r>
      <w:r w:rsidR="00CF16FA">
        <w:rPr>
          <w:noProof/>
        </w:rPr>
        <w:fldChar w:fldCharType="end"/>
      </w:r>
      <w:r w:rsidRPr="002322B7">
        <w:t xml:space="preserve"> </w:t>
      </w:r>
      <w:r w:rsidR="00FD7AB4" w:rsidRPr="002322B7">
        <w:t>– Cost of solar power generation by region¹, 2022</w:t>
      </w:r>
      <w:bookmarkEnd w:id="66"/>
      <w:bookmarkEnd w:id="67"/>
    </w:p>
    <w:p w14:paraId="580AEA52" w14:textId="485EEA2A" w:rsidR="00083783" w:rsidRPr="00083783" w:rsidRDefault="00083783" w:rsidP="00083783">
      <w:r>
        <w:rPr>
          <w:noProof/>
        </w:rPr>
        <w:drawing>
          <wp:inline distT="0" distB="0" distL="0" distR="0" wp14:anchorId="3038D00A" wp14:editId="1599C19E">
            <wp:extent cx="6336030" cy="4761230"/>
            <wp:effectExtent l="0" t="0" r="7620" b="1270"/>
            <wp:docPr id="1702547878" name="Picture 25" descr="The graph plots the cost of solar power generation by region in 2022, expressed in US dollars per megawatt-hour. The information, including each country's ranking in brackets, is as follows: Japan (19) US$96 per megawatt-hour; Denmark (18) US$93 per megawatt-hour; Netherlands (17) US$90 per megawatt-hour; Germany (16) US$80 per megawatt-hour; Korea (15) US$74 per megawatt-hour; Türkiye (13) US$71 per megawatt-hour; Canada (12) US$67 per megawatt-hour; Mexico (11) US$66 per megawatt-hour; France (10) US$62 per megawatt-hour; US (9) US$58 per megawatt-hour; Brazil (8) US$53 per megawatt-hour; Chile (6) US$42 per megawatt-hour; Australia (5) US$41 per megawatt-hour; India (4) US$37 per megawatt-hour; China (3) US$37 per megawatt-hour; Saudi Arabia (2) US$36 per megawatt-hour; and UAE (1) US$26 per megawatt-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47878" name="Picture 25" descr="The graph plots the cost of solar power generation by region in 2022, expressed in US dollars per megawatt-hour. The information, including each country's ranking in brackets, is as follows: Japan (19) US$96 per megawatt-hour; Denmark (18) US$93 per megawatt-hour; Netherlands (17) US$90 per megawatt-hour; Germany (16) US$80 per megawatt-hour; Korea (15) US$74 per megawatt-hour; Türkiye (13) US$71 per megawatt-hour; Canada (12) US$67 per megawatt-hour; Mexico (11) US$66 per megawatt-hour; France (10) US$62 per megawatt-hour; US (9) US$58 per megawatt-hour; Brazil (8) US$53 per megawatt-hour; Chile (6) US$42 per megawatt-hour; Australia (5) US$41 per megawatt-hour; India (4) US$37 per megawatt-hour; China (3) US$37 per megawatt-hour; Saudi Arabia (2) US$36 per megawatt-hour; and UAE (1) US$26 per megawatt-hour."/>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6336030" cy="4761230"/>
                    </a:xfrm>
                    <a:prstGeom prst="rect">
                      <a:avLst/>
                    </a:prstGeom>
                    <a:ln>
                      <a:noFill/>
                    </a:ln>
                    <a:extLst>
                      <a:ext uri="{53640926-AAD7-44D8-BBD7-CCE9431645EC}">
                        <a14:shadowObscured xmlns:a14="http://schemas.microsoft.com/office/drawing/2010/main"/>
                      </a:ext>
                    </a:extLst>
                  </pic:spPr>
                </pic:pic>
              </a:graphicData>
            </a:graphic>
          </wp:inline>
        </w:drawing>
      </w:r>
    </w:p>
    <w:p w14:paraId="1A21F97E" w14:textId="53C0B4EE" w:rsidR="00FD7AB4" w:rsidRPr="002322B7" w:rsidRDefault="00FD7AB4" w:rsidP="00FD7AB4">
      <w:pPr>
        <w:pStyle w:val="Sourcesandnotes"/>
      </w:pPr>
      <w:bookmarkStart w:id="68" w:name="_Hlk164669664"/>
      <w:r w:rsidRPr="002322B7">
        <w:rPr>
          <w:b/>
          <w:bCs/>
        </w:rPr>
        <w:t>Note: 1.</w:t>
      </w:r>
      <w:r w:rsidRPr="002322B7">
        <w:t xml:space="preserve"> The ranking is based on the average levelised cost of energy (LCOE) from a solar photovoltaic (PV) utility-scale plant across the top 20 producers. The LCOE measures the cost of producing a unit of energy, taking into account the cost of the PV technology, capital expenditure, operation costs, and the discount rate over the typical PV plant lifetime. </w:t>
      </w:r>
    </w:p>
    <w:bookmarkEnd w:id="68"/>
    <w:p w14:paraId="246D0382" w14:textId="4AB24AD8" w:rsidR="00FD7AB4" w:rsidRPr="002322B7" w:rsidRDefault="00FD7AB4" w:rsidP="00FD7AB4">
      <w:pPr>
        <w:pStyle w:val="Sourcesandnotes"/>
      </w:pPr>
      <w:r w:rsidRPr="002322B7">
        <w:rPr>
          <w:b/>
          <w:bCs/>
        </w:rPr>
        <w:t>Source:</w:t>
      </w:r>
      <w:r w:rsidRPr="002322B7">
        <w:t xml:space="preserve"> IRENA, 2023, Renewable Power Generation Costs in 2022, International Renewable Energy Agency, Abu Dhabi; Austrade.</w:t>
      </w:r>
    </w:p>
    <w:p w14:paraId="052C5691" w14:textId="77777777" w:rsidR="00FD7AB4" w:rsidRPr="002322B7" w:rsidRDefault="00FD7AB4" w:rsidP="00BA4330"/>
    <w:p w14:paraId="11019EF8" w14:textId="77777777" w:rsidR="009E7878" w:rsidRPr="002322B7" w:rsidRDefault="009E7878" w:rsidP="009E7878">
      <w:pPr>
        <w:spacing w:before="0" w:after="160" w:line="259" w:lineRule="auto"/>
      </w:pPr>
    </w:p>
    <w:p w14:paraId="61D87B7F" w14:textId="77777777" w:rsidR="00F96AE3" w:rsidRPr="002322B7" w:rsidRDefault="00F96AE3" w:rsidP="00F96AE3">
      <w:pPr>
        <w:pStyle w:val="Sourcesandnotes"/>
      </w:pPr>
    </w:p>
    <w:p w14:paraId="5F226B97" w14:textId="6BDDE390" w:rsidR="00121203" w:rsidRPr="002322B7" w:rsidRDefault="00121203" w:rsidP="00121203">
      <w:pPr>
        <w:pStyle w:val="Heading-level2"/>
      </w:pPr>
      <w:bookmarkStart w:id="69" w:name="_Toc164678012"/>
      <w:bookmarkStart w:id="70" w:name="_Toc165471199"/>
      <w:bookmarkStart w:id="71" w:name="_Toc171500323"/>
      <w:r w:rsidRPr="002322B7">
        <w:lastRenderedPageBreak/>
        <w:t>Investment in industrial-scale hydrogen</w:t>
      </w:r>
      <w:bookmarkEnd w:id="69"/>
      <w:bookmarkEnd w:id="70"/>
      <w:bookmarkEnd w:id="71"/>
    </w:p>
    <w:p w14:paraId="468668AE" w14:textId="0388480D" w:rsidR="00121203" w:rsidRPr="002322B7" w:rsidRDefault="00E303B3" w:rsidP="003F1867">
      <w:pPr>
        <w:pStyle w:val="Body-copy"/>
        <w:rPr>
          <w:lang w:val="en-AU"/>
        </w:rPr>
      </w:pPr>
      <w:r w:rsidRPr="002322B7">
        <w:rPr>
          <w:lang w:val="en-AU"/>
        </w:rPr>
        <w:t xml:space="preserve">Australia is on </w:t>
      </w:r>
      <w:r w:rsidR="002072D4" w:rsidRPr="002322B7">
        <w:rPr>
          <w:lang w:val="en-AU"/>
        </w:rPr>
        <w:t>track</w:t>
      </w:r>
      <w:r w:rsidRPr="002322B7">
        <w:rPr>
          <w:lang w:val="en-AU"/>
        </w:rPr>
        <w:t xml:space="preserve"> to be a</w:t>
      </w:r>
      <w:r w:rsidR="00A4368F" w:rsidRPr="002322B7">
        <w:rPr>
          <w:lang w:val="en-AU"/>
        </w:rPr>
        <w:t xml:space="preserve"> global leader in </w:t>
      </w:r>
      <w:r w:rsidRPr="002322B7">
        <w:rPr>
          <w:lang w:val="en-AU"/>
        </w:rPr>
        <w:t>hydrogen</w:t>
      </w:r>
      <w:r w:rsidR="00121203" w:rsidRPr="002322B7">
        <w:rPr>
          <w:lang w:val="en-AU"/>
        </w:rPr>
        <w:t xml:space="preserve">. </w:t>
      </w:r>
      <w:r w:rsidR="00A4368F" w:rsidRPr="002322B7">
        <w:rPr>
          <w:lang w:val="en-AU"/>
        </w:rPr>
        <w:t>Over</w:t>
      </w:r>
      <w:r w:rsidR="00121203" w:rsidRPr="002322B7">
        <w:rPr>
          <w:lang w:val="en-AU"/>
        </w:rPr>
        <w:t xml:space="preserve"> 100 hydrogen projects are in active development</w:t>
      </w:r>
      <w:r w:rsidR="00634460" w:rsidRPr="002322B7">
        <w:rPr>
          <w:lang w:val="en-AU"/>
        </w:rPr>
        <w:t xml:space="preserve"> with</w:t>
      </w:r>
      <w:r w:rsidR="00751F14" w:rsidRPr="002322B7">
        <w:rPr>
          <w:lang w:val="en-AU"/>
        </w:rPr>
        <w:t xml:space="preserve"> up to </w:t>
      </w:r>
      <w:bookmarkStart w:id="72" w:name="_Hlk168562146"/>
      <w:r w:rsidR="00751F14" w:rsidRPr="002322B7">
        <w:rPr>
          <w:lang w:val="en-AU"/>
        </w:rPr>
        <w:t xml:space="preserve">A$300 billion </w:t>
      </w:r>
      <w:r w:rsidR="00851F2B" w:rsidRPr="002322B7">
        <w:rPr>
          <w:lang w:val="en-AU"/>
        </w:rPr>
        <w:t>in</w:t>
      </w:r>
      <w:r w:rsidR="00751F14" w:rsidRPr="002322B7">
        <w:rPr>
          <w:lang w:val="en-AU"/>
        </w:rPr>
        <w:t xml:space="preserve"> potential hydrogen investments</w:t>
      </w:r>
      <w:bookmarkEnd w:id="72"/>
      <w:r w:rsidR="00121203" w:rsidRPr="002322B7">
        <w:rPr>
          <w:lang w:val="en-AU"/>
        </w:rPr>
        <w:t xml:space="preserve">. Abundant wind and solar power </w:t>
      </w:r>
      <w:r w:rsidR="003C6B70">
        <w:rPr>
          <w:lang w:val="en-AU"/>
        </w:rPr>
        <w:t>are</w:t>
      </w:r>
      <w:r w:rsidR="00121203" w:rsidRPr="002322B7">
        <w:rPr>
          <w:lang w:val="en-AU"/>
        </w:rPr>
        <w:t xml:space="preserve"> supporting a rapid scaling of green hydrogen projects</w:t>
      </w:r>
      <w:r w:rsidR="001E1DEA">
        <w:rPr>
          <w:lang w:val="en-AU"/>
        </w:rPr>
        <w:t xml:space="preserve"> with </w:t>
      </w:r>
      <w:r w:rsidR="00121203" w:rsidRPr="002322B7">
        <w:rPr>
          <w:lang w:val="en-AU"/>
        </w:rPr>
        <w:t>Australia</w:t>
      </w:r>
      <w:r w:rsidR="00B558B6" w:rsidRPr="002322B7">
        <w:rPr>
          <w:lang w:val="en-AU"/>
        </w:rPr>
        <w:t xml:space="preserve"> </w:t>
      </w:r>
      <w:r w:rsidR="00121203" w:rsidRPr="002322B7">
        <w:rPr>
          <w:lang w:val="en-AU"/>
        </w:rPr>
        <w:t>set to become an exporter of green hydrogen to high</w:t>
      </w:r>
      <w:r w:rsidR="004D5087" w:rsidRPr="002322B7">
        <w:rPr>
          <w:lang w:val="en-AU"/>
        </w:rPr>
        <w:t>-</w:t>
      </w:r>
      <w:r w:rsidR="00121203" w:rsidRPr="002322B7">
        <w:rPr>
          <w:lang w:val="en-AU"/>
        </w:rPr>
        <w:t>demand hubs in Asia</w:t>
      </w:r>
      <w:r w:rsidR="00975981">
        <w:rPr>
          <w:lang w:val="en-AU"/>
        </w:rPr>
        <w:t xml:space="preserve"> like</w:t>
      </w:r>
      <w:r w:rsidR="00121203" w:rsidRPr="002322B7">
        <w:rPr>
          <w:lang w:val="en-AU"/>
        </w:rPr>
        <w:t xml:space="preserve"> Japan, Singapore and Korea. </w:t>
      </w:r>
      <w:r w:rsidR="008265E0">
        <w:rPr>
          <w:lang w:val="en-AU"/>
        </w:rPr>
        <w:t>In fact, t</w:t>
      </w:r>
      <w:r w:rsidR="00121203" w:rsidRPr="002322B7">
        <w:rPr>
          <w:lang w:val="en-AU"/>
        </w:rPr>
        <w:t xml:space="preserve">he </w:t>
      </w:r>
      <w:r w:rsidR="00FB2E84" w:rsidRPr="002322B7">
        <w:rPr>
          <w:lang w:val="en-AU"/>
        </w:rPr>
        <w:t>International Energy Agency (</w:t>
      </w:r>
      <w:r w:rsidR="00121203" w:rsidRPr="002322B7">
        <w:rPr>
          <w:lang w:val="en-AU"/>
        </w:rPr>
        <w:t>IEA</w:t>
      </w:r>
      <w:r w:rsidR="00FB2E84" w:rsidRPr="002322B7">
        <w:rPr>
          <w:lang w:val="en-AU"/>
        </w:rPr>
        <w:t>)</w:t>
      </w:r>
      <w:r w:rsidR="00121203" w:rsidRPr="002322B7">
        <w:rPr>
          <w:lang w:val="en-AU"/>
        </w:rPr>
        <w:t xml:space="preserve"> recognises Australia – along with Europe – as a leader in the development of the global hydrogen industry. </w:t>
      </w:r>
    </w:p>
    <w:p w14:paraId="2D6AB979" w14:textId="07C5F18F" w:rsidR="00121203" w:rsidRDefault="006719E7" w:rsidP="00121203">
      <w:pPr>
        <w:pStyle w:val="Caption"/>
      </w:pPr>
      <w:bookmarkStart w:id="73" w:name="_Toc164873539"/>
      <w:bookmarkStart w:id="74" w:name="_Toc171500372"/>
      <w:r w:rsidRPr="002322B7">
        <w:t xml:space="preserve">Figure </w:t>
      </w:r>
      <w:r w:rsidR="00CF16FA">
        <w:fldChar w:fldCharType="begin"/>
      </w:r>
      <w:r w:rsidR="00CF16FA">
        <w:instrText xml:space="preserve"> SEQ Figure \* ARABIC </w:instrText>
      </w:r>
      <w:r w:rsidR="00CF16FA">
        <w:fldChar w:fldCharType="separate"/>
      </w:r>
      <w:r w:rsidR="002459CF">
        <w:rPr>
          <w:noProof/>
        </w:rPr>
        <w:t>16</w:t>
      </w:r>
      <w:r w:rsidR="00CF16FA">
        <w:rPr>
          <w:noProof/>
        </w:rPr>
        <w:fldChar w:fldCharType="end"/>
      </w:r>
      <w:bookmarkEnd w:id="73"/>
      <w:r w:rsidR="00121203" w:rsidRPr="002322B7">
        <w:t xml:space="preserve"> – </w:t>
      </w:r>
      <w:r w:rsidR="0041624E">
        <w:t>A sample of</w:t>
      </w:r>
      <w:r w:rsidR="0041624E" w:rsidRPr="002322B7">
        <w:t xml:space="preserve"> </w:t>
      </w:r>
      <w:r w:rsidR="00121203" w:rsidRPr="002322B7">
        <w:t>hydrogen projects in Australia</w:t>
      </w:r>
      <w:bookmarkEnd w:id="74"/>
    </w:p>
    <w:p w14:paraId="2E9423BF" w14:textId="6C117C6F" w:rsidR="00083783" w:rsidRPr="00083783" w:rsidRDefault="00535382" w:rsidP="00083783">
      <w:r>
        <w:rPr>
          <w:noProof/>
        </w:rPr>
        <w:drawing>
          <wp:inline distT="0" distB="0" distL="0" distR="0" wp14:anchorId="75DFAD53" wp14:editId="267C9CD8">
            <wp:extent cx="6336030" cy="4217670"/>
            <wp:effectExtent l="0" t="0" r="7620" b="0"/>
            <wp:docPr id="127373705" name="Picture 26" descr="The map shows key hydrogen projects in Australia. When available, the expected production weight is shown in megawatts.&#10;The project names by state/territory are:&#10;Queensland: Edify Green Hydrogen Project (1,000); HyNQ (&gt;1,000); Central Queensland Hub (&gt;5,000); and Gibson Island Green Ammonia Feasibility (550).&#10;Western Australia: Australian Renewable Energy Hub (26,000); Western Green Energy Hub (50,000); HyEnergy Project; Murchison Hydrogen Renewables (3,000) ; H2Kwinana (418); and H2Perth (250).&#10;South Australia: Cape Hardy Hub (&gt;10,000); and Hydrogen Jobs Plan Whyalla (200).&#10;Tasmania: Bell Bay Powerfuels (240); H2TAS (300); and HIF Tasmania eFuels (250).&#10;Northern Territory: Green Springs Project (10,000); Darwin Hub (&gt;1,000); and Tiwi H2 (1,400).&#10;New South Wales: Hunter Hub (&gt;2,000); and Illawarra Hub (&gt;1000).&#10;Victoria: Liquefied Hydrogen Supply Chain Commercial Demonstration Project; ad Hydrogen Portland (2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705" name="Picture 26" descr="The map shows key hydrogen projects in Australia. When available, the expected production weight is shown in megawatts.&#10;The project names by state/territory are:&#10;Queensland: Edify Green Hydrogen Project (1,000); HyNQ (&gt;1,000); Central Queensland Hub (&gt;5,000); and Gibson Island Green Ammonia Feasibility (550).&#10;Western Australia: Australian Renewable Energy Hub (26,000); Western Green Energy Hub (50,000); HyEnergy Project; Murchison Hydrogen Renewables (3,000) ; H2Kwinana (418); and H2Perth (250).&#10;South Australia: Cape Hardy Hub (&gt;10,000); and Hydrogen Jobs Plan Whyalla (200).&#10;Tasmania: Bell Bay Powerfuels (240); H2TAS (300); and HIF Tasmania eFuels (250).&#10;Northern Territory: Green Springs Project (10,000); Darwin Hub (&gt;1,000); and Tiwi H2 (1,400).&#10;New South Wales: Hunter Hub (&gt;2,000); and Illawarra Hub (&gt;1000).&#10;Victoria: Liquefied Hydrogen Supply Chain Commercial Demonstration Project; ad Hydrogen Portland (220). &#10;"/>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6336030" cy="4217670"/>
                    </a:xfrm>
                    <a:prstGeom prst="rect">
                      <a:avLst/>
                    </a:prstGeom>
                    <a:ln>
                      <a:noFill/>
                    </a:ln>
                    <a:extLst>
                      <a:ext uri="{53640926-AAD7-44D8-BBD7-CCE9431645EC}">
                        <a14:shadowObscured xmlns:a14="http://schemas.microsoft.com/office/drawing/2010/main"/>
                      </a:ext>
                    </a:extLst>
                  </pic:spPr>
                </pic:pic>
              </a:graphicData>
            </a:graphic>
          </wp:inline>
        </w:drawing>
      </w:r>
    </w:p>
    <w:p w14:paraId="2F0268D2" w14:textId="711C0212" w:rsidR="00121203" w:rsidRPr="002322B7" w:rsidRDefault="00121203" w:rsidP="00121203">
      <w:pPr>
        <w:pStyle w:val="Sourcesandnotes"/>
      </w:pPr>
      <w:r w:rsidRPr="002322B7">
        <w:rPr>
          <w:b/>
          <w:bCs/>
        </w:rPr>
        <w:t>Note</w:t>
      </w:r>
      <w:r w:rsidR="005475BA">
        <w:rPr>
          <w:b/>
          <w:bCs/>
        </w:rPr>
        <w:t>s</w:t>
      </w:r>
      <w:r w:rsidRPr="002322B7">
        <w:rPr>
          <w:b/>
          <w:bCs/>
        </w:rPr>
        <w:t>: 1.</w:t>
      </w:r>
      <w:r w:rsidRPr="002322B7">
        <w:t xml:space="preserve"> The number</w:t>
      </w:r>
      <w:r w:rsidR="00C6484E" w:rsidRPr="002322B7">
        <w:t>s</w:t>
      </w:r>
      <w:r w:rsidRPr="002322B7">
        <w:t xml:space="preserve"> in brackets indicate project</w:t>
      </w:r>
      <w:r w:rsidR="00C6484E" w:rsidRPr="002322B7">
        <w:t>s’</w:t>
      </w:r>
      <w:r w:rsidRPr="002322B7">
        <w:t xml:space="preserve"> potential capacity in </w:t>
      </w:r>
      <w:r w:rsidR="00982891" w:rsidRPr="002322B7">
        <w:t>megawatt</w:t>
      </w:r>
      <w:r w:rsidR="00015821" w:rsidRPr="002322B7">
        <w:t>s</w:t>
      </w:r>
      <w:r w:rsidRPr="002322B7">
        <w:t xml:space="preserve">. </w:t>
      </w:r>
      <w:r w:rsidR="00A71BCE" w:rsidRPr="002322B7">
        <w:rPr>
          <w:b/>
          <w:bCs/>
        </w:rPr>
        <w:t>2.</w:t>
      </w:r>
      <w:r w:rsidR="00A71BCE" w:rsidRPr="002322B7">
        <w:t xml:space="preserve"> </w:t>
      </w:r>
      <w:r w:rsidR="004064CC" w:rsidRPr="002322B7">
        <w:t xml:space="preserve">Not all </w:t>
      </w:r>
      <w:r w:rsidR="00BF34A9" w:rsidRPr="002322B7">
        <w:t>k</w:t>
      </w:r>
      <w:r w:rsidR="00B3127D" w:rsidRPr="002322B7">
        <w:t xml:space="preserve">ey </w:t>
      </w:r>
      <w:r w:rsidR="00BF34A9" w:rsidRPr="002322B7">
        <w:t xml:space="preserve">hydrogen </w:t>
      </w:r>
      <w:r w:rsidR="00B3127D" w:rsidRPr="002322B7">
        <w:t>pro</w:t>
      </w:r>
      <w:r w:rsidR="00BF34A9" w:rsidRPr="002322B7">
        <w:t>ject</w:t>
      </w:r>
      <w:r w:rsidR="00EC00C4" w:rsidRPr="002322B7">
        <w:t>s</w:t>
      </w:r>
      <w:r w:rsidR="00BF34A9" w:rsidRPr="002322B7">
        <w:t xml:space="preserve"> </w:t>
      </w:r>
      <w:r w:rsidR="00EC00C4" w:rsidRPr="002322B7">
        <w:t>we</w:t>
      </w:r>
      <w:r w:rsidR="00BF34A9" w:rsidRPr="002322B7">
        <w:t xml:space="preserve">re included in the figure. </w:t>
      </w:r>
      <w:r w:rsidR="00A33866">
        <w:t>Please</w:t>
      </w:r>
      <w:r w:rsidR="00BF34A9">
        <w:t xml:space="preserve"> refer to </w:t>
      </w:r>
      <w:hyperlink r:id="rId30">
        <w:r w:rsidR="007B2074" w:rsidRPr="3097D46A">
          <w:rPr>
            <w:rStyle w:val="Hyperlink"/>
          </w:rPr>
          <w:t>https://www.csiro.au/en/maps/hydrogen-projects/</w:t>
        </w:r>
      </w:hyperlink>
      <w:r w:rsidR="007B2074">
        <w:t xml:space="preserve"> for a more comprehensive list.</w:t>
      </w:r>
    </w:p>
    <w:p w14:paraId="0A7BFC16" w14:textId="7097DAF0" w:rsidR="00121203" w:rsidRPr="002322B7" w:rsidRDefault="00121203" w:rsidP="00121203">
      <w:pPr>
        <w:pStyle w:val="Sourcesandnotes"/>
      </w:pPr>
      <w:r w:rsidRPr="002322B7">
        <w:rPr>
          <w:b/>
          <w:bCs/>
        </w:rPr>
        <w:t>Sources:</w:t>
      </w:r>
      <w:r w:rsidRPr="002322B7">
        <w:t xml:space="preserve"> Reuters, 2022, World’s first hydrogen tanker to ship test cargo to Japan from Australia; International Energy Agency, 2022, Global hydrogen review 2022; CSIRO, 2023, Hydrogen map; Geoscience Australia, 2022, Australian Hydrogen Projects dataset, September 2022; Government of South Australia, 2023, Port Bonython Hydrogen Hub; Goyder Renewables Zone, 2023, Renewable energy for South Australia; </w:t>
      </w:r>
      <w:r w:rsidR="00757FF5" w:rsidRPr="002322B7">
        <w:t xml:space="preserve">Department of Climate Change, Energy, the Environment and Water, 2024, Australia’s National Hydrogen Strategy; </w:t>
      </w:r>
      <w:r w:rsidRPr="002322B7">
        <w:t xml:space="preserve">Austrade. </w:t>
      </w:r>
    </w:p>
    <w:p w14:paraId="51828985" w14:textId="77777777" w:rsidR="00121203" w:rsidRPr="002322B7" w:rsidRDefault="00121203" w:rsidP="00121203">
      <w:pPr>
        <w:pStyle w:val="Sourcesandnotes"/>
      </w:pPr>
    </w:p>
    <w:p w14:paraId="1E2B259A" w14:textId="6791F0ED" w:rsidR="00564417" w:rsidRPr="002322B7" w:rsidRDefault="00564417" w:rsidP="00564417">
      <w:pPr>
        <w:pStyle w:val="Heading-level1"/>
      </w:pPr>
      <w:bookmarkStart w:id="75" w:name="_Toc165471176"/>
      <w:bookmarkStart w:id="76" w:name="_Toc171500324"/>
      <w:r w:rsidRPr="002322B7">
        <w:lastRenderedPageBreak/>
        <w:t>Chapter 3 – Our skills and innovation</w:t>
      </w:r>
      <w:bookmarkEnd w:id="75"/>
      <w:bookmarkEnd w:id="76"/>
    </w:p>
    <w:p w14:paraId="784E55DD" w14:textId="5D2B2454" w:rsidR="00564417" w:rsidRPr="002322B7" w:rsidRDefault="00564417" w:rsidP="00564417">
      <w:pPr>
        <w:pStyle w:val="Heading-level3"/>
      </w:pPr>
      <w:bookmarkStart w:id="77" w:name="_Toc165471177"/>
      <w:bookmarkStart w:id="78" w:name="_Toc170769056"/>
      <w:bookmarkStart w:id="79" w:name="_Toc171500325"/>
      <w:r w:rsidRPr="002322B7">
        <w:t>Top performers: from</w:t>
      </w:r>
      <w:r w:rsidR="002F3437">
        <w:t xml:space="preserve"> </w:t>
      </w:r>
      <w:r w:rsidR="001743FE">
        <w:t>academia to</w:t>
      </w:r>
      <w:r w:rsidR="002F3437">
        <w:t xml:space="preserve"> </w:t>
      </w:r>
      <w:r w:rsidR="009B6369">
        <w:t>quantum</w:t>
      </w:r>
      <w:bookmarkEnd w:id="77"/>
      <w:r w:rsidRPr="002322B7">
        <w:t xml:space="preserve"> </w:t>
      </w:r>
      <w:r w:rsidR="00663388">
        <w:t xml:space="preserve">and </w:t>
      </w:r>
      <w:r w:rsidR="00E00C89">
        <w:t>beyond</w:t>
      </w:r>
      <w:bookmarkEnd w:id="78"/>
      <w:bookmarkEnd w:id="79"/>
    </w:p>
    <w:p w14:paraId="70410614" w14:textId="26C6819D" w:rsidR="00564417" w:rsidRPr="002322B7" w:rsidRDefault="00564417" w:rsidP="00F03186">
      <w:pPr>
        <w:pStyle w:val="Body-copy"/>
        <w:rPr>
          <w:lang w:val="en-AU"/>
        </w:rPr>
      </w:pPr>
      <w:r w:rsidRPr="002322B7">
        <w:rPr>
          <w:lang w:val="en-AU"/>
        </w:rPr>
        <w:t>Australia is a highly</w:t>
      </w:r>
      <w:r w:rsidR="00686FE6">
        <w:rPr>
          <w:lang w:val="en-AU"/>
        </w:rPr>
        <w:t>-</w:t>
      </w:r>
      <w:r w:rsidRPr="002322B7">
        <w:rPr>
          <w:lang w:val="en-AU"/>
        </w:rPr>
        <w:t xml:space="preserve">skilled nation. </w:t>
      </w:r>
      <w:r w:rsidR="002D23FD" w:rsidRPr="002322B7">
        <w:rPr>
          <w:lang w:val="en-AU"/>
        </w:rPr>
        <w:t>Our</w:t>
      </w:r>
      <w:r w:rsidRPr="002322B7">
        <w:rPr>
          <w:lang w:val="en-AU"/>
        </w:rPr>
        <w:t xml:space="preserve"> technical colleges develop the skills needed by local industry, including agriculture and mining</w:t>
      </w:r>
      <w:r w:rsidR="002D23FD" w:rsidRPr="002322B7">
        <w:rPr>
          <w:lang w:val="en-AU"/>
        </w:rPr>
        <w:t>. Meanwhile,</w:t>
      </w:r>
      <w:r w:rsidRPr="002322B7">
        <w:rPr>
          <w:lang w:val="en-AU"/>
        </w:rPr>
        <w:t xml:space="preserve"> our universities create a highly capable professional workforce and entrepreneurs that power innovation in everything from med</w:t>
      </w:r>
      <w:r w:rsidR="000D1A36">
        <w:rPr>
          <w:lang w:val="en-AU"/>
        </w:rPr>
        <w:t xml:space="preserve">ical </w:t>
      </w:r>
      <w:r w:rsidRPr="002322B7">
        <w:rPr>
          <w:lang w:val="en-AU"/>
        </w:rPr>
        <w:t>tech</w:t>
      </w:r>
      <w:r w:rsidR="000D1A36">
        <w:rPr>
          <w:lang w:val="en-AU"/>
        </w:rPr>
        <w:t>nology</w:t>
      </w:r>
      <w:r w:rsidRPr="002322B7">
        <w:rPr>
          <w:lang w:val="en-AU"/>
        </w:rPr>
        <w:t xml:space="preserve"> to renewable energy.</w:t>
      </w:r>
    </w:p>
    <w:p w14:paraId="6CF6B557" w14:textId="43332234" w:rsidR="00564417" w:rsidRPr="002322B7" w:rsidRDefault="00663388" w:rsidP="00F03186">
      <w:pPr>
        <w:pStyle w:val="Body-copy"/>
        <w:rPr>
          <w:lang w:val="en-AU"/>
        </w:rPr>
      </w:pPr>
      <w:r w:rsidRPr="4FEBF9DC">
        <w:rPr>
          <w:lang w:val="en-AU"/>
        </w:rPr>
        <w:t>Australia is the 7</w:t>
      </w:r>
      <w:r w:rsidRPr="4FEBF9DC">
        <w:rPr>
          <w:vertAlign w:val="superscript"/>
          <w:lang w:val="en-AU"/>
        </w:rPr>
        <w:t>th</w:t>
      </w:r>
      <w:r w:rsidRPr="4FEBF9DC">
        <w:rPr>
          <w:lang w:val="en-AU"/>
        </w:rPr>
        <w:t>-largest spender on education in the world</w:t>
      </w:r>
      <w:r w:rsidR="004C78E3" w:rsidRPr="4FEBF9DC">
        <w:rPr>
          <w:lang w:val="en-AU"/>
        </w:rPr>
        <w:t>. T</w:t>
      </w:r>
      <w:r w:rsidRPr="4FEBF9DC">
        <w:rPr>
          <w:lang w:val="en-AU"/>
        </w:rPr>
        <w:t xml:space="preserve">his investment helps to generate the skills we need for our dynamic and advanced economy. </w:t>
      </w:r>
      <w:r w:rsidR="00763EFF" w:rsidRPr="4FEBF9DC">
        <w:rPr>
          <w:lang w:val="en-AU"/>
        </w:rPr>
        <w:t>E</w:t>
      </w:r>
      <w:r w:rsidR="00564417" w:rsidRPr="4FEBF9DC">
        <w:rPr>
          <w:lang w:val="en-AU"/>
        </w:rPr>
        <w:t>xpenditure</w:t>
      </w:r>
      <w:r w:rsidR="00763EFF" w:rsidRPr="4FEBF9DC">
        <w:rPr>
          <w:lang w:val="en-AU"/>
        </w:rPr>
        <w:t xml:space="preserve"> on formal education</w:t>
      </w:r>
      <w:r w:rsidR="00564417" w:rsidRPr="4FEBF9DC">
        <w:rPr>
          <w:lang w:val="en-AU"/>
        </w:rPr>
        <w:t xml:space="preserve"> in Australia </w:t>
      </w:r>
      <w:r w:rsidR="00763EFF" w:rsidRPr="4FEBF9DC">
        <w:rPr>
          <w:lang w:val="en-AU"/>
        </w:rPr>
        <w:t>is</w:t>
      </w:r>
      <w:r w:rsidR="00564417" w:rsidRPr="4FEBF9DC">
        <w:rPr>
          <w:lang w:val="en-AU"/>
        </w:rPr>
        <w:t xml:space="preserve"> equivalent to 6.2% of our GDP.</w:t>
      </w:r>
      <w:r w:rsidR="00DB3150" w:rsidRPr="4FEBF9DC">
        <w:rPr>
          <w:lang w:val="en-AU"/>
        </w:rPr>
        <w:t xml:space="preserve"> </w:t>
      </w:r>
      <w:r w:rsidR="00994C87" w:rsidRPr="4FEBF9DC">
        <w:rPr>
          <w:lang w:val="en-AU"/>
        </w:rPr>
        <w:t xml:space="preserve">As a result, </w:t>
      </w:r>
      <w:r w:rsidR="00DB3150" w:rsidRPr="4FEBF9DC">
        <w:rPr>
          <w:lang w:val="en-AU"/>
        </w:rPr>
        <w:t xml:space="preserve">Australia’s </w:t>
      </w:r>
      <w:r w:rsidR="00564417" w:rsidRPr="4FEBF9DC">
        <w:rPr>
          <w:lang w:val="en-AU"/>
        </w:rPr>
        <w:t xml:space="preserve">workforce </w:t>
      </w:r>
      <w:r w:rsidR="00DB3150" w:rsidRPr="4FEBF9DC">
        <w:rPr>
          <w:lang w:val="en-AU"/>
        </w:rPr>
        <w:t xml:space="preserve">is </w:t>
      </w:r>
      <w:r w:rsidR="00564417" w:rsidRPr="4FEBF9DC">
        <w:rPr>
          <w:lang w:val="en-AU"/>
        </w:rPr>
        <w:t>highly qualified</w:t>
      </w:r>
      <w:r w:rsidR="005C3AEB" w:rsidRPr="4FEBF9DC">
        <w:rPr>
          <w:lang w:val="en-AU"/>
        </w:rPr>
        <w:t xml:space="preserve"> </w:t>
      </w:r>
      <w:r w:rsidR="004078DA" w:rsidRPr="4FEBF9DC">
        <w:rPr>
          <w:lang w:val="en-AU"/>
        </w:rPr>
        <w:t>as</w:t>
      </w:r>
      <w:r w:rsidR="005C3AEB" w:rsidRPr="4FEBF9DC">
        <w:rPr>
          <w:lang w:val="en-AU"/>
        </w:rPr>
        <w:t xml:space="preserve"> a</w:t>
      </w:r>
      <w:r w:rsidR="00564417" w:rsidRPr="4FEBF9DC">
        <w:rPr>
          <w:lang w:val="en-AU"/>
        </w:rPr>
        <w:t xml:space="preserve">lmost half of our workers hold a tertiary </w:t>
      </w:r>
      <w:r w:rsidR="00BA09A3" w:rsidRPr="4FEBF9DC">
        <w:rPr>
          <w:lang w:val="en-AU"/>
        </w:rPr>
        <w:t>qualification</w:t>
      </w:r>
      <w:r w:rsidR="0063632E" w:rsidRPr="4FEBF9DC">
        <w:rPr>
          <w:lang w:val="en-AU"/>
        </w:rPr>
        <w:t xml:space="preserve">. Our workforce is also </w:t>
      </w:r>
      <w:r w:rsidR="00866232" w:rsidRPr="4FEBF9DC">
        <w:rPr>
          <w:lang w:val="en-AU"/>
        </w:rPr>
        <w:t>adaptive to change</w:t>
      </w:r>
      <w:r w:rsidR="004078DA" w:rsidRPr="4FEBF9DC">
        <w:rPr>
          <w:lang w:val="en-AU"/>
        </w:rPr>
        <w:t xml:space="preserve"> with </w:t>
      </w:r>
      <w:r w:rsidR="007107D3" w:rsidRPr="4FEBF9DC">
        <w:rPr>
          <w:lang w:val="en-AU"/>
        </w:rPr>
        <w:t>Australia</w:t>
      </w:r>
      <w:r w:rsidR="00866232" w:rsidRPr="4FEBF9DC">
        <w:rPr>
          <w:lang w:val="en-AU"/>
        </w:rPr>
        <w:t xml:space="preserve"> ranked </w:t>
      </w:r>
      <w:r w:rsidR="00AE23E5" w:rsidRPr="4FEBF9DC">
        <w:rPr>
          <w:lang w:val="en-AU"/>
        </w:rPr>
        <w:t>1</w:t>
      </w:r>
      <w:r w:rsidR="00AE23E5" w:rsidRPr="4FEBF9DC">
        <w:rPr>
          <w:vertAlign w:val="superscript"/>
          <w:lang w:val="en-AU"/>
        </w:rPr>
        <w:t>st</w:t>
      </w:r>
      <w:r w:rsidR="00564417" w:rsidRPr="4FEBF9DC">
        <w:rPr>
          <w:lang w:val="en-AU"/>
        </w:rPr>
        <w:t xml:space="preserve"> in the world for our </w:t>
      </w:r>
      <w:r w:rsidR="00B338F6" w:rsidRPr="00B338F6">
        <w:rPr>
          <w:lang w:val="en-AU"/>
        </w:rPr>
        <w:t>skills in using, adapting and adopting emerging technologies</w:t>
      </w:r>
      <w:r w:rsidR="00564417" w:rsidRPr="4FEBF9DC">
        <w:rPr>
          <w:lang w:val="en-AU"/>
        </w:rPr>
        <w:t xml:space="preserve">. </w:t>
      </w:r>
    </w:p>
    <w:p w14:paraId="7BCD499C" w14:textId="1F3078FB" w:rsidR="00922117" w:rsidRPr="002322B7" w:rsidRDefault="00922117" w:rsidP="00922117">
      <w:pPr>
        <w:pStyle w:val="Body-copy"/>
        <w:rPr>
          <w:lang w:val="en-AU"/>
        </w:rPr>
      </w:pPr>
      <w:r w:rsidRPr="002322B7">
        <w:rPr>
          <w:lang w:val="en-AU"/>
        </w:rPr>
        <w:t xml:space="preserve">We are also a top performer in the provision of higher education. Australia has more universities in the world’s top 100 than any other country outside of the US, China and the UK. Our scientific publications are highly ranked globally in terms of their impact in 19 separate academic fields, which include space science, clinical medicine, engineering and microbiology. </w:t>
      </w:r>
      <w:r w:rsidR="00581A8C">
        <w:rPr>
          <w:lang w:val="en-AU"/>
        </w:rPr>
        <w:t>A</w:t>
      </w:r>
      <w:r w:rsidRPr="002322B7">
        <w:rPr>
          <w:lang w:val="en-AU"/>
        </w:rPr>
        <w:t xml:space="preserve"> tradition of collaboration helps transform innovative research into functional solutions and new products. </w:t>
      </w:r>
    </w:p>
    <w:p w14:paraId="4F97BCA5" w14:textId="3B5F0877" w:rsidR="00564417" w:rsidRPr="002322B7" w:rsidRDefault="00564417" w:rsidP="00F03186">
      <w:pPr>
        <w:pStyle w:val="Body-copy"/>
        <w:rPr>
          <w:lang w:val="en-AU"/>
        </w:rPr>
      </w:pPr>
      <w:r w:rsidRPr="002322B7">
        <w:rPr>
          <w:lang w:val="en-AU"/>
        </w:rPr>
        <w:t>Australians have established a global reputation for creating new technologies in niche industries where we have a competitive advantage</w:t>
      </w:r>
      <w:r w:rsidR="00434544" w:rsidRPr="002322B7">
        <w:rPr>
          <w:lang w:val="en-AU"/>
        </w:rPr>
        <w:t>. These include</w:t>
      </w:r>
      <w:r w:rsidRPr="002322B7">
        <w:rPr>
          <w:lang w:val="en-AU"/>
        </w:rPr>
        <w:t xml:space="preserve"> </w:t>
      </w:r>
      <w:r w:rsidR="00987555">
        <w:rPr>
          <w:lang w:val="en-AU"/>
        </w:rPr>
        <w:t xml:space="preserve">mining and </w:t>
      </w:r>
      <w:r w:rsidRPr="002322B7">
        <w:rPr>
          <w:lang w:val="en-AU"/>
        </w:rPr>
        <w:t xml:space="preserve">resources, </w:t>
      </w:r>
      <w:r w:rsidR="007A56A3" w:rsidRPr="002322B7">
        <w:rPr>
          <w:lang w:val="en-AU"/>
        </w:rPr>
        <w:t xml:space="preserve">renewable energy, </w:t>
      </w:r>
      <w:r w:rsidR="00987555">
        <w:rPr>
          <w:lang w:val="en-AU"/>
        </w:rPr>
        <w:t>agriculture,</w:t>
      </w:r>
      <w:r w:rsidR="007A56A3" w:rsidRPr="002322B7">
        <w:rPr>
          <w:lang w:val="en-AU"/>
        </w:rPr>
        <w:t xml:space="preserve"> </w:t>
      </w:r>
      <w:r w:rsidRPr="002322B7">
        <w:rPr>
          <w:lang w:val="en-AU"/>
        </w:rPr>
        <w:t xml:space="preserve">finance, health and education. </w:t>
      </w:r>
      <w:r w:rsidR="00922117">
        <w:rPr>
          <w:lang w:val="en-AU"/>
        </w:rPr>
        <w:t>O</w:t>
      </w:r>
      <w:r w:rsidR="00922117" w:rsidRPr="002322B7">
        <w:rPr>
          <w:lang w:val="en-AU"/>
        </w:rPr>
        <w:t>ur organisations outperform our peers in the adoption of quantum computing, artificial intelligence (AI) and robotics.</w:t>
      </w:r>
    </w:p>
    <w:p w14:paraId="7913CA5B" w14:textId="3C0CF790" w:rsidR="00564417" w:rsidRPr="002322B7" w:rsidRDefault="00126735" w:rsidP="00D40B8A">
      <w:pPr>
        <w:pStyle w:val="Body-copy"/>
      </w:pPr>
      <w:r w:rsidRPr="00126735">
        <w:rPr>
          <w:lang w:val="en-AU"/>
        </w:rPr>
        <w:t>Australia has long supported businesses with favourable tax incentives</w:t>
      </w:r>
      <w:r>
        <w:rPr>
          <w:lang w:val="en-AU"/>
        </w:rPr>
        <w:t xml:space="preserve">, like </w:t>
      </w:r>
      <w:hyperlink r:id="rId31" w:history="1">
        <w:r w:rsidRPr="00BD45FA">
          <w:rPr>
            <w:rStyle w:val="Hyperlink"/>
            <w:lang w:val="en-AU"/>
          </w:rPr>
          <w:t>R&amp;D</w:t>
        </w:r>
        <w:r w:rsidR="00BD45FA" w:rsidRPr="00BD45FA">
          <w:rPr>
            <w:rStyle w:val="Hyperlink"/>
            <w:lang w:val="en-AU"/>
          </w:rPr>
          <w:t xml:space="preserve"> tax incentives</w:t>
        </w:r>
      </w:hyperlink>
      <w:r w:rsidRPr="00126735">
        <w:rPr>
          <w:lang w:val="en-AU"/>
        </w:rPr>
        <w:t xml:space="preserve"> and </w:t>
      </w:r>
      <w:hyperlink r:id="rId32" w:history="1">
        <w:r w:rsidRPr="009F07B5">
          <w:rPr>
            <w:rStyle w:val="Hyperlink"/>
            <w:lang w:val="en-AU"/>
          </w:rPr>
          <w:t>Venture Capital Limited Partnerships</w:t>
        </w:r>
      </w:hyperlink>
      <w:r w:rsidRPr="00126735">
        <w:rPr>
          <w:lang w:val="en-AU"/>
        </w:rPr>
        <w:t xml:space="preserve">. These efforts </w:t>
      </w:r>
      <w:r w:rsidR="00E57F56">
        <w:rPr>
          <w:lang w:val="en-AU"/>
        </w:rPr>
        <w:t xml:space="preserve">have </w:t>
      </w:r>
      <w:r w:rsidRPr="00126735">
        <w:rPr>
          <w:lang w:val="en-AU"/>
        </w:rPr>
        <w:t>help</w:t>
      </w:r>
      <w:r w:rsidR="00E57F56">
        <w:rPr>
          <w:lang w:val="en-AU"/>
        </w:rPr>
        <w:t>ed</w:t>
      </w:r>
      <w:r w:rsidRPr="00126735">
        <w:rPr>
          <w:lang w:val="en-AU"/>
        </w:rPr>
        <w:t xml:space="preserve"> drive innovation and commerciali</w:t>
      </w:r>
      <w:r w:rsidR="00CA02B7">
        <w:rPr>
          <w:lang w:val="en-AU"/>
        </w:rPr>
        <w:t>s</w:t>
      </w:r>
      <w:r w:rsidRPr="00126735">
        <w:rPr>
          <w:lang w:val="en-AU"/>
        </w:rPr>
        <w:t xml:space="preserve">ation across various sectors. </w:t>
      </w:r>
      <w:r w:rsidR="007A3E87">
        <w:rPr>
          <w:lang w:val="en-AU"/>
        </w:rPr>
        <w:t>Our</w:t>
      </w:r>
      <w:r w:rsidRPr="00126735">
        <w:rPr>
          <w:lang w:val="en-AU"/>
        </w:rPr>
        <w:t xml:space="preserve"> ongoing industry and technology strategies also demonstrate a strong commitment to groundbreaking technologies like quantum computing, AI, and robotics. </w:t>
      </w:r>
      <w:r w:rsidR="009D3183">
        <w:rPr>
          <w:lang w:val="en-AU"/>
        </w:rPr>
        <w:t>I</w:t>
      </w:r>
      <w:r w:rsidRPr="00126735">
        <w:rPr>
          <w:lang w:val="en-AU"/>
        </w:rPr>
        <w:t>nvesting in people is a key part of Australia's approach to developing skills and fostering innovation. This includes consistent efforts to promote diversity in science, technology, engineering, and mathematics (STEM).</w:t>
      </w:r>
    </w:p>
    <w:p w14:paraId="07470411" w14:textId="77777777" w:rsidR="00564417" w:rsidRPr="002322B7" w:rsidRDefault="00564417" w:rsidP="00564417">
      <w:pPr>
        <w:pStyle w:val="Heading-level2"/>
      </w:pPr>
      <w:bookmarkStart w:id="80" w:name="_Toc165471178"/>
      <w:bookmarkStart w:id="81" w:name="_Toc171500326"/>
      <w:r w:rsidRPr="002322B7">
        <w:lastRenderedPageBreak/>
        <w:t>Australia’s smart tech sectors</w:t>
      </w:r>
      <w:bookmarkEnd w:id="80"/>
      <w:bookmarkEnd w:id="81"/>
    </w:p>
    <w:p w14:paraId="4A73AF28" w14:textId="5BBEC23A" w:rsidR="00564417" w:rsidRPr="002322B7" w:rsidRDefault="00564417" w:rsidP="00F03186">
      <w:pPr>
        <w:pStyle w:val="Body-copy"/>
        <w:rPr>
          <w:lang w:val="en-AU"/>
        </w:rPr>
      </w:pPr>
      <w:r w:rsidRPr="002322B7">
        <w:rPr>
          <w:lang w:val="en-AU"/>
        </w:rPr>
        <w:t xml:space="preserve">Australia is a magnet for tech developers, </w:t>
      </w:r>
      <w:r w:rsidR="000F69F1" w:rsidRPr="002322B7">
        <w:rPr>
          <w:lang w:val="en-AU"/>
        </w:rPr>
        <w:t>spurred on by</w:t>
      </w:r>
      <w:r w:rsidRPr="002322B7">
        <w:rPr>
          <w:lang w:val="en-AU"/>
        </w:rPr>
        <w:t xml:space="preserve"> an environment where scholars and entrepreneurs work together. Our innovators have used blockchain to revolutionise parts of the financial services industry, championed immersive simulation in education, transformed medical procedures using robotics, and modernised agriculture using Internet of Things </w:t>
      </w:r>
      <w:r w:rsidR="00F64D4B" w:rsidRPr="002322B7">
        <w:rPr>
          <w:lang w:val="en-AU"/>
        </w:rPr>
        <w:t xml:space="preserve">(IoT) </w:t>
      </w:r>
      <w:r w:rsidRPr="002322B7">
        <w:rPr>
          <w:lang w:val="en-AU"/>
        </w:rPr>
        <w:t xml:space="preserve">designs. Today, Australia has a reputation for being a pioneer in silicon-based quantum computing research. Our ability to problem-solve using new technologies draws investors and entrepreneurs from around the world. </w:t>
      </w:r>
    </w:p>
    <w:p w14:paraId="53136719" w14:textId="679414B0" w:rsidR="00564417" w:rsidRDefault="006719E7" w:rsidP="00564417">
      <w:pPr>
        <w:pStyle w:val="Caption"/>
      </w:pPr>
      <w:bookmarkStart w:id="82" w:name="_Toc171500373"/>
      <w:r w:rsidRPr="002322B7">
        <w:t xml:space="preserve">Figure </w:t>
      </w:r>
      <w:r w:rsidR="00CF16FA">
        <w:fldChar w:fldCharType="begin"/>
      </w:r>
      <w:r w:rsidR="00CF16FA">
        <w:instrText xml:space="preserve"> SEQ Figure \* ARABIC </w:instrText>
      </w:r>
      <w:r w:rsidR="00CF16FA">
        <w:fldChar w:fldCharType="separate"/>
      </w:r>
      <w:r w:rsidR="002459CF">
        <w:rPr>
          <w:noProof/>
        </w:rPr>
        <w:t>17</w:t>
      </w:r>
      <w:r w:rsidR="00CF16FA">
        <w:rPr>
          <w:noProof/>
        </w:rPr>
        <w:fldChar w:fldCharType="end"/>
      </w:r>
      <w:r w:rsidR="00564417" w:rsidRPr="002322B7">
        <w:t xml:space="preserve"> – Australia’s tech credentials</w:t>
      </w:r>
      <w:bookmarkEnd w:id="82"/>
    </w:p>
    <w:p w14:paraId="09873081" w14:textId="33A175B3" w:rsidR="00FF20A5" w:rsidRPr="00FF20A5" w:rsidRDefault="005E0AAA" w:rsidP="00FF20A5">
      <w:r>
        <w:rPr>
          <w:noProof/>
        </w:rPr>
        <w:drawing>
          <wp:inline distT="0" distB="0" distL="0" distR="0" wp14:anchorId="2F66DB80" wp14:editId="58C603AD">
            <wp:extent cx="6300000" cy="3130991"/>
            <wp:effectExtent l="0" t="0" r="5715" b="0"/>
            <wp:docPr id="564379212" name="Picture 1" descr="The infographic shows the following information:&#10;A$45 billion fintech industry¹&#10;Ranked 6th in the world2 &#10;Over 800 fintech companies in 2023¹&#10;46% of fintechs raised over A$10 million each in 20233&#10;+$200 billion per year boost from AI utilisation8&#10;150,000 additional jobs from AI⁸&#10;Over 650 AI companies in 2024⁹&#10;#5 for healthcare innovation4&#10;Around 700 biotech and medtech companies5&#10;US$6.6 billion medical device market in 20236&#10;US$192 billion spent on health in 2023. This places Australia as the 5th-highest in the world for health expenditure per capita.7&#10;A$6 billion quantum industry by 2045¹⁰&#10;28 quantum-focussed companies in Australia ¹¹&#10;#13 in number of quantum startup companies¹²&#10;A$1 billion investment in one quantum computer ¹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79212" name="Picture 1" descr="The infographic shows the following information:&#10;A$45 billion fintech industry¹&#10;Ranked 6th in the world2 &#10;Over 800 fintech companies in 2023¹&#10;46% of fintechs raised over A$10 million each in 20233&#10;+$200 billion per year boost from AI utilisation8&#10;150,000 additional jobs from AI⁸&#10;Over 650 AI companies in 2024⁹&#10;#5 for healthcare innovation4&#10;Around 700 biotech and medtech companies5&#10;US$6.6 billion medical device market in 20236&#10;US$192 billion spent on health in 2023. This places Australia as the 5th-highest in the world for health expenditure per capita.7&#10;A$6 billion quantum industry by 2045¹⁰&#10;28 quantum-focussed companies in Australia ¹¹&#10;#13 in number of quantum startup companies¹²&#10;A$1 billion investment in one quantum computer ¹³&#10;"/>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300000" cy="3130991"/>
                    </a:xfrm>
                    <a:prstGeom prst="rect">
                      <a:avLst/>
                    </a:prstGeom>
                    <a:ln>
                      <a:noFill/>
                    </a:ln>
                    <a:extLst>
                      <a:ext uri="{53640926-AAD7-44D8-BBD7-CCE9431645EC}">
                        <a14:shadowObscured xmlns:a14="http://schemas.microsoft.com/office/drawing/2010/main"/>
                      </a:ext>
                    </a:extLst>
                  </pic:spPr>
                </pic:pic>
              </a:graphicData>
            </a:graphic>
          </wp:inline>
        </w:drawing>
      </w:r>
    </w:p>
    <w:p w14:paraId="7B8B2929" w14:textId="4B2A0528" w:rsidR="00A747A8" w:rsidRPr="00A747A8" w:rsidRDefault="00A747A8" w:rsidP="00A747A8"/>
    <w:p w14:paraId="48616E64" w14:textId="46092765" w:rsidR="00564417" w:rsidRPr="002322B7" w:rsidRDefault="00564417" w:rsidP="005B4E97">
      <w:pPr>
        <w:pStyle w:val="Sourcesandnotes"/>
      </w:pPr>
      <w:r w:rsidRPr="002322B7">
        <w:rPr>
          <w:b/>
          <w:bCs/>
        </w:rPr>
        <w:t>Sources: 1.</w:t>
      </w:r>
      <w:r w:rsidRPr="002322B7">
        <w:t xml:space="preserve"> Fintech Australia, 2024, What is fintech? </w:t>
      </w:r>
      <w:r w:rsidRPr="002322B7">
        <w:rPr>
          <w:b/>
          <w:bCs/>
        </w:rPr>
        <w:t>2.</w:t>
      </w:r>
      <w:r w:rsidRPr="002322B7">
        <w:t xml:space="preserve"> Findexable, 2021, Global Fintech Rankings Report, accessed April 2024. </w:t>
      </w:r>
      <w:r w:rsidRPr="002322B7">
        <w:rPr>
          <w:b/>
          <w:bCs/>
        </w:rPr>
        <w:t>3.</w:t>
      </w:r>
      <w:r w:rsidRPr="002322B7">
        <w:t xml:space="preserve"> EY, 2024, FinTech Australia Census 2023, accessed April 2024. </w:t>
      </w:r>
      <w:r w:rsidRPr="002322B7">
        <w:rPr>
          <w:b/>
          <w:bCs/>
        </w:rPr>
        <w:t>4.</w:t>
      </w:r>
      <w:r w:rsidRPr="002322B7">
        <w:t xml:space="preserve"> Foundation for Research on Equal Opportunity, 2024, Australia: #5 in the 2022 World Index of Healthcare Innovation. </w:t>
      </w:r>
      <w:r w:rsidRPr="002322B7">
        <w:rPr>
          <w:b/>
          <w:bCs/>
        </w:rPr>
        <w:t>5.</w:t>
      </w:r>
      <w:r w:rsidRPr="002322B7">
        <w:t xml:space="preserve"> AusBiotech, 2024, Biotech Sector Fast Facts</w:t>
      </w:r>
      <w:r w:rsidRPr="002322B7" w:rsidDel="0034523C">
        <w:t xml:space="preserve"> </w:t>
      </w:r>
      <w:r w:rsidRPr="002322B7">
        <w:rPr>
          <w:b/>
          <w:bCs/>
        </w:rPr>
        <w:t>6.</w:t>
      </w:r>
      <w:r w:rsidRPr="002322B7">
        <w:t xml:space="preserve"> Fitch Solutions, 2024, Australia Medical Devices Report Q2 2024. </w:t>
      </w:r>
      <w:r w:rsidRPr="002322B7">
        <w:rPr>
          <w:b/>
          <w:bCs/>
        </w:rPr>
        <w:t>7.</w:t>
      </w:r>
      <w:r w:rsidRPr="002322B7">
        <w:t xml:space="preserve"> Fitch Solutions, 2024, Worldwide Medical Devices Market Factbook. </w:t>
      </w:r>
      <w:r w:rsidRPr="002322B7">
        <w:rPr>
          <w:b/>
          <w:bCs/>
        </w:rPr>
        <w:t>8.</w:t>
      </w:r>
      <w:r w:rsidRPr="002322B7">
        <w:t xml:space="preserve"> </w:t>
      </w:r>
      <w:r w:rsidR="00E30CF4" w:rsidRPr="00E30CF4">
        <w:t>Mangan, J., 2024, Australia’s AI Imperative: The economic impact of artificial intelligence and what’s needed to further its growth.</w:t>
      </w:r>
      <w:r w:rsidRPr="002322B7">
        <w:t xml:space="preserve"> </w:t>
      </w:r>
      <w:r w:rsidRPr="002322B7">
        <w:rPr>
          <w:b/>
          <w:bCs/>
        </w:rPr>
        <w:t>9.</w:t>
      </w:r>
      <w:r w:rsidR="0050653D">
        <w:rPr>
          <w:b/>
          <w:bCs/>
        </w:rPr>
        <w:t xml:space="preserve"> </w:t>
      </w:r>
      <w:r w:rsidR="00ED5779" w:rsidRPr="000853F3">
        <w:t>Crunchbase, 2024, Build Query: Hubs</w:t>
      </w:r>
      <w:r w:rsidR="00DE7D0D">
        <w:t xml:space="preserve">. </w:t>
      </w:r>
      <w:r w:rsidR="00DE7D0D" w:rsidRPr="000853F3">
        <w:rPr>
          <w:b/>
          <w:bCs/>
        </w:rPr>
        <w:t>10.</w:t>
      </w:r>
      <w:r w:rsidR="00DE7D0D">
        <w:rPr>
          <w:b/>
          <w:bCs/>
        </w:rPr>
        <w:t xml:space="preserve"> </w:t>
      </w:r>
      <w:r w:rsidR="00893A59" w:rsidRPr="006F76CF">
        <w:t>CSIRO</w:t>
      </w:r>
      <w:r w:rsidR="006F76CF" w:rsidRPr="006F76CF">
        <w:t>, 202</w:t>
      </w:r>
      <w:r w:rsidR="00160A3B">
        <w:t>2</w:t>
      </w:r>
      <w:r w:rsidR="006F76CF" w:rsidRPr="006F76CF">
        <w:t>,</w:t>
      </w:r>
      <w:r w:rsidR="006F76CF">
        <w:t xml:space="preserve"> </w:t>
      </w:r>
      <w:r w:rsidR="00893A59" w:rsidRPr="00893A59">
        <w:t>Growing Australia's Quantum Technology Industry</w:t>
      </w:r>
      <w:r w:rsidR="0050653D">
        <w:rPr>
          <w:b/>
          <w:bCs/>
        </w:rPr>
        <w:t xml:space="preserve"> 1</w:t>
      </w:r>
      <w:r w:rsidR="00DE7D0D">
        <w:rPr>
          <w:b/>
          <w:bCs/>
        </w:rPr>
        <w:t>1</w:t>
      </w:r>
      <w:r w:rsidR="00EC452A">
        <w:rPr>
          <w:b/>
          <w:bCs/>
        </w:rPr>
        <w:t>.</w:t>
      </w:r>
      <w:r w:rsidR="001F1A7D" w:rsidRPr="001F1A7D">
        <w:t xml:space="preserve"> </w:t>
      </w:r>
      <w:r w:rsidR="001F1A7D">
        <w:t xml:space="preserve">Australia’s Chief Scientist, 2023, </w:t>
      </w:r>
      <w:r w:rsidR="001F1A7D" w:rsidRPr="001F1A7D">
        <w:t>Australia's expertise and offering in quantum</w:t>
      </w:r>
      <w:r w:rsidR="00EC452A">
        <w:rPr>
          <w:b/>
          <w:bCs/>
        </w:rPr>
        <w:t xml:space="preserve"> 1</w:t>
      </w:r>
      <w:r w:rsidR="00DE7D0D">
        <w:rPr>
          <w:b/>
          <w:bCs/>
        </w:rPr>
        <w:t>2</w:t>
      </w:r>
      <w:r w:rsidR="0050653D">
        <w:rPr>
          <w:b/>
          <w:bCs/>
        </w:rPr>
        <w:t>.</w:t>
      </w:r>
      <w:r w:rsidR="00EC452A">
        <w:t xml:space="preserve"> </w:t>
      </w:r>
      <w:r w:rsidR="00826D77" w:rsidRPr="00826D77">
        <w:t>Office of the NSW Chief Scientist &amp; Engineer</w:t>
      </w:r>
      <w:r w:rsidR="005B4E97">
        <w:t>, 2024, Quantum Algorithms and Applications.</w:t>
      </w:r>
      <w:r w:rsidR="00826D77">
        <w:t xml:space="preserve"> </w:t>
      </w:r>
      <w:r w:rsidR="00EC452A">
        <w:rPr>
          <w:b/>
          <w:bCs/>
        </w:rPr>
        <w:t>1</w:t>
      </w:r>
      <w:r w:rsidR="00603F3E">
        <w:rPr>
          <w:b/>
          <w:bCs/>
        </w:rPr>
        <w:t>3</w:t>
      </w:r>
      <w:r w:rsidR="00EC452A">
        <w:rPr>
          <w:b/>
          <w:bCs/>
        </w:rPr>
        <w:t>.</w:t>
      </w:r>
      <w:r w:rsidR="00800F46" w:rsidRPr="00800F46">
        <w:t xml:space="preserve"> </w:t>
      </w:r>
      <w:r w:rsidR="00800F46" w:rsidRPr="002322B7">
        <w:t>Department of Industry, Science and Resources, 2024, Leading quantum company chooses Australia as site for its groundbreaking utility scale quantum computer</w:t>
      </w:r>
      <w:r w:rsidR="005B4E97">
        <w:t>; Austrade.</w:t>
      </w:r>
    </w:p>
    <w:p w14:paraId="5CD4D635" w14:textId="77777777" w:rsidR="00564417" w:rsidRPr="002322B7" w:rsidRDefault="00564417" w:rsidP="00564417">
      <w:pPr>
        <w:pStyle w:val="Heading-level2"/>
      </w:pPr>
      <w:bookmarkStart w:id="83" w:name="_Toc165471179"/>
      <w:bookmarkStart w:id="84" w:name="_Toc171500327"/>
      <w:r w:rsidRPr="002322B7">
        <w:lastRenderedPageBreak/>
        <w:t>#1 for new tech skills</w:t>
      </w:r>
      <w:bookmarkEnd w:id="83"/>
      <w:bookmarkEnd w:id="84"/>
    </w:p>
    <w:p w14:paraId="6C2A8DF6" w14:textId="4AD909BD" w:rsidR="00564417" w:rsidRPr="002322B7" w:rsidRDefault="00803CE8" w:rsidP="003F1867">
      <w:pPr>
        <w:pStyle w:val="Body-copy"/>
        <w:rPr>
          <w:lang w:val="en-AU"/>
        </w:rPr>
      </w:pPr>
      <w:r w:rsidRPr="002322B7">
        <w:rPr>
          <w:lang w:val="en-AU"/>
        </w:rPr>
        <w:t>Australia scores a</w:t>
      </w:r>
      <w:r w:rsidR="00564417" w:rsidRPr="002322B7">
        <w:rPr>
          <w:lang w:val="en-AU"/>
        </w:rPr>
        <w:t xml:space="preserve"> top ranking for skills in using, adapting and adopting emerging technologies</w:t>
      </w:r>
      <w:r w:rsidRPr="002322B7">
        <w:rPr>
          <w:lang w:val="en-AU"/>
        </w:rPr>
        <w:t>. This</w:t>
      </w:r>
      <w:r w:rsidR="00564417" w:rsidRPr="002322B7">
        <w:rPr>
          <w:lang w:val="en-AU"/>
        </w:rPr>
        <w:t xml:space="preserve"> makes </w:t>
      </w:r>
      <w:r w:rsidRPr="002322B7">
        <w:rPr>
          <w:lang w:val="en-AU"/>
        </w:rPr>
        <w:t xml:space="preserve">us </w:t>
      </w:r>
      <w:r w:rsidR="00564417" w:rsidRPr="002322B7">
        <w:rPr>
          <w:lang w:val="en-AU"/>
        </w:rPr>
        <w:t xml:space="preserve">a standout for international investors. Oxford Insights ranks Australia as one of the top </w:t>
      </w:r>
      <w:r w:rsidR="00B531FF">
        <w:rPr>
          <w:lang w:val="en-AU"/>
        </w:rPr>
        <w:t>eight</w:t>
      </w:r>
      <w:r w:rsidR="00564417" w:rsidRPr="002322B7">
        <w:rPr>
          <w:lang w:val="en-AU"/>
        </w:rPr>
        <w:t xml:space="preserve"> </w:t>
      </w:r>
      <w:r w:rsidR="00990CC7">
        <w:rPr>
          <w:lang w:val="en-AU"/>
        </w:rPr>
        <w:t>governments</w:t>
      </w:r>
      <w:r w:rsidR="00025352" w:rsidRPr="002322B7">
        <w:rPr>
          <w:lang w:val="en-AU"/>
        </w:rPr>
        <w:t xml:space="preserve"> </w:t>
      </w:r>
      <w:r w:rsidR="00121472" w:rsidRPr="002322B7">
        <w:rPr>
          <w:lang w:val="en-AU"/>
        </w:rPr>
        <w:t>in the world in terms of capacity to b</w:t>
      </w:r>
      <w:r w:rsidR="00564417" w:rsidRPr="002322B7">
        <w:rPr>
          <w:lang w:val="en-AU"/>
        </w:rPr>
        <w:t xml:space="preserve">enefit from </w:t>
      </w:r>
      <w:r w:rsidR="00D721D7">
        <w:rPr>
          <w:lang w:val="en-AU"/>
        </w:rPr>
        <w:t>AI</w:t>
      </w:r>
      <w:r w:rsidR="00564417" w:rsidRPr="002322B7">
        <w:rPr>
          <w:lang w:val="en-AU"/>
        </w:rPr>
        <w:t>. They also rank us 3</w:t>
      </w:r>
      <w:r w:rsidR="00564417" w:rsidRPr="002322B7">
        <w:rPr>
          <w:vertAlign w:val="superscript"/>
          <w:lang w:val="en-AU"/>
        </w:rPr>
        <w:t>rd</w:t>
      </w:r>
      <w:r w:rsidR="00564417" w:rsidRPr="002322B7">
        <w:rPr>
          <w:lang w:val="en-AU"/>
        </w:rPr>
        <w:t xml:space="preserve"> for data infrastructure and support. Great Australian inventions include the electronic pacemaker, polymer bank notes, the inflatable aircraft escape slide, the human papilloma virus vaccine, Google Maps, Wi-Fi and the cochlear implant. </w:t>
      </w:r>
    </w:p>
    <w:p w14:paraId="379506FC" w14:textId="31C091D1" w:rsidR="00564417" w:rsidRDefault="006719E7" w:rsidP="00564417">
      <w:pPr>
        <w:pStyle w:val="Caption"/>
      </w:pPr>
      <w:bookmarkStart w:id="85" w:name="_Toc171500374"/>
      <w:r w:rsidRPr="002322B7">
        <w:t xml:space="preserve">Figure </w:t>
      </w:r>
      <w:r w:rsidR="00CF16FA">
        <w:fldChar w:fldCharType="begin"/>
      </w:r>
      <w:r w:rsidR="00CF16FA">
        <w:instrText xml:space="preserve"> SEQ Figure \* ARABIC </w:instrText>
      </w:r>
      <w:r w:rsidR="00CF16FA">
        <w:fldChar w:fldCharType="separate"/>
      </w:r>
      <w:r w:rsidR="002459CF">
        <w:rPr>
          <w:noProof/>
        </w:rPr>
        <w:t>18</w:t>
      </w:r>
      <w:r w:rsidR="00CF16FA">
        <w:rPr>
          <w:noProof/>
        </w:rPr>
        <w:fldChar w:fldCharType="end"/>
      </w:r>
      <w:r w:rsidR="00564417" w:rsidRPr="002322B7">
        <w:t xml:space="preserve"> – Skills for using, adopting and adapting frontier technologies¹, 2021</w:t>
      </w:r>
      <w:bookmarkEnd w:id="85"/>
    </w:p>
    <w:p w14:paraId="67CAED49" w14:textId="72BBFEAB" w:rsidR="00A747A8" w:rsidRPr="00A747A8" w:rsidRDefault="00A747A8" w:rsidP="00A747A8">
      <w:r>
        <w:rPr>
          <w:noProof/>
        </w:rPr>
        <w:drawing>
          <wp:inline distT="0" distB="0" distL="0" distR="0" wp14:anchorId="3125E187" wp14:editId="7A680907">
            <wp:extent cx="6336030" cy="4577715"/>
            <wp:effectExtent l="0" t="0" r="7620" b="0"/>
            <wp:docPr id="1414926279" name="Picture 29" descr="The bar chart shows an index measuring an economy (country)’s skills for using, adopting and adapting frontier technologies in 2021.The content behind the graph is:&#10;Australia (ranked #1) index value 100; Sweden (ranked #2) index value 95; Finland (ranked #5) index value 90; Norway (ranked #6) index value 89; Singapore (ranked #8) index value 88; Netherlands (ranked #9) index value 86; New Zealand (ranked #10) index value 86; UK (ranked #12) index value 83; Germany (ranked #17) index value 78; US (ranked #18) index value 77; Canada (ranked #21) index value 74; Hong Kong SAR (ranked #22) index value 73; France (ranked #24) index value 73; Korea (ranked #26) index value 72; Saudi Arabia (ranked #44) index value 60; Japan (ranked #51) index value 56; China (ranked #92) index value 43; Indonesia (ranked #107) index value 36; India (ranked #109) index value 36; and Vietnam (ranked #116) index valu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26279" name="Picture 29" descr="The bar chart shows an index measuring an economy (country)’s skills for using, adopting and adapting frontier technologies in 2021.The content behind the graph is:&#10;Australia (ranked #1) index value 100; Sweden (ranked #2) index value 95; Finland (ranked #5) index value 90; Norway (ranked #6) index value 89; Singapore (ranked #8) index value 88; Netherlands (ranked #9) index value 86; New Zealand (ranked #10) index value 86; UK (ranked #12) index value 83; Germany (ranked #17) index value 78; US (ranked #18) index value 77; Canada (ranked #21) index value 74; Hong Kong SAR (ranked #22) index value 73; France (ranked #24) index value 73; Korea (ranked #26) index value 72; Saudi Arabia (ranked #44) index value 60; Japan (ranked #51) index value 56; China (ranked #92) index value 43; Indonesia (ranked #107) index value 36; India (ranked #109) index value 36; and Vietnam (ranked #116) index value 33.&#10;"/>
                    <pic:cNvPicPr/>
                  </pic:nvPicPr>
                  <pic:blipFill rotWithShape="1">
                    <a:blip r:embed="rId34" cstate="hqprint">
                      <a:extLst>
                        <a:ext uri="{28A0092B-C50C-407E-A947-70E740481C1C}">
                          <a14:useLocalDpi xmlns:a14="http://schemas.microsoft.com/office/drawing/2010/main"/>
                        </a:ext>
                      </a:extLst>
                    </a:blip>
                    <a:srcRect/>
                    <a:stretch/>
                  </pic:blipFill>
                  <pic:spPr bwMode="auto">
                    <a:xfrm>
                      <a:off x="0" y="0"/>
                      <a:ext cx="6336030" cy="4577715"/>
                    </a:xfrm>
                    <a:prstGeom prst="rect">
                      <a:avLst/>
                    </a:prstGeom>
                    <a:ln>
                      <a:noFill/>
                    </a:ln>
                    <a:extLst>
                      <a:ext uri="{53640926-AAD7-44D8-BBD7-CCE9431645EC}">
                        <a14:shadowObscured xmlns:a14="http://schemas.microsoft.com/office/drawing/2010/main"/>
                      </a:ext>
                    </a:extLst>
                  </pic:spPr>
                </pic:pic>
              </a:graphicData>
            </a:graphic>
          </wp:inline>
        </w:drawing>
      </w:r>
    </w:p>
    <w:p w14:paraId="2347E61F" w14:textId="77777777" w:rsidR="00564417" w:rsidRPr="002322B7" w:rsidRDefault="00564417" w:rsidP="00564417">
      <w:pPr>
        <w:pStyle w:val="Sourcesandnotes"/>
      </w:pPr>
      <w:r w:rsidRPr="002322B7">
        <w:rPr>
          <w:b/>
          <w:bCs/>
        </w:rPr>
        <w:t>Note: 1.</w:t>
      </w:r>
      <w:r w:rsidRPr="002322B7">
        <w:t xml:space="preserve"> The number in brackets indicates the economy’s ranking across 158 economies. 2021 is the latest year available as of April 2024. </w:t>
      </w:r>
    </w:p>
    <w:p w14:paraId="1853FC52" w14:textId="77777777" w:rsidR="00564417" w:rsidRPr="002322B7" w:rsidRDefault="00564417" w:rsidP="00564417">
      <w:pPr>
        <w:pStyle w:val="Sourcesandnotes"/>
      </w:pPr>
      <w:r w:rsidRPr="002322B7">
        <w:rPr>
          <w:b/>
          <w:bCs/>
        </w:rPr>
        <w:t xml:space="preserve">Sources: </w:t>
      </w:r>
      <w:r w:rsidRPr="002322B7">
        <w:t xml:space="preserve">United Nations Conference on Trade and Development, 2024, Frontier technology readiness index, accessed during April 2024; Oxford Insights, 2024, AI readiness index 2023; Austrade. </w:t>
      </w:r>
    </w:p>
    <w:p w14:paraId="46374907" w14:textId="77777777" w:rsidR="00057CDC" w:rsidRPr="002322B7" w:rsidRDefault="00057CDC" w:rsidP="00057CDC">
      <w:pPr>
        <w:pStyle w:val="Heading-level2"/>
      </w:pPr>
      <w:bookmarkStart w:id="86" w:name="_Toc165471171"/>
      <w:bookmarkStart w:id="87" w:name="_Toc171500328"/>
      <w:r w:rsidRPr="002322B7">
        <w:lastRenderedPageBreak/>
        <w:t>A leader in digital government</w:t>
      </w:r>
      <w:bookmarkEnd w:id="86"/>
      <w:bookmarkEnd w:id="87"/>
    </w:p>
    <w:p w14:paraId="39FFCF42" w14:textId="0042C68E" w:rsidR="00A11686" w:rsidRPr="002322B7" w:rsidRDefault="00057CDC" w:rsidP="0047352C">
      <w:pPr>
        <w:pStyle w:val="Body-copy"/>
        <w:rPr>
          <w:lang w:val="en-AU"/>
        </w:rPr>
      </w:pPr>
      <w:bookmarkStart w:id="88" w:name="_Hlk164834235"/>
      <w:r w:rsidRPr="002322B7">
        <w:rPr>
          <w:lang w:val="en-AU"/>
        </w:rPr>
        <w:t>The Australian Government is an early adopter</w:t>
      </w:r>
      <w:bookmarkEnd w:id="88"/>
      <w:r w:rsidR="00DD26E5" w:rsidRPr="002322B7">
        <w:rPr>
          <w:lang w:val="en-AU"/>
        </w:rPr>
        <w:t>.</w:t>
      </w:r>
      <w:r w:rsidR="00A410B1" w:rsidRPr="002322B7">
        <w:rPr>
          <w:lang w:val="en-AU"/>
        </w:rPr>
        <w:t xml:space="preserve"> In 2022, we</w:t>
      </w:r>
      <w:r w:rsidR="003C1ED7" w:rsidRPr="002322B7">
        <w:rPr>
          <w:lang w:val="en-AU"/>
        </w:rPr>
        <w:t xml:space="preserve"> </w:t>
      </w:r>
      <w:r w:rsidRPr="002322B7">
        <w:rPr>
          <w:lang w:val="en-AU"/>
        </w:rPr>
        <w:t>rank</w:t>
      </w:r>
      <w:r w:rsidR="00DE5A13" w:rsidRPr="002322B7">
        <w:rPr>
          <w:lang w:val="en-AU"/>
        </w:rPr>
        <w:t>ed</w:t>
      </w:r>
      <w:r w:rsidRPr="002322B7">
        <w:rPr>
          <w:lang w:val="en-AU"/>
        </w:rPr>
        <w:t xml:space="preserve"> 7</w:t>
      </w:r>
      <w:r w:rsidRPr="002322B7">
        <w:rPr>
          <w:vertAlign w:val="superscript"/>
          <w:lang w:val="en-AU"/>
        </w:rPr>
        <w:t>th</w:t>
      </w:r>
      <w:r w:rsidRPr="002322B7">
        <w:rPr>
          <w:lang w:val="en-AU"/>
        </w:rPr>
        <w:t xml:space="preserve"> among 193 governments </w:t>
      </w:r>
      <w:r w:rsidR="006917D2" w:rsidRPr="002322B7">
        <w:rPr>
          <w:lang w:val="en-AU"/>
        </w:rPr>
        <w:t>in the</w:t>
      </w:r>
      <w:r w:rsidRPr="002322B7">
        <w:rPr>
          <w:lang w:val="en-AU"/>
        </w:rPr>
        <w:t xml:space="preserve"> United Nations E-Government Development Index (EGDI).² The transition to online services enhances the efficiency of official communications</w:t>
      </w:r>
      <w:r w:rsidR="003D221B">
        <w:rPr>
          <w:lang w:val="en-AU"/>
        </w:rPr>
        <w:t>,</w:t>
      </w:r>
      <w:r w:rsidR="00CE0CD0">
        <w:rPr>
          <w:lang w:val="en-AU"/>
        </w:rPr>
        <w:t xml:space="preserve"> with </w:t>
      </w:r>
      <w:r w:rsidR="00517024" w:rsidRPr="002322B7">
        <w:rPr>
          <w:lang w:val="en-AU"/>
        </w:rPr>
        <w:t xml:space="preserve">Australia’s </w:t>
      </w:r>
      <w:r w:rsidR="00517024" w:rsidRPr="002322B7">
        <w:rPr>
          <w:i/>
          <w:iCs/>
          <w:lang w:val="en-AU"/>
        </w:rPr>
        <w:t>myGov</w:t>
      </w:r>
      <w:r w:rsidR="00517024" w:rsidRPr="002322B7">
        <w:rPr>
          <w:lang w:val="en-AU"/>
        </w:rPr>
        <w:t xml:space="preserve"> </w:t>
      </w:r>
      <w:r w:rsidR="00CE0CD0">
        <w:rPr>
          <w:lang w:val="en-AU"/>
        </w:rPr>
        <w:t>being</w:t>
      </w:r>
      <w:r w:rsidR="00517024" w:rsidRPr="002322B7">
        <w:rPr>
          <w:lang w:val="en-AU"/>
        </w:rPr>
        <w:t xml:space="preserve"> a</w:t>
      </w:r>
      <w:r w:rsidRPr="002322B7">
        <w:rPr>
          <w:lang w:val="en-AU"/>
        </w:rPr>
        <w:t xml:space="preserve"> prime example. This is Australia’s centralised portal for health, tax and welfare services. </w:t>
      </w:r>
      <w:r w:rsidR="00C179E4" w:rsidRPr="002322B7">
        <w:rPr>
          <w:lang w:val="en-AU"/>
        </w:rPr>
        <w:t xml:space="preserve">Advanced digital services </w:t>
      </w:r>
      <w:r w:rsidR="005B659F" w:rsidRPr="002322B7">
        <w:rPr>
          <w:lang w:val="en-AU"/>
        </w:rPr>
        <w:t xml:space="preserve">also </w:t>
      </w:r>
      <w:r w:rsidR="00C179E4" w:rsidRPr="002322B7">
        <w:rPr>
          <w:lang w:val="en-AU"/>
        </w:rPr>
        <w:t xml:space="preserve">make it relatively straightforward to set up </w:t>
      </w:r>
      <w:r w:rsidR="000C6931" w:rsidRPr="002322B7">
        <w:rPr>
          <w:lang w:val="en-AU"/>
        </w:rPr>
        <w:t>a business in Australia.</w:t>
      </w:r>
      <w:r w:rsidR="006F3590" w:rsidRPr="002322B7">
        <w:rPr>
          <w:lang w:val="en-AU"/>
        </w:rPr>
        <w:t xml:space="preserve"> Firstly, an </w:t>
      </w:r>
      <w:r w:rsidR="00BC27F5" w:rsidRPr="002322B7">
        <w:rPr>
          <w:lang w:val="en-AU"/>
        </w:rPr>
        <w:t xml:space="preserve">Australian Business Number </w:t>
      </w:r>
      <w:r w:rsidR="00D01948" w:rsidRPr="002322B7">
        <w:rPr>
          <w:lang w:val="en-AU"/>
        </w:rPr>
        <w:t xml:space="preserve">is </w:t>
      </w:r>
      <w:r w:rsidR="00BD67AE" w:rsidRPr="002322B7">
        <w:rPr>
          <w:lang w:val="en-AU"/>
        </w:rPr>
        <w:t>needed</w:t>
      </w:r>
      <w:r w:rsidR="00D01948" w:rsidRPr="002322B7">
        <w:rPr>
          <w:lang w:val="en-AU"/>
        </w:rPr>
        <w:t xml:space="preserve"> </w:t>
      </w:r>
      <w:r w:rsidR="006F3590" w:rsidRPr="002322B7">
        <w:rPr>
          <w:lang w:val="en-AU"/>
        </w:rPr>
        <w:t xml:space="preserve">to operate </w:t>
      </w:r>
      <w:r w:rsidR="00BD67AE" w:rsidRPr="002322B7">
        <w:rPr>
          <w:lang w:val="en-AU"/>
        </w:rPr>
        <w:t>a</w:t>
      </w:r>
      <w:r w:rsidR="006F3590" w:rsidRPr="002322B7">
        <w:rPr>
          <w:lang w:val="en-AU"/>
        </w:rPr>
        <w:t xml:space="preserve"> business</w:t>
      </w:r>
      <w:r w:rsidR="00750822" w:rsidRPr="002322B7">
        <w:rPr>
          <w:lang w:val="en-AU"/>
        </w:rPr>
        <w:t>, which</w:t>
      </w:r>
      <w:r w:rsidR="006F3590" w:rsidRPr="002322B7">
        <w:rPr>
          <w:lang w:val="en-AU"/>
        </w:rPr>
        <w:t xml:space="preserve"> can be</w:t>
      </w:r>
      <w:r w:rsidR="000D47F6">
        <w:rPr>
          <w:lang w:val="en-AU"/>
        </w:rPr>
        <w:t xml:space="preserve"> registered</w:t>
      </w:r>
      <w:r w:rsidR="006F3590" w:rsidRPr="002322B7">
        <w:rPr>
          <w:lang w:val="en-AU"/>
        </w:rPr>
        <w:t xml:space="preserve"> online</w:t>
      </w:r>
      <w:r w:rsidR="00FB6217" w:rsidRPr="002322B7">
        <w:rPr>
          <w:lang w:val="en-AU"/>
        </w:rPr>
        <w:t>.</w:t>
      </w:r>
      <w:r w:rsidR="007779FB" w:rsidRPr="002322B7">
        <w:rPr>
          <w:lang w:val="en-AU"/>
        </w:rPr>
        <w:t xml:space="preserve"> Depending on the business type, registration for </w:t>
      </w:r>
      <w:r w:rsidR="001078E7" w:rsidRPr="002322B7">
        <w:rPr>
          <w:lang w:val="en-AU"/>
        </w:rPr>
        <w:t xml:space="preserve">various taxes may also </w:t>
      </w:r>
      <w:r w:rsidR="008D4E6D" w:rsidRPr="002322B7">
        <w:rPr>
          <w:lang w:val="en-AU"/>
        </w:rPr>
        <w:t xml:space="preserve">be needed like </w:t>
      </w:r>
      <w:r w:rsidR="003F6F31" w:rsidRPr="002322B7">
        <w:rPr>
          <w:lang w:val="en-AU"/>
        </w:rPr>
        <w:t xml:space="preserve">the </w:t>
      </w:r>
      <w:r w:rsidR="007779FB" w:rsidRPr="002322B7">
        <w:rPr>
          <w:lang w:val="en-AU"/>
        </w:rPr>
        <w:t xml:space="preserve">Goods and Services Tax (GST) </w:t>
      </w:r>
      <w:r w:rsidR="0006479D" w:rsidRPr="002322B7">
        <w:rPr>
          <w:lang w:val="en-AU"/>
        </w:rPr>
        <w:t>and</w:t>
      </w:r>
      <w:r w:rsidR="007779FB" w:rsidRPr="002322B7">
        <w:rPr>
          <w:lang w:val="en-AU"/>
        </w:rPr>
        <w:t xml:space="preserve"> Pay As You Go (PAYG).</w:t>
      </w:r>
      <w:r w:rsidR="00B262C2" w:rsidRPr="002322B7">
        <w:rPr>
          <w:lang w:val="en-AU"/>
        </w:rPr>
        <w:t xml:space="preserve"> For more details, visit</w:t>
      </w:r>
      <w:r w:rsidR="002C1F13" w:rsidRPr="002322B7">
        <w:rPr>
          <w:lang w:val="en-AU"/>
        </w:rPr>
        <w:t xml:space="preserve"> Australia’s </w:t>
      </w:r>
      <w:hyperlink r:id="rId35" w:history="1">
        <w:r w:rsidR="002C1F13" w:rsidRPr="002322B7">
          <w:rPr>
            <w:rStyle w:val="Hyperlink"/>
            <w:lang w:val="en-AU"/>
          </w:rPr>
          <w:t>Business Registration Service</w:t>
        </w:r>
      </w:hyperlink>
      <w:r w:rsidR="002C1F13" w:rsidRPr="002322B7">
        <w:rPr>
          <w:lang w:val="en-AU"/>
        </w:rPr>
        <w:t xml:space="preserve">. </w:t>
      </w:r>
      <w:r w:rsidR="00B262C2" w:rsidRPr="002322B7">
        <w:rPr>
          <w:lang w:val="en-AU"/>
        </w:rPr>
        <w:t xml:space="preserve"> </w:t>
      </w:r>
    </w:p>
    <w:p w14:paraId="67BEEA1A" w14:textId="774DFA44" w:rsidR="00057CDC" w:rsidRDefault="00057CDC" w:rsidP="00057CDC">
      <w:pPr>
        <w:pStyle w:val="Caption"/>
      </w:pPr>
      <w:bookmarkStart w:id="89" w:name="_Toc171500375"/>
      <w:r w:rsidRPr="002322B7">
        <w:t xml:space="preserve">Figure </w:t>
      </w:r>
      <w:bookmarkStart w:id="90" w:name="_Toc165079554"/>
      <w:bookmarkStart w:id="91" w:name="_Toc165017481"/>
      <w:r w:rsidR="006719E7" w:rsidRPr="002322B7">
        <w:fldChar w:fldCharType="begin"/>
      </w:r>
      <w:r w:rsidR="006719E7" w:rsidRPr="002322B7">
        <w:instrText xml:space="preserve"> SEQ Figure \* ARABIC </w:instrText>
      </w:r>
      <w:r w:rsidR="006719E7" w:rsidRPr="002322B7">
        <w:fldChar w:fldCharType="separate"/>
      </w:r>
      <w:r w:rsidR="002459CF">
        <w:rPr>
          <w:noProof/>
        </w:rPr>
        <w:t>19</w:t>
      </w:r>
      <w:r w:rsidR="006719E7" w:rsidRPr="002322B7">
        <w:rPr>
          <w:noProof/>
        </w:rPr>
        <w:fldChar w:fldCharType="end"/>
      </w:r>
      <w:r w:rsidRPr="002322B7">
        <w:t xml:space="preserve"> – E-Government index by region, selected regions¹</w:t>
      </w:r>
      <w:bookmarkEnd w:id="89"/>
    </w:p>
    <w:p w14:paraId="01776AD4" w14:textId="761EEE44" w:rsidR="00A747A8" w:rsidRDefault="00A747A8" w:rsidP="00A747A8">
      <w:r>
        <w:rPr>
          <w:noProof/>
        </w:rPr>
        <w:drawing>
          <wp:inline distT="0" distB="0" distL="0" distR="0" wp14:anchorId="1BA79320" wp14:editId="2F9175FC">
            <wp:extent cx="6336030" cy="4483100"/>
            <wp:effectExtent l="0" t="0" r="7620" b="0"/>
            <wp:docPr id="1312298095" name="Picture 30" descr="The graph shows the E-Government index by region in 2022. The information presented is as follows:&#10;Denmark ( ranked #1): Online Service  0.33 Telecommunications-Infrastructure 0.33  Human Capital 0.32 Total 0.97 - Finland ( ranked #2): Online Service  0.33 Telecommunications-Infrastructure 0.33  Human Capital 0.32 Total 0.95 - Korea ( ranked #3): Online Service  0.33 Telecommunications-Infrastructure 0.33  Human Capital 0.30 Total 0.95 - New Zealand ( ranked #4): Online Service  0.32 Telecommunications-Infrastructure 0.32  Human Capital 0.33 Total 0.94 - Sweden ( ranked #5): Online Service  0.30 Telecommunications-Infrastructure 0.30  Human Capital 0.32 Total 0.94 - Iceland  ( ranked #5): Online Service  0.30 Telecommunications-Infrastructure 0.30  Human Capital 0.32 Total 0.94 - Australia ( ranked #7): Online Service  0.31 Telecommunications-Infrastructure 0.31  Human Capital 0.33 Total 0.94 - Netherlands  ( ranked #9): Online Service  0.30 Telecommunications-Infrastructure 0.30  Human Capital 0.32 Total 0.94 - USA ( ranked #10): Online Service  0.31 Telecommunications-Infrastructure 0.31  Human Capital 0.31 Total 0.92 - UK ( ranked #11): Online Service  0.30 Telecommunications-Infrastructure 0.30  Human Capital 0.31 Total 0.91 - Singapore ( ranked #12): Online Service  0.32 Telecommunications-Infrastructure 0.32  Human Capital 0.30 Total 0.91 - Japan ( ranked #14): Online Service  0.30 Telecommunications-Infrastructure 0.30  Human Capital 0.29 Total 0.90 - Norway  ( ranked #17): Online Service  0.27 Telecommunications-Infrastructure 0.27  Human Capital 0.32 Total 0.89 - Canada ( ranked #32): Online Service  0.28 Telecommunications-Infrastructure 0.28  Human Capital 0.31 Total 0.85 - Europe ( ranked #na): Online Service  0.26 Telecommunications-Infrastructure 0.26  Human Capital 0.29 Total 0.83 - China ( ranked #43): Online Service  0.30 Telecommunications-Infrastructure 0.30  Human Capital 0.25 Total 0.81 - Mexico ( ranked #62): Online Service  0.27 Telecommunications-Infrastructure 0.27  Human Capital 0.26 Total 0.75 - Indonesia ( ranked #77): Online Service  0.25 Telecommunications-Infrastructure 0.25  Human Capital 0.25 Total 0.72 - Vietnam ( ranked #86): Online Service  0.22 Telecommunications-Infrastructure 0.22  Human Capital 0.23 Total 0.68 - Asia ( ranked #na): Online Service  0.20 Telecommunications-Infrastructure 0.20  Human Capital 0.24 Total 0.65 - World ( ranked #na): Online Service  0.19 Telecommunications-Infrastructure 0.19  Human Capital 0.23 Total 0.61 - India ( ranked #105): Online Service  0.26 Telecommunications-Infrastructure 0.26  Human Capital 0.19 Total 0.59 - Africa ( ranked #na): Online Service  0.12 Telecommunications-Infrastructure 0.12  Human Capital 0.16 Total 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8095" name="Picture 30" descr="The graph shows the E-Government index by region in 2022. The information presented is as follows:&#10;Denmark ( ranked #1): Online Service  0.33 Telecommunications-Infrastructure 0.33  Human Capital 0.32 Total 0.97 - Finland ( ranked #2): Online Service  0.33 Telecommunications-Infrastructure 0.33  Human Capital 0.32 Total 0.95 - Korea ( ranked #3): Online Service  0.33 Telecommunications-Infrastructure 0.33  Human Capital 0.30 Total 0.95 - New Zealand ( ranked #4): Online Service  0.32 Telecommunications-Infrastructure 0.32  Human Capital 0.33 Total 0.94 - Sweden ( ranked #5): Online Service  0.30 Telecommunications-Infrastructure 0.30  Human Capital 0.32 Total 0.94 - Iceland  ( ranked #5): Online Service  0.30 Telecommunications-Infrastructure 0.30  Human Capital 0.32 Total 0.94 - Australia ( ranked #7): Online Service  0.31 Telecommunications-Infrastructure 0.31  Human Capital 0.33 Total 0.94 - Netherlands  ( ranked #9): Online Service  0.30 Telecommunications-Infrastructure 0.30  Human Capital 0.32 Total 0.94 - USA ( ranked #10): Online Service  0.31 Telecommunications-Infrastructure 0.31  Human Capital 0.31 Total 0.92 - UK ( ranked #11): Online Service  0.30 Telecommunications-Infrastructure 0.30  Human Capital 0.31 Total 0.91 - Singapore ( ranked #12): Online Service  0.32 Telecommunications-Infrastructure 0.32  Human Capital 0.30 Total 0.91 - Japan ( ranked #14): Online Service  0.30 Telecommunications-Infrastructure 0.30  Human Capital 0.29 Total 0.90 - Norway  ( ranked #17): Online Service  0.27 Telecommunications-Infrastructure 0.27  Human Capital 0.32 Total 0.89 - Canada ( ranked #32): Online Service  0.28 Telecommunications-Infrastructure 0.28  Human Capital 0.31 Total 0.85 - Europe ( ranked #na): Online Service  0.26 Telecommunications-Infrastructure 0.26  Human Capital 0.29 Total 0.83 - China ( ranked #43): Online Service  0.30 Telecommunications-Infrastructure 0.30  Human Capital 0.25 Total 0.81 - Mexico ( ranked #62): Online Service  0.27 Telecommunications-Infrastructure 0.27  Human Capital 0.26 Total 0.75 - Indonesia ( ranked #77): Online Service  0.25 Telecommunications-Infrastructure 0.25  Human Capital 0.25 Total 0.72 - Vietnam ( ranked #86): Online Service  0.22 Telecommunications-Infrastructure 0.22  Human Capital 0.23 Total 0.68 - Asia ( ranked #na): Online Service  0.20 Telecommunications-Infrastructure 0.20  Human Capital 0.24 Total 0.65 - World ( ranked #na): Online Service  0.19 Telecommunications-Infrastructure 0.19  Human Capital 0.23 Total 0.61 - India ( ranked #105): Online Service  0.26 Telecommunications-Infrastructure 0.26  Human Capital 0.19 Total 0.59 - Africa ( ranked #na): Online Service  0.12 Telecommunications-Infrastructure 0.12  Human Capital 0.16 Total 0.41.&#10;"/>
                    <pic:cNvPicPr/>
                  </pic:nvPicPr>
                  <pic:blipFill rotWithShape="1">
                    <a:blip r:embed="rId36" cstate="hqprint">
                      <a:extLst>
                        <a:ext uri="{28A0092B-C50C-407E-A947-70E740481C1C}">
                          <a14:useLocalDpi xmlns:a14="http://schemas.microsoft.com/office/drawing/2010/main"/>
                        </a:ext>
                      </a:extLst>
                    </a:blip>
                    <a:srcRect/>
                    <a:stretch/>
                  </pic:blipFill>
                  <pic:spPr bwMode="auto">
                    <a:xfrm>
                      <a:off x="0" y="0"/>
                      <a:ext cx="6336030" cy="4483100"/>
                    </a:xfrm>
                    <a:prstGeom prst="rect">
                      <a:avLst/>
                    </a:prstGeom>
                    <a:ln>
                      <a:noFill/>
                    </a:ln>
                    <a:extLst>
                      <a:ext uri="{53640926-AAD7-44D8-BBD7-CCE9431645EC}">
                        <a14:shadowObscured xmlns:a14="http://schemas.microsoft.com/office/drawing/2010/main"/>
                      </a:ext>
                    </a:extLst>
                  </pic:spPr>
                </pic:pic>
              </a:graphicData>
            </a:graphic>
          </wp:inline>
        </w:drawing>
      </w:r>
    </w:p>
    <w:p w14:paraId="6B0F151A" w14:textId="77777777" w:rsidR="00057CDC" w:rsidRPr="002322B7" w:rsidRDefault="00057CDC" w:rsidP="00057CDC">
      <w:pPr>
        <w:pStyle w:val="Sourcesandnotes"/>
      </w:pPr>
      <w:r w:rsidRPr="002322B7">
        <w:rPr>
          <w:b/>
          <w:bCs/>
        </w:rPr>
        <w:t>Notes: 1.</w:t>
      </w:r>
      <w:r w:rsidRPr="002322B7">
        <w:t xml:space="preserve"> The number in brackets indicates the country’s ranking across 193 countries. </w:t>
      </w:r>
      <w:r w:rsidRPr="002322B7">
        <w:rPr>
          <w:b/>
          <w:bCs/>
        </w:rPr>
        <w:t>2.</w:t>
      </w:r>
      <w:r w:rsidRPr="002322B7">
        <w:t xml:space="preserve"> The E-Government Development Index (EGDI) measures the degree of digitalisation by the public service. The EDGI is based on the weighted average of three indices: the telecommunications infrastructure index, the online service index and the human capital index. </w:t>
      </w:r>
    </w:p>
    <w:p w14:paraId="3CA977AA" w14:textId="0AA1CF5B" w:rsidR="00057CDC" w:rsidRPr="002322B7" w:rsidRDefault="00057CDC" w:rsidP="00057CDC">
      <w:pPr>
        <w:pStyle w:val="Sourcesandnotes"/>
      </w:pPr>
      <w:r w:rsidRPr="002322B7">
        <w:rPr>
          <w:b/>
          <w:bCs/>
        </w:rPr>
        <w:t>Sources:</w:t>
      </w:r>
      <w:r w:rsidRPr="002322B7">
        <w:t xml:space="preserve"> United Nations Department of Economic and Social Affairs, 2024, E-Government Survey 2022; Austrade</w:t>
      </w:r>
      <w:r w:rsidR="000408F7" w:rsidRPr="002322B7">
        <w:t>.</w:t>
      </w:r>
    </w:p>
    <w:p w14:paraId="69038D15" w14:textId="77777777" w:rsidR="00564417" w:rsidRPr="002322B7" w:rsidRDefault="00564417" w:rsidP="00564417">
      <w:pPr>
        <w:pStyle w:val="Sourcesandnotes"/>
      </w:pPr>
    </w:p>
    <w:p w14:paraId="0E0D31B5" w14:textId="77777777" w:rsidR="00622134" w:rsidRPr="002322B7" w:rsidRDefault="00622134" w:rsidP="00622134">
      <w:pPr>
        <w:pStyle w:val="Heading-level2"/>
      </w:pPr>
      <w:bookmarkStart w:id="92" w:name="_Toc164678008"/>
      <w:bookmarkStart w:id="93" w:name="_Toc165471194"/>
      <w:bookmarkStart w:id="94" w:name="_Toc171500329"/>
      <w:r w:rsidRPr="002322B7">
        <w:lastRenderedPageBreak/>
        <w:t xml:space="preserve">A pioneer in renewables </w:t>
      </w:r>
      <w:bookmarkEnd w:id="92"/>
      <w:r w:rsidRPr="002322B7">
        <w:t>R&amp;D</w:t>
      </w:r>
      <w:bookmarkEnd w:id="93"/>
      <w:bookmarkEnd w:id="94"/>
    </w:p>
    <w:bookmarkEnd w:id="90"/>
    <w:p w14:paraId="5A93EFD9" w14:textId="68044402" w:rsidR="004A0E4C" w:rsidRPr="002322B7" w:rsidRDefault="00622134" w:rsidP="00CA731D">
      <w:pPr>
        <w:pStyle w:val="Body-copy"/>
        <w:rPr>
          <w:lang w:val="en-AU"/>
        </w:rPr>
      </w:pPr>
      <w:r w:rsidRPr="002322B7">
        <w:rPr>
          <w:lang w:val="en-AU"/>
        </w:rPr>
        <w:t>Australia is a significant contributor to R&amp;D in renewable energy. Patent registration in Australia is exceptionally high with Australians registering 10,700 patents in solar technologies and 4,000 patents in wind energy between 2000 and 202</w:t>
      </w:r>
      <w:r w:rsidR="00827B8B" w:rsidRPr="002322B7">
        <w:rPr>
          <w:lang w:val="en-AU"/>
        </w:rPr>
        <w:t>2</w:t>
      </w:r>
      <w:r w:rsidRPr="002322B7">
        <w:rPr>
          <w:lang w:val="en-AU"/>
        </w:rPr>
        <w:t>. In terms of total renewable energy patents per person, Australia ranks 7</w:t>
      </w:r>
      <w:r w:rsidRPr="002322B7">
        <w:rPr>
          <w:vertAlign w:val="superscript"/>
          <w:lang w:val="en-AU"/>
        </w:rPr>
        <w:t>th</w:t>
      </w:r>
      <w:r w:rsidRPr="002322B7">
        <w:rPr>
          <w:lang w:val="en-AU"/>
        </w:rPr>
        <w:t xml:space="preserve"> in the world</w:t>
      </w:r>
      <w:r w:rsidR="002801A0">
        <w:rPr>
          <w:lang w:val="en-AU"/>
        </w:rPr>
        <w:t xml:space="preserve">, which </w:t>
      </w:r>
      <w:r w:rsidRPr="002322B7">
        <w:rPr>
          <w:lang w:val="en-AU"/>
        </w:rPr>
        <w:t>is just behind Germany and ahead of the US. High patent registrations demonstrate that Australia’s business and research sector</w:t>
      </w:r>
      <w:r w:rsidR="0003078C" w:rsidRPr="002322B7">
        <w:rPr>
          <w:lang w:val="en-AU"/>
        </w:rPr>
        <w:t>s</w:t>
      </w:r>
      <w:r w:rsidRPr="002322B7">
        <w:rPr>
          <w:lang w:val="en-AU"/>
        </w:rPr>
        <w:t xml:space="preserve"> are developing innovative and practical ways to address the challenges</w:t>
      </w:r>
      <w:r w:rsidR="0003078C" w:rsidRPr="002322B7">
        <w:rPr>
          <w:lang w:val="en-AU"/>
        </w:rPr>
        <w:t xml:space="preserve"> related to</w:t>
      </w:r>
      <w:r w:rsidRPr="002322B7">
        <w:rPr>
          <w:lang w:val="en-AU"/>
        </w:rPr>
        <w:t xml:space="preserve"> renewable energy. </w:t>
      </w:r>
    </w:p>
    <w:p w14:paraId="36D22452" w14:textId="00341DDC" w:rsidR="00622134" w:rsidRDefault="006719E7" w:rsidP="00622134">
      <w:pPr>
        <w:pStyle w:val="Caption"/>
      </w:pPr>
      <w:bookmarkStart w:id="95" w:name="_Toc171500376"/>
      <w:bookmarkStart w:id="96" w:name="_Toc165079555"/>
      <w:bookmarkStart w:id="97" w:name="_Toc165017482"/>
      <w:bookmarkEnd w:id="91"/>
      <w:r w:rsidRPr="002322B7">
        <w:t xml:space="preserve">Figure </w:t>
      </w:r>
      <w:r w:rsidR="00CF16FA">
        <w:fldChar w:fldCharType="begin"/>
      </w:r>
      <w:r w:rsidR="00CF16FA">
        <w:instrText xml:space="preserve"> SEQ Figure \* ARABIC </w:instrText>
      </w:r>
      <w:r w:rsidR="00CF16FA">
        <w:fldChar w:fldCharType="separate"/>
      </w:r>
      <w:r w:rsidR="002459CF">
        <w:rPr>
          <w:noProof/>
        </w:rPr>
        <w:t>20</w:t>
      </w:r>
      <w:r w:rsidR="00CF16FA">
        <w:rPr>
          <w:noProof/>
        </w:rPr>
        <w:fldChar w:fldCharType="end"/>
      </w:r>
      <w:r w:rsidR="00622134" w:rsidRPr="002322B7">
        <w:t xml:space="preserve"> – Renewable energy patents by economy</w:t>
      </w:r>
      <w:bookmarkEnd w:id="95"/>
    </w:p>
    <w:p w14:paraId="3E84C0D4" w14:textId="284C557D" w:rsidR="00305C05" w:rsidRDefault="00305C05" w:rsidP="00305C05">
      <w:r>
        <w:rPr>
          <w:noProof/>
        </w:rPr>
        <w:drawing>
          <wp:inline distT="0" distB="0" distL="0" distR="0" wp14:anchorId="137874FA" wp14:editId="2C64BC1D">
            <wp:extent cx="6336030" cy="4514850"/>
            <wp:effectExtent l="0" t="0" r="7620" b="0"/>
            <wp:docPr id="127718269" name="Picture 31" descr="The graph plots the number of renewable energy patents per million persons in different economies from 2000 to 2022.&#10;The information, including each region's ranking in brackets, is as follows: Korea (1) 5110; Japan (2) 3689; Denmark (3) 2368; San Marino (4) 2228; Taiwan (5) 2151; Germany (6) 1910; Australia (7) 1723; US (8) 1517; Canada (9) 1454; Austria (10) 1314; Singapore (11) 1139; China (12) 1090; New Zealand (14) 740; Hong Kong SAR (16) 632; Norway (17) 629; France (22) 432; UK (24) 359; Sweden (29) 238; Netherlands (33) 183; and Italy (40) 1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8269" name="Picture 31" descr="The graph plots the number of renewable energy patents per million persons in different economies from 2000 to 2022.&#10;The information, including each region's ranking in brackets, is as follows: Korea (1) 5110; Japan (2) 3689; Denmark (3) 2368; San Marino (4) 2228; Taiwan (5) 2151; Germany (6) 1910; Australia (7) 1723; US (8) 1517; Canada (9) 1454; Austria (10) 1314; Singapore (11) 1139; China (12) 1090; New Zealand (14) 740; Hong Kong SAR (16) 632; Norway (17) 629; France (22) 432; UK (24) 359; Sweden (29) 238; Netherlands (33) 183; and Italy (40) 115. "/>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6336030" cy="4514850"/>
                    </a:xfrm>
                    <a:prstGeom prst="rect">
                      <a:avLst/>
                    </a:prstGeom>
                    <a:ln>
                      <a:noFill/>
                    </a:ln>
                    <a:extLst>
                      <a:ext uri="{53640926-AAD7-44D8-BBD7-CCE9431645EC}">
                        <a14:shadowObscured xmlns:a14="http://schemas.microsoft.com/office/drawing/2010/main"/>
                      </a:ext>
                    </a:extLst>
                  </pic:spPr>
                </pic:pic>
              </a:graphicData>
            </a:graphic>
          </wp:inline>
        </w:drawing>
      </w:r>
    </w:p>
    <w:p w14:paraId="3A1F0C41" w14:textId="112C9477" w:rsidR="00622134" w:rsidRPr="002322B7" w:rsidRDefault="00622134" w:rsidP="00622134">
      <w:pPr>
        <w:pStyle w:val="Sourcesandnotes"/>
      </w:pPr>
      <w:r w:rsidRPr="002322B7">
        <w:rPr>
          <w:b/>
          <w:bCs/>
        </w:rPr>
        <w:t xml:space="preserve">Notes: 1. </w:t>
      </w:r>
      <w:r w:rsidRPr="002322B7">
        <w:t xml:space="preserve">This includes diverse sources of energy such as biofuels, waste-derived fuel, geothermal energy, heat pumps, hydropower, marine energy, PV-thermal hybrid, solar photovoltaic, solar thermal and wind energy. It also covers 'enable technologies,' as defined by IRENA. </w:t>
      </w:r>
      <w:r w:rsidRPr="002322B7">
        <w:rPr>
          <w:b/>
          <w:bCs/>
        </w:rPr>
        <w:t xml:space="preserve">2. </w:t>
      </w:r>
      <w:r w:rsidRPr="002322B7">
        <w:t>There is a delay between the submission of data and its official publication as patents. For this reason, data from recent year is not presented in the charts.</w:t>
      </w:r>
    </w:p>
    <w:p w14:paraId="50554B2A" w14:textId="5F1617F0" w:rsidR="00622134" w:rsidRPr="002322B7" w:rsidRDefault="00622134" w:rsidP="00CA731D">
      <w:pPr>
        <w:pStyle w:val="Sourcesandnotes"/>
      </w:pPr>
      <w:r w:rsidRPr="002322B7">
        <w:rPr>
          <w:b/>
          <w:bCs/>
        </w:rPr>
        <w:t xml:space="preserve">Sources: </w:t>
      </w:r>
      <w:r w:rsidRPr="002322B7">
        <w:t>The World Bank,</w:t>
      </w:r>
      <w:r w:rsidR="004C2179" w:rsidRPr="002322B7">
        <w:t xml:space="preserve"> </w:t>
      </w:r>
      <w:r w:rsidRPr="002322B7">
        <w:t>2024, Population; IRENA, 2024, INSPIRE, Data provided by the Innovation for the Energy Transition Division of IRENA; Austrade.</w:t>
      </w:r>
    </w:p>
    <w:p w14:paraId="733163B8" w14:textId="77777777" w:rsidR="00622134" w:rsidRPr="002322B7" w:rsidRDefault="00622134" w:rsidP="00622134">
      <w:pPr>
        <w:pStyle w:val="Heading-level2"/>
      </w:pPr>
      <w:bookmarkStart w:id="98" w:name="_Toc165471195"/>
      <w:bookmarkStart w:id="99" w:name="_Toc171500330"/>
      <w:r w:rsidRPr="002322B7">
        <w:lastRenderedPageBreak/>
        <w:t>Advanced research in hydrogen</w:t>
      </w:r>
      <w:bookmarkEnd w:id="98"/>
      <w:bookmarkEnd w:id="99"/>
    </w:p>
    <w:p w14:paraId="48CB8566" w14:textId="32DB3953" w:rsidR="00622134" w:rsidRPr="002322B7" w:rsidRDefault="00622134" w:rsidP="003F1867">
      <w:pPr>
        <w:pStyle w:val="Body-copy"/>
        <w:rPr>
          <w:lang w:val="en-AU"/>
        </w:rPr>
      </w:pPr>
      <w:r w:rsidRPr="002322B7">
        <w:rPr>
          <w:lang w:val="en-AU"/>
        </w:rPr>
        <w:t>Australian researchers are pioneering new technologies in solar power, renewable hydroge</w:t>
      </w:r>
      <w:r w:rsidR="003F1125" w:rsidRPr="002322B7">
        <w:rPr>
          <w:lang w:val="en-AU"/>
        </w:rPr>
        <w:t>n</w:t>
      </w:r>
      <w:r w:rsidRPr="002322B7">
        <w:rPr>
          <w:lang w:val="en-AU"/>
        </w:rPr>
        <w:t xml:space="preserve"> and battery storage. For example, Australia’s lead science agency, the CSIRO is leading efforts to create a commercially sustainable hydrogen industry in Australia. </w:t>
      </w:r>
      <w:r w:rsidR="008B2AC3">
        <w:rPr>
          <w:lang w:val="en-AU"/>
        </w:rPr>
        <w:t>The International Energy Agency (</w:t>
      </w:r>
      <w:r w:rsidRPr="002322B7">
        <w:rPr>
          <w:lang w:val="en-AU"/>
        </w:rPr>
        <w:t>IEA</w:t>
      </w:r>
      <w:r w:rsidR="008B2AC3">
        <w:rPr>
          <w:lang w:val="en-AU"/>
        </w:rPr>
        <w:t>)</w:t>
      </w:r>
      <w:r w:rsidRPr="002322B7">
        <w:rPr>
          <w:lang w:val="en-AU"/>
        </w:rPr>
        <w:t xml:space="preserve"> ranks Australia among the top </w:t>
      </w:r>
      <w:r w:rsidR="00B531FF">
        <w:rPr>
          <w:lang w:val="en-AU"/>
        </w:rPr>
        <w:t>three</w:t>
      </w:r>
      <w:r w:rsidRPr="002322B7">
        <w:rPr>
          <w:lang w:val="en-AU"/>
        </w:rPr>
        <w:t xml:space="preserve"> countries </w:t>
      </w:r>
      <w:r w:rsidR="003F1125" w:rsidRPr="002322B7">
        <w:rPr>
          <w:lang w:val="en-AU"/>
        </w:rPr>
        <w:t xml:space="preserve">in the world </w:t>
      </w:r>
      <w:r w:rsidRPr="002322B7">
        <w:rPr>
          <w:lang w:val="en-AU"/>
        </w:rPr>
        <w:t>for per</w:t>
      </w:r>
      <w:r w:rsidR="003F1125" w:rsidRPr="002322B7">
        <w:rPr>
          <w:lang w:val="en-AU"/>
        </w:rPr>
        <w:t>-</w:t>
      </w:r>
      <w:r w:rsidRPr="002322B7">
        <w:rPr>
          <w:lang w:val="en-AU"/>
        </w:rPr>
        <w:t xml:space="preserve">capita public spending on R&amp;D in hydrogen and fuel cell technologies. </w:t>
      </w:r>
    </w:p>
    <w:p w14:paraId="42C98820" w14:textId="1203A359" w:rsidR="00622134" w:rsidRDefault="00622134" w:rsidP="00622134">
      <w:pPr>
        <w:pStyle w:val="Caption"/>
      </w:pPr>
      <w:bookmarkStart w:id="100" w:name="_Toc171500377"/>
      <w:bookmarkEnd w:id="96"/>
      <w:r w:rsidRPr="002322B7">
        <w:t xml:space="preserve">Figure </w:t>
      </w:r>
      <w:bookmarkStart w:id="101" w:name="_Toc165079556"/>
      <w:bookmarkStart w:id="102" w:name="_Toc165017483"/>
      <w:bookmarkEnd w:id="97"/>
      <w:r w:rsidR="006719E7" w:rsidRPr="002322B7">
        <w:fldChar w:fldCharType="begin"/>
      </w:r>
      <w:r w:rsidR="006719E7" w:rsidRPr="002322B7">
        <w:instrText xml:space="preserve"> SEQ Figure \* ARABIC </w:instrText>
      </w:r>
      <w:r w:rsidR="006719E7" w:rsidRPr="002322B7">
        <w:fldChar w:fldCharType="separate"/>
      </w:r>
      <w:r w:rsidR="002459CF">
        <w:rPr>
          <w:noProof/>
        </w:rPr>
        <w:t>21</w:t>
      </w:r>
      <w:r w:rsidR="006719E7" w:rsidRPr="002322B7">
        <w:rPr>
          <w:noProof/>
        </w:rPr>
        <w:fldChar w:fldCharType="end"/>
      </w:r>
      <w:r w:rsidRPr="002322B7">
        <w:t xml:space="preserve"> – Public spending on R&amp;D for hydrogen and fuel cells</w:t>
      </w:r>
      <w:bookmarkEnd w:id="100"/>
    </w:p>
    <w:p w14:paraId="7EF2D546" w14:textId="5150B09C" w:rsidR="00305C05" w:rsidRDefault="00305C05" w:rsidP="00305C05">
      <w:r>
        <w:rPr>
          <w:noProof/>
        </w:rPr>
        <w:drawing>
          <wp:inline distT="0" distB="0" distL="0" distR="0" wp14:anchorId="1F94203F" wp14:editId="1F7A2832">
            <wp:extent cx="6336030" cy="4347845"/>
            <wp:effectExtent l="0" t="0" r="7620" b="0"/>
            <wp:docPr id="141648395" name="Picture 32" descr="The graph shows the Public spending on research and development for hydrogen and fuel cells by country. The information is as follows: Sweden (ranked #18) value 0.4; Denmark (ranked #14) value 0.9; US (ranked #13) value 0.9; Belgium (ranked #12) value 1.0; UK (ranked #11) value 1.0; Japan (ranked #10) value 1.3; Netherlands (ranked #9) value 2.1; Canada (ranked #8) value 2.2; Korea (ranked #7) value 2.2; Switzerland (ranked #6) value 2.2; Austria (ranked #5) value 3.5; Germany (ranked #4) value 3.9; Australia (ranked #3) value 4.1; Norway (ranked #2) value 6.3; and France (ranked #1) valu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8395" name="Picture 32" descr="The graph shows the Public spending on research and development for hydrogen and fuel cells by country. The information is as follows: Sweden (ranked #18) value 0.4; Denmark (ranked #14) value 0.9; US (ranked #13) value 0.9; Belgium (ranked #12) value 1.0; UK (ranked #11) value 1.0; Japan (ranked #10) value 1.3; Netherlands (ranked #9) value 2.1; Canada (ranked #8) value 2.2; Korea (ranked #7) value 2.2; Switzerland (ranked #6) value 2.2; Austria (ranked #5) value 3.5; Germany (ranked #4) value 3.9; Australia (ranked #3) value 4.1; Norway (ranked #2) value 6.3; and France (ranked #1) value 23.7."/>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6336030" cy="4347845"/>
                    </a:xfrm>
                    <a:prstGeom prst="rect">
                      <a:avLst/>
                    </a:prstGeom>
                    <a:ln>
                      <a:noFill/>
                    </a:ln>
                    <a:extLst>
                      <a:ext uri="{53640926-AAD7-44D8-BBD7-CCE9431645EC}">
                        <a14:shadowObscured xmlns:a14="http://schemas.microsoft.com/office/drawing/2010/main"/>
                      </a:ext>
                    </a:extLst>
                  </pic:spPr>
                </pic:pic>
              </a:graphicData>
            </a:graphic>
          </wp:inline>
        </w:drawing>
      </w:r>
    </w:p>
    <w:p w14:paraId="3FAF4B27" w14:textId="1C7AAFA4" w:rsidR="00622134" w:rsidRPr="002322B7" w:rsidRDefault="00622134" w:rsidP="00622134">
      <w:pPr>
        <w:pStyle w:val="Sourcesandnotes"/>
      </w:pPr>
      <w:r w:rsidRPr="002322B7">
        <w:rPr>
          <w:b/>
          <w:bCs/>
        </w:rPr>
        <w:t>Note: 1.</w:t>
      </w:r>
      <w:r w:rsidRPr="002322B7">
        <w:t xml:space="preserve"> The number in brackets indicates the economy’s ranking across 33 IEA members and associate countries. </w:t>
      </w:r>
    </w:p>
    <w:p w14:paraId="42E2FDD2" w14:textId="544DD18A" w:rsidR="00622134" w:rsidRPr="002322B7" w:rsidRDefault="00622134" w:rsidP="00622134">
      <w:pPr>
        <w:pStyle w:val="Sourcesandnotes"/>
      </w:pPr>
      <w:r w:rsidRPr="002322B7">
        <w:rPr>
          <w:b/>
          <w:bCs/>
        </w:rPr>
        <w:t>Sources:</w:t>
      </w:r>
      <w:r w:rsidRPr="002322B7">
        <w:t xml:space="preserve"> The World Bank,</w:t>
      </w:r>
      <w:r w:rsidR="002E4452" w:rsidRPr="002322B7">
        <w:t xml:space="preserve"> </w:t>
      </w:r>
      <w:r w:rsidRPr="002322B7">
        <w:t>2024, Population; Worldometer, 2022 Population by country; IRENA, 2022, Patents evolution; accessed December 2022; International Energy Agency, 2024, Energy Technology R&amp;D Budgets; Austrade.</w:t>
      </w:r>
    </w:p>
    <w:p w14:paraId="00437AB2" w14:textId="5D58BEAE" w:rsidR="00A70A86" w:rsidRPr="002322B7" w:rsidRDefault="00A70A86" w:rsidP="00A70A86">
      <w:pPr>
        <w:pStyle w:val="Heading-level2"/>
      </w:pPr>
      <w:bookmarkStart w:id="103" w:name="_Toc165471184"/>
      <w:bookmarkStart w:id="104" w:name="_Toc171500331"/>
      <w:r w:rsidRPr="002322B7">
        <w:lastRenderedPageBreak/>
        <w:t>Academic excellence — fro</w:t>
      </w:r>
      <w:r w:rsidR="006F4394" w:rsidRPr="002322B7">
        <w:t>m</w:t>
      </w:r>
      <w:r w:rsidRPr="002322B7">
        <w:t xml:space="preserve"> neuroscience</w:t>
      </w:r>
      <w:bookmarkEnd w:id="103"/>
      <w:r w:rsidR="006F4394" w:rsidRPr="002322B7">
        <w:t xml:space="preserve"> to space</w:t>
      </w:r>
      <w:bookmarkEnd w:id="104"/>
    </w:p>
    <w:p w14:paraId="37C6A58D" w14:textId="1B28509A" w:rsidR="00A70A86" w:rsidRPr="002322B7" w:rsidRDefault="00A70A86" w:rsidP="003F1867">
      <w:pPr>
        <w:pStyle w:val="Body-copy"/>
        <w:rPr>
          <w:lang w:val="en-AU"/>
        </w:rPr>
      </w:pPr>
      <w:r w:rsidRPr="002322B7">
        <w:rPr>
          <w:lang w:val="en-AU"/>
        </w:rPr>
        <w:t>Australian scientific publications are highly ranked globally in terms of their impact in 19 academic fields. Our expertise is broad</w:t>
      </w:r>
      <w:r w:rsidR="00AE5DA0">
        <w:rPr>
          <w:lang w:val="en-AU"/>
        </w:rPr>
        <w:t xml:space="preserve"> </w:t>
      </w:r>
      <w:r w:rsidRPr="002322B7">
        <w:rPr>
          <w:lang w:val="en-AU"/>
        </w:rPr>
        <w:t xml:space="preserve">based, ranking </w:t>
      </w:r>
      <w:r w:rsidR="006F4394" w:rsidRPr="002322B7">
        <w:rPr>
          <w:lang w:val="en-AU"/>
        </w:rPr>
        <w:t>‘</w:t>
      </w:r>
      <w:r w:rsidRPr="002322B7">
        <w:rPr>
          <w:lang w:val="en-AU"/>
        </w:rPr>
        <w:t>very high</w:t>
      </w:r>
      <w:r w:rsidR="006F4394" w:rsidRPr="002322B7">
        <w:rPr>
          <w:lang w:val="en-AU"/>
        </w:rPr>
        <w:t>’</w:t>
      </w:r>
      <w:r w:rsidRPr="002322B7">
        <w:rPr>
          <w:lang w:val="en-AU"/>
        </w:rPr>
        <w:t xml:space="preserve"> in computer science, space science, clinical medicine, molecular biology and genetics, physics, materials science, and engineering. We also ranked </w:t>
      </w:r>
      <w:r w:rsidR="006F4394" w:rsidRPr="002322B7">
        <w:rPr>
          <w:lang w:val="en-AU"/>
        </w:rPr>
        <w:t xml:space="preserve">‘high’ </w:t>
      </w:r>
      <w:r w:rsidRPr="002322B7">
        <w:rPr>
          <w:lang w:val="en-AU"/>
        </w:rPr>
        <w:t xml:space="preserve">in fields like chemistry, geosciences, microbiology, neuroscience and behaviour, and immunology. </w:t>
      </w:r>
      <w:r w:rsidR="00463175" w:rsidRPr="002322B7">
        <w:rPr>
          <w:lang w:val="en-AU"/>
        </w:rPr>
        <w:t xml:space="preserve">Many </w:t>
      </w:r>
      <w:r w:rsidRPr="002322B7">
        <w:rPr>
          <w:lang w:val="en-AU"/>
        </w:rPr>
        <w:t xml:space="preserve">Australian scientific research publications consistently perform at least 20% </w:t>
      </w:r>
      <w:r w:rsidR="00CC2C7C">
        <w:rPr>
          <w:lang w:val="en-AU"/>
        </w:rPr>
        <w:t>better</w:t>
      </w:r>
      <w:r w:rsidRPr="002322B7">
        <w:rPr>
          <w:lang w:val="en-AU"/>
        </w:rPr>
        <w:t xml:space="preserve"> than the worldwide average in terms of impact. </w:t>
      </w:r>
    </w:p>
    <w:p w14:paraId="5AC9F67A" w14:textId="435FFBA9" w:rsidR="00A70A86" w:rsidRPr="002322B7" w:rsidRDefault="00A70A86" w:rsidP="00A70A86">
      <w:pPr>
        <w:pStyle w:val="Caption"/>
      </w:pPr>
      <w:bookmarkStart w:id="105" w:name="_Toc165471233"/>
      <w:bookmarkStart w:id="106" w:name="_Toc171500378"/>
      <w:r w:rsidRPr="002322B7">
        <w:t xml:space="preserve">Figure </w:t>
      </w:r>
      <w:r w:rsidR="00CF16FA">
        <w:fldChar w:fldCharType="begin"/>
      </w:r>
      <w:r w:rsidR="00CF16FA">
        <w:instrText xml:space="preserve"> SEQ Figure \* ARABIC </w:instrText>
      </w:r>
      <w:r w:rsidR="00CF16FA">
        <w:fldChar w:fldCharType="separate"/>
      </w:r>
      <w:r w:rsidR="002459CF">
        <w:rPr>
          <w:noProof/>
        </w:rPr>
        <w:t>22</w:t>
      </w:r>
      <w:r w:rsidR="00CF16FA">
        <w:rPr>
          <w:noProof/>
        </w:rPr>
        <w:fldChar w:fldCharType="end"/>
      </w:r>
      <w:r w:rsidRPr="002322B7">
        <w:t xml:space="preserve"> – Relative impacts of Australian scientific publications by research field, 2018–22</w:t>
      </w:r>
      <w:bookmarkEnd w:id="105"/>
      <w:bookmarkEnd w:id="106"/>
    </w:p>
    <w:p w14:paraId="11018FE6" w14:textId="2EF8FD96" w:rsidR="00A70A86" w:rsidRPr="002322B7" w:rsidRDefault="00162589" w:rsidP="00A70A86">
      <w:r>
        <w:rPr>
          <w:noProof/>
        </w:rPr>
        <w:drawing>
          <wp:inline distT="0" distB="0" distL="0" distR="0" wp14:anchorId="21251F4A" wp14:editId="259D52B1">
            <wp:extent cx="6300000" cy="4355806"/>
            <wp:effectExtent l="0" t="0" r="5715" b="6985"/>
            <wp:docPr id="1379896316" name="Picture 33" descr="The bar chart shows the index of relative impacts of Australian scientific publications by research field from 2018 to 2022.&#10;The very highly ranked Australian fields are: Engineering (1.52); Multidisciplinary (1.54); Materials science (1.56); Physics (1.61); Molecular biology &amp; genetics (1.61); Clinical medicine (1.63); Space science (1.69); and Computer science (1.74).&#10;The highly ranked Australian fields are: Psychiatry/psychology (1.25); Social sciences, general (1.27); Immunology (1.29); Plant &amp; animal science (1.3); Environment/ecology (1.34); Neuroscience &amp; behaviour (1.36); Biology &amp; biochemistry (1.37); Microbiology (1.37); Geosciences (1.37); and Chemistry (1.43).&#10;Other not highly ranked Australian fields are: Agricultural sciences (1.15); Economics &amp; business (1.18); Pharmacology &amp; toxicology (1.18); and Mathematics (1.21).&#10;The global average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96316" name="Picture 33" descr="The bar chart shows the index of relative impacts of Australian scientific publications by research field from 2018 to 2022.&#10;The very highly ranked Australian fields are: Engineering (1.52); Multidisciplinary (1.54); Materials science (1.56); Physics (1.61); Molecular biology &amp; genetics (1.61); Clinical medicine (1.63); Space science (1.69); and Computer science (1.74).&#10;The highly ranked Australian fields are: Psychiatry/psychology (1.25); Social sciences, general (1.27); Immunology (1.29); Plant &amp; animal science (1.3); Environment/ecology (1.34); Neuroscience &amp; behaviour (1.36); Biology &amp; biochemistry (1.37); Microbiology (1.37); Geosciences (1.37); and Chemistry (1.43).&#10;Other not highly ranked Australian fields are: Agricultural sciences (1.15); Economics &amp; business (1.18); Pharmacology &amp; toxicology (1.18); and Mathematics (1.21).&#10;The global average is 1.0."/>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6300000" cy="4355806"/>
                    </a:xfrm>
                    <a:prstGeom prst="rect">
                      <a:avLst/>
                    </a:prstGeom>
                    <a:ln>
                      <a:noFill/>
                    </a:ln>
                    <a:extLst>
                      <a:ext uri="{53640926-AAD7-44D8-BBD7-CCE9431645EC}">
                        <a14:shadowObscured xmlns:a14="http://schemas.microsoft.com/office/drawing/2010/main"/>
                      </a:ext>
                    </a:extLst>
                  </pic:spPr>
                </pic:pic>
              </a:graphicData>
            </a:graphic>
          </wp:inline>
        </w:drawing>
      </w:r>
    </w:p>
    <w:p w14:paraId="03FA1B69" w14:textId="77777777" w:rsidR="00A70A86" w:rsidRPr="002322B7" w:rsidRDefault="00A70A86" w:rsidP="00A70A86">
      <w:pPr>
        <w:pStyle w:val="Sourcesandnotes"/>
      </w:pPr>
      <w:r w:rsidRPr="002322B7">
        <w:rPr>
          <w:b/>
          <w:bCs/>
        </w:rPr>
        <w:t xml:space="preserve">Sources: </w:t>
      </w:r>
      <w:r w:rsidRPr="002322B7">
        <w:t xml:space="preserve"> InCites™, Clarivate Analytics, 2022, InCities dataset, accessed 26 March 2024; Austrade.</w:t>
      </w:r>
    </w:p>
    <w:p w14:paraId="2CFA4F1B" w14:textId="77777777" w:rsidR="00A70A86" w:rsidRPr="002322B7" w:rsidRDefault="00A70A86" w:rsidP="00A70A86">
      <w:pPr>
        <w:pStyle w:val="Sourcesandnotes"/>
      </w:pPr>
    </w:p>
    <w:p w14:paraId="403565D0" w14:textId="77777777" w:rsidR="00A70A86" w:rsidRPr="002322B7" w:rsidRDefault="00A70A86" w:rsidP="00622134">
      <w:pPr>
        <w:pStyle w:val="Sourcesandnotes"/>
      </w:pPr>
    </w:p>
    <w:p w14:paraId="41F9841A" w14:textId="77777777" w:rsidR="00C23FEE" w:rsidRPr="002322B7" w:rsidRDefault="00C23FEE" w:rsidP="00C23FEE">
      <w:pPr>
        <w:pStyle w:val="Heading-level2"/>
      </w:pPr>
      <w:bookmarkStart w:id="107" w:name="_Toc165471181"/>
      <w:bookmarkStart w:id="108" w:name="_Toc171500332"/>
      <w:r w:rsidRPr="002322B7">
        <w:lastRenderedPageBreak/>
        <w:t>Skilled workforce and innovation indicators</w:t>
      </w:r>
      <w:bookmarkEnd w:id="107"/>
      <w:bookmarkEnd w:id="108"/>
    </w:p>
    <w:p w14:paraId="1C4DA965" w14:textId="22B1BE53" w:rsidR="00C23FEE" w:rsidRPr="002322B7" w:rsidRDefault="00C23FEE" w:rsidP="00D93F01">
      <w:pPr>
        <w:pStyle w:val="Body-copy"/>
        <w:rPr>
          <w:lang w:val="en-AU"/>
        </w:rPr>
      </w:pPr>
      <w:r w:rsidRPr="002322B7">
        <w:rPr>
          <w:lang w:val="en-AU"/>
        </w:rPr>
        <w:t>Australia’s strength in skills and innovation rests on multiple foundations that include excellent schooling, openness to migration, mobility and a diverse workforce. We benefit from a combination of regulatory standards that ensure qualifications are world-class</w:t>
      </w:r>
      <w:r w:rsidR="002B018C">
        <w:rPr>
          <w:lang w:val="en-AU"/>
        </w:rPr>
        <w:t xml:space="preserve"> </w:t>
      </w:r>
      <w:r w:rsidRPr="002322B7">
        <w:rPr>
          <w:lang w:val="en-AU"/>
        </w:rPr>
        <w:t xml:space="preserve">and a culture of continuous learning. This is supported by a network of tertiary education </w:t>
      </w:r>
      <w:r w:rsidR="00950E13">
        <w:rPr>
          <w:lang w:val="en-AU"/>
        </w:rPr>
        <w:t>institutions</w:t>
      </w:r>
      <w:r w:rsidRPr="002322B7">
        <w:rPr>
          <w:lang w:val="en-AU"/>
        </w:rPr>
        <w:t xml:space="preserve"> </w:t>
      </w:r>
      <w:r w:rsidR="00277FBC" w:rsidRPr="002322B7">
        <w:rPr>
          <w:lang w:val="en-AU"/>
        </w:rPr>
        <w:t>that</w:t>
      </w:r>
      <w:r w:rsidRPr="002322B7">
        <w:rPr>
          <w:lang w:val="en-AU"/>
        </w:rPr>
        <w:t xml:space="preserve"> work closely with local industry</w:t>
      </w:r>
      <w:r w:rsidR="008A3D08">
        <w:rPr>
          <w:lang w:val="en-AU"/>
        </w:rPr>
        <w:t xml:space="preserve"> to produce meaningful research, </w:t>
      </w:r>
      <w:r w:rsidR="00F60D3C">
        <w:rPr>
          <w:lang w:val="en-AU"/>
        </w:rPr>
        <w:t>innovation</w:t>
      </w:r>
      <w:r w:rsidR="00337841">
        <w:rPr>
          <w:lang w:val="en-AU"/>
        </w:rPr>
        <w:t>s</w:t>
      </w:r>
      <w:r w:rsidR="005527B6">
        <w:rPr>
          <w:lang w:val="en-AU"/>
        </w:rPr>
        <w:t>,</w:t>
      </w:r>
      <w:r w:rsidR="00F60D3C">
        <w:rPr>
          <w:lang w:val="en-AU"/>
        </w:rPr>
        <w:t xml:space="preserve"> and </w:t>
      </w:r>
      <w:r w:rsidR="00CB2C8A">
        <w:rPr>
          <w:lang w:val="en-AU"/>
        </w:rPr>
        <w:t xml:space="preserve">skills </w:t>
      </w:r>
      <w:r w:rsidR="005527B6">
        <w:rPr>
          <w:lang w:val="en-AU"/>
        </w:rPr>
        <w:t xml:space="preserve">that are </w:t>
      </w:r>
      <w:r w:rsidR="00CB2C8A">
        <w:rPr>
          <w:lang w:val="en-AU"/>
        </w:rPr>
        <w:t>in high demand</w:t>
      </w:r>
      <w:r w:rsidR="003F64E8" w:rsidRPr="002322B7">
        <w:rPr>
          <w:lang w:val="en-AU"/>
        </w:rPr>
        <w:t xml:space="preserve">. </w:t>
      </w:r>
    </w:p>
    <w:p w14:paraId="6A685A43" w14:textId="44F82800" w:rsidR="00C23FEE" w:rsidRDefault="00C23FEE" w:rsidP="00C23FEE">
      <w:pPr>
        <w:pStyle w:val="Caption"/>
      </w:pPr>
      <w:bookmarkStart w:id="109" w:name="_Toc165471230"/>
      <w:bookmarkStart w:id="110" w:name="_Toc171500379"/>
      <w:r w:rsidRPr="002322B7">
        <w:t xml:space="preserve">Figure </w:t>
      </w:r>
      <w:r w:rsidR="00CF16FA">
        <w:fldChar w:fldCharType="begin"/>
      </w:r>
      <w:r w:rsidR="00CF16FA">
        <w:instrText xml:space="preserve"> SEQ Figure \* ARABIC </w:instrText>
      </w:r>
      <w:r w:rsidR="00CF16FA">
        <w:fldChar w:fldCharType="separate"/>
      </w:r>
      <w:r w:rsidR="002459CF">
        <w:rPr>
          <w:noProof/>
        </w:rPr>
        <w:t>23</w:t>
      </w:r>
      <w:r w:rsidR="00CF16FA">
        <w:rPr>
          <w:noProof/>
        </w:rPr>
        <w:fldChar w:fldCharType="end"/>
      </w:r>
      <w:r w:rsidRPr="002322B7">
        <w:t xml:space="preserve"> – Skilled workforce and innovation indicators – Global rankings</w:t>
      </w:r>
      <w:bookmarkEnd w:id="109"/>
      <w:bookmarkEnd w:id="110"/>
    </w:p>
    <w:p w14:paraId="4914378F" w14:textId="63F0909F" w:rsidR="003D2F29" w:rsidRDefault="003D2F29" w:rsidP="003D2F29">
      <w:r>
        <w:rPr>
          <w:noProof/>
        </w:rPr>
        <w:drawing>
          <wp:inline distT="0" distB="0" distL="0" distR="0" wp14:anchorId="1EE91761" wp14:editId="7DA1072D">
            <wp:extent cx="6300000" cy="4211924"/>
            <wp:effectExtent l="0" t="0" r="5715" b="0"/>
            <wp:docPr id="1874124711" name="Picture 34" descr="The table shows global rankings for different skilled workforce and innovation indicators. &#10;The content in the table is:&#10;The Global Innovation Index 2023 Ranking in:  School life expectancy, years -Australia rank 1; US rank 31; UK rank 16; France rank 41; Germany rank 20; Japan rank 48; Korea rank 26;  and Switzerland rank 23.  E-participation¹ -Australia rank 2; US rank 10; UK rank 6; France rank 37; Germany rank 32; Japan rank 1; Korea rank 9; Switzerland rank 41.  Regulatory quality -Australia rank 4; US rank 18; UK rank 17; France rank 24; Germany rank 11; Japan rank 19; Korea rank 28; Switzerland rank 9.  Females employed with advanced degrees -Australia rank 6; US rank 9; UK rank 22; France rank 19; Germany rank 48; Japan rank 25; Korea rank 28; Switzerland rank 31.  &#10;IMD World Competitiveness Yearbook 2023 Ranking in:  Student mobility² -Australia rank 2; US rank 30; UK rank 8; France rank 27; Germany rank 20; Japan rank 43; Korea rank 40; Switzerland rank 10.  Adaptive attitudes³ -Australia rank 4; US rank 2; UK rank 7; France rank 43; Germany rank 28; Japan rank 22; Korea rank 1; Switzerland rank 16.  Nobel prizes -Australia rank 10; US rank 1; UK rank 2; France rank 4; Germany rank 3; Japan rank 5; Korea rank 29; Switzerland rank 6.  &#10;The Global Talent Competitiveness Index 2023 Ranking in:  High-level skills, global knowledge -Australia rank 2; US rank 3; UK rank 8; France rank 25; Germany rank 32; Japan rank 38; Korea rank 16; Switzerland rank 1.  Tertiary enrolment⁴ -Australia rank 3; US rank 13; UK rank 37; France rank 40; Germany rank 28; Japan rank 47; Korea rank 4; Switzerland rank 46.  Scientific journal articles -Australia rank 4; US rank 24; UK rank 15; France rank 32; Germany rank 25; Japan rank 36; Korea rank 22; Switzerland rank 1.  University ranking⁵ -Australia rank 5; US rank 1; UK rank 2; France rank 8; Germany rank 10; Japan rank 7; Korea rank 9; Switzerland rank 4.  Tolerance of immigrants -Australia rank 6; US rank 11; UK rank 24; France rank 60; Germany rank 34; Japan rank 72; Korea rank 66; Switzerland rank 29.  Startups⁶ -Australia rank 6; US rank na; UK rank 1; France rank 28; Germany rank 75; Japan rank 101; Korea rank na; Switzerland rank 31.  &#10;United Nations Human Development Report 2023-24 Ranking in:  Human Development Index⁷ -Australia rank 10; US rank 20; UK rank 15; France rank 28; Germany rank 7; Japan rank 24; Korea rank 19; Switzerland ran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24711" name="Picture 34" descr="The table shows global rankings for different skilled workforce and innovation indicators. &#10;The content in the table is:&#10;The Global Innovation Index 2023 Ranking in:  School life expectancy, years -Australia rank 1; US rank 31; UK rank 16; France rank 41; Germany rank 20; Japan rank 48; Korea rank 26;  and Switzerland rank 23.  E-participation¹ -Australia rank 2; US rank 10; UK rank 6; France rank 37; Germany rank 32; Japan rank 1; Korea rank 9; Switzerland rank 41.  Regulatory quality -Australia rank 4; US rank 18; UK rank 17; France rank 24; Germany rank 11; Japan rank 19; Korea rank 28; Switzerland rank 9.  Females employed with advanced degrees -Australia rank 6; US rank 9; UK rank 22; France rank 19; Germany rank 48; Japan rank 25; Korea rank 28; Switzerland rank 31.  &#10;IMD World Competitiveness Yearbook 2023 Ranking in:  Student mobility² -Australia rank 2; US rank 30; UK rank 8; France rank 27; Germany rank 20; Japan rank 43; Korea rank 40; Switzerland rank 10.  Adaptive attitudes³ -Australia rank 4; US rank 2; UK rank 7; France rank 43; Germany rank 28; Japan rank 22; Korea rank 1; Switzerland rank 16.  Nobel prizes -Australia rank 10; US rank 1; UK rank 2; France rank 4; Germany rank 3; Japan rank 5; Korea rank 29; Switzerland rank 6.  &#10;The Global Talent Competitiveness Index 2023 Ranking in:  High-level skills, global knowledge -Australia rank 2; US rank 3; UK rank 8; France rank 25; Germany rank 32; Japan rank 38; Korea rank 16; Switzerland rank 1.  Tertiary enrolment⁴ -Australia rank 3; US rank 13; UK rank 37; France rank 40; Germany rank 28; Japan rank 47; Korea rank 4; Switzerland rank 46.  Scientific journal articles -Australia rank 4; US rank 24; UK rank 15; France rank 32; Germany rank 25; Japan rank 36; Korea rank 22; Switzerland rank 1.  University ranking⁵ -Australia rank 5; US rank 1; UK rank 2; France rank 8; Germany rank 10; Japan rank 7; Korea rank 9; Switzerland rank 4.  Tolerance of immigrants -Australia rank 6; US rank 11; UK rank 24; France rank 60; Germany rank 34; Japan rank 72; Korea rank 66; Switzerland rank 29.  Startups⁶ -Australia rank 6; US rank na; UK rank 1; France rank 28; Germany rank 75; Japan rank 101; Korea rank na; Switzerland rank 31.  &#10;United Nations Human Development Report 2023-24 Ranking in:  Human Development Index⁷ -Australia rank 10; US rank 20; UK rank 15; France rank 28; Germany rank 7; Japan rank 24; Korea rank 19; Switzerland rank 1.&#10;"/>
                    <pic:cNvPicPr/>
                  </pic:nvPicPr>
                  <pic:blipFill rotWithShape="1">
                    <a:blip r:embed="rId40" cstate="hqprint">
                      <a:extLst>
                        <a:ext uri="{28A0092B-C50C-407E-A947-70E740481C1C}">
                          <a14:useLocalDpi xmlns:a14="http://schemas.microsoft.com/office/drawing/2010/main"/>
                        </a:ext>
                      </a:extLst>
                    </a:blip>
                    <a:srcRect/>
                    <a:stretch/>
                  </pic:blipFill>
                  <pic:spPr bwMode="auto">
                    <a:xfrm>
                      <a:off x="0" y="0"/>
                      <a:ext cx="6300000" cy="4211924"/>
                    </a:xfrm>
                    <a:prstGeom prst="rect">
                      <a:avLst/>
                    </a:prstGeom>
                    <a:ln>
                      <a:noFill/>
                    </a:ln>
                    <a:extLst>
                      <a:ext uri="{53640926-AAD7-44D8-BBD7-CCE9431645EC}">
                        <a14:shadowObscured xmlns:a14="http://schemas.microsoft.com/office/drawing/2010/main"/>
                      </a:ext>
                    </a:extLst>
                  </pic:spPr>
                </pic:pic>
              </a:graphicData>
            </a:graphic>
          </wp:inline>
        </w:drawing>
      </w:r>
    </w:p>
    <w:p w14:paraId="15946943" w14:textId="497346C6" w:rsidR="00C23FEE" w:rsidRPr="002322B7" w:rsidRDefault="00C23FEE" w:rsidP="00C23FEE">
      <w:pPr>
        <w:pStyle w:val="Sourcesandnotes"/>
      </w:pPr>
      <w:r w:rsidRPr="002322B7">
        <w:rPr>
          <w:b/>
          <w:bCs/>
        </w:rPr>
        <w:t>Notes: 1.</w:t>
      </w:r>
      <w:r w:rsidRPr="002322B7">
        <w:t xml:space="preserve"> A measure of citizen engagement in public policymaking. </w:t>
      </w:r>
      <w:r w:rsidRPr="002322B7">
        <w:rPr>
          <w:b/>
          <w:bCs/>
        </w:rPr>
        <w:t>2.</w:t>
      </w:r>
      <w:r w:rsidRPr="002322B7">
        <w:t xml:space="preserve"> Foreign tertiary–level students per thousand inhabitants. </w:t>
      </w:r>
      <w:r w:rsidRPr="002322B7">
        <w:rPr>
          <w:b/>
          <w:bCs/>
        </w:rPr>
        <w:t>3.</w:t>
      </w:r>
      <w:r w:rsidRPr="002322B7">
        <w:t xml:space="preserve"> This index illustrates how the public perceives globalisation, as well as their use of online services that facilitate public interaction with government. It also evaluates how accessible technology is to the general public. </w:t>
      </w:r>
      <w:r w:rsidRPr="002322B7">
        <w:rPr>
          <w:b/>
          <w:bCs/>
        </w:rPr>
        <w:t>4.</w:t>
      </w:r>
      <w:r w:rsidRPr="002322B7">
        <w:t xml:space="preserve"> Index composed </w:t>
      </w:r>
      <w:r w:rsidR="00E91660" w:rsidRPr="002322B7">
        <w:t>of</w:t>
      </w:r>
      <w:r w:rsidRPr="002322B7">
        <w:t xml:space="preserve"> the ratio of total tertiary enrolment to the corresponded population. </w:t>
      </w:r>
      <w:r w:rsidRPr="002322B7">
        <w:rPr>
          <w:b/>
          <w:bCs/>
        </w:rPr>
        <w:t>5.</w:t>
      </w:r>
      <w:r w:rsidRPr="002322B7">
        <w:t xml:space="preserve"> Based upon QS World University rankings. </w:t>
      </w:r>
      <w:r w:rsidRPr="002322B7">
        <w:rPr>
          <w:b/>
          <w:bCs/>
        </w:rPr>
        <w:t>6.</w:t>
      </w:r>
      <w:r w:rsidRPr="002322B7">
        <w:t xml:space="preserve"> The number of newly registered firms per working-age persons. </w:t>
      </w:r>
      <w:r w:rsidRPr="002322B7">
        <w:rPr>
          <w:b/>
          <w:bCs/>
        </w:rPr>
        <w:t>7.</w:t>
      </w:r>
      <w:r w:rsidRPr="002322B7">
        <w:t xml:space="preserve"> Index combines economic, social and educational indicators.  </w:t>
      </w:r>
    </w:p>
    <w:p w14:paraId="7996FF96" w14:textId="77777777" w:rsidR="00C23FEE" w:rsidRPr="002322B7" w:rsidRDefault="00C23FEE" w:rsidP="00C23FEE">
      <w:pPr>
        <w:pStyle w:val="Sourcesandnotes"/>
      </w:pPr>
      <w:r w:rsidRPr="002322B7">
        <w:rPr>
          <w:b/>
          <w:bCs/>
        </w:rPr>
        <w:t>Sources:</w:t>
      </w:r>
      <w:r w:rsidRPr="002322B7">
        <w:t xml:space="preserve"> World Intellectual Property Organization, 2023, Global Innovation Index 2023; International Institute for Management Development, 2023, IMD World Competitiveness Yearbook 2023; INSEAD, 2023, The Global Talent Competitiveness Index 2023; United Nations, 2024, Human Development Report 2023-24; Austrade. </w:t>
      </w:r>
    </w:p>
    <w:p w14:paraId="30D80BF0" w14:textId="77777777" w:rsidR="00C23FEE" w:rsidRPr="002322B7" w:rsidRDefault="00C23FEE" w:rsidP="00C23FEE">
      <w:pPr>
        <w:pStyle w:val="Heading-level2"/>
      </w:pPr>
      <w:bookmarkStart w:id="111" w:name="_Toc165471182"/>
      <w:bookmarkStart w:id="112" w:name="_Toc171500333"/>
      <w:r w:rsidRPr="002322B7">
        <w:lastRenderedPageBreak/>
        <w:t>Australia's highly educated workforce</w:t>
      </w:r>
      <w:bookmarkEnd w:id="111"/>
      <w:bookmarkEnd w:id="112"/>
    </w:p>
    <w:p w14:paraId="6B4EC622" w14:textId="5529663C" w:rsidR="00C23FEE" w:rsidRPr="002322B7" w:rsidRDefault="00C23FEE" w:rsidP="003F1867">
      <w:pPr>
        <w:pStyle w:val="Body-copy"/>
        <w:rPr>
          <w:lang w:val="en-AU"/>
        </w:rPr>
      </w:pPr>
      <w:r w:rsidRPr="002322B7">
        <w:rPr>
          <w:lang w:val="en-AU"/>
        </w:rPr>
        <w:t>Australian colleges and universities produce high-calibre workers. Almost half of the employed population</w:t>
      </w:r>
      <w:r w:rsidR="003D2D30" w:rsidRPr="002322B7">
        <w:rPr>
          <w:lang w:val="en-AU"/>
        </w:rPr>
        <w:t xml:space="preserve"> in 2023</w:t>
      </w:r>
      <w:r w:rsidRPr="002322B7">
        <w:rPr>
          <w:lang w:val="en-AU"/>
        </w:rPr>
        <w:t xml:space="preserve"> – around 48% – ha</w:t>
      </w:r>
      <w:r w:rsidR="00C402E2" w:rsidRPr="002322B7">
        <w:rPr>
          <w:lang w:val="en-AU"/>
        </w:rPr>
        <w:t>d</w:t>
      </w:r>
      <w:r w:rsidRPr="002322B7">
        <w:rPr>
          <w:lang w:val="en-AU"/>
        </w:rPr>
        <w:t xml:space="preserve"> a tertiary education</w:t>
      </w:r>
      <w:r w:rsidR="00E95E74" w:rsidRPr="002322B7">
        <w:rPr>
          <w:lang w:val="en-AU"/>
        </w:rPr>
        <w:t>.</w:t>
      </w:r>
      <w:r w:rsidRPr="002322B7">
        <w:rPr>
          <w:lang w:val="en-AU"/>
        </w:rPr>
        <w:t xml:space="preserve"> </w:t>
      </w:r>
      <w:r w:rsidR="005A0811" w:rsidRPr="002322B7">
        <w:rPr>
          <w:lang w:val="en-AU"/>
        </w:rPr>
        <w:t xml:space="preserve">This </w:t>
      </w:r>
      <w:r w:rsidRPr="002322B7">
        <w:rPr>
          <w:lang w:val="en-AU"/>
        </w:rPr>
        <w:t>is much higher than</w:t>
      </w:r>
      <w:r w:rsidR="004361D7" w:rsidRPr="002322B7">
        <w:rPr>
          <w:lang w:val="en-AU"/>
        </w:rPr>
        <w:t xml:space="preserve"> the 39% who had a tertiary education a decade ago.</w:t>
      </w:r>
      <w:r w:rsidR="00444ACD">
        <w:rPr>
          <w:lang w:val="en-AU"/>
        </w:rPr>
        <w:t xml:space="preserve"> </w:t>
      </w:r>
      <w:r w:rsidR="00D12546">
        <w:rPr>
          <w:lang w:val="en-AU"/>
        </w:rPr>
        <w:t>S</w:t>
      </w:r>
      <w:r w:rsidRPr="002322B7">
        <w:rPr>
          <w:lang w:val="en-AU"/>
        </w:rPr>
        <w:t xml:space="preserve">ectors </w:t>
      </w:r>
      <w:r w:rsidR="00444ACD">
        <w:rPr>
          <w:lang w:val="en-AU"/>
        </w:rPr>
        <w:t>with a</w:t>
      </w:r>
      <w:r w:rsidR="00444ACD" w:rsidRPr="002322B7">
        <w:rPr>
          <w:lang w:val="en-AU"/>
        </w:rPr>
        <w:t xml:space="preserve">round 70% </w:t>
      </w:r>
      <w:r w:rsidR="00444ACD">
        <w:rPr>
          <w:lang w:val="en-AU"/>
        </w:rPr>
        <w:t xml:space="preserve">or more </w:t>
      </w:r>
      <w:r w:rsidR="00444ACD" w:rsidRPr="002322B7">
        <w:rPr>
          <w:lang w:val="en-AU"/>
        </w:rPr>
        <w:t xml:space="preserve">of </w:t>
      </w:r>
      <w:r w:rsidR="002D6D73">
        <w:rPr>
          <w:lang w:val="en-AU"/>
        </w:rPr>
        <w:t xml:space="preserve">their </w:t>
      </w:r>
      <w:r w:rsidR="00444ACD" w:rsidRPr="002322B7">
        <w:rPr>
          <w:lang w:val="en-AU"/>
        </w:rPr>
        <w:t xml:space="preserve">workers </w:t>
      </w:r>
      <w:r w:rsidR="00DD4F7F">
        <w:rPr>
          <w:lang w:val="en-AU"/>
        </w:rPr>
        <w:t>holding</w:t>
      </w:r>
      <w:r w:rsidR="00444ACD" w:rsidRPr="002322B7">
        <w:rPr>
          <w:lang w:val="en-AU"/>
        </w:rPr>
        <w:t xml:space="preserve"> a tertiary qualification</w:t>
      </w:r>
      <w:r w:rsidR="00444ACD">
        <w:rPr>
          <w:lang w:val="en-AU"/>
        </w:rPr>
        <w:t xml:space="preserve"> </w:t>
      </w:r>
      <w:r w:rsidR="006B5CB7">
        <w:rPr>
          <w:lang w:val="en-AU"/>
        </w:rPr>
        <w:t>are</w:t>
      </w:r>
      <w:r w:rsidRPr="002322B7">
        <w:rPr>
          <w:lang w:val="en-AU"/>
        </w:rPr>
        <w:t xml:space="preserve"> professional and scientific services, financial and insurance services, and education and training</w:t>
      </w:r>
      <w:r w:rsidR="00854B70" w:rsidRPr="002322B7">
        <w:rPr>
          <w:lang w:val="en-AU"/>
        </w:rPr>
        <w:t>.</w:t>
      </w:r>
    </w:p>
    <w:p w14:paraId="4813FF49" w14:textId="5B9A487C" w:rsidR="00C23FEE" w:rsidRDefault="00C23FEE" w:rsidP="00C23FEE">
      <w:pPr>
        <w:pStyle w:val="Caption"/>
      </w:pPr>
      <w:bookmarkStart w:id="113" w:name="_Toc165471231"/>
      <w:bookmarkStart w:id="114" w:name="_Toc171500380"/>
      <w:r w:rsidRPr="002322B7">
        <w:t xml:space="preserve">Figure </w:t>
      </w:r>
      <w:r w:rsidR="00CF16FA">
        <w:fldChar w:fldCharType="begin"/>
      </w:r>
      <w:r w:rsidR="00CF16FA">
        <w:instrText xml:space="preserve"> SEQ Figure \* ARABIC </w:instrText>
      </w:r>
      <w:r w:rsidR="00CF16FA">
        <w:fldChar w:fldCharType="separate"/>
      </w:r>
      <w:r w:rsidR="002459CF">
        <w:rPr>
          <w:noProof/>
        </w:rPr>
        <w:t>24</w:t>
      </w:r>
      <w:r w:rsidR="00CF16FA">
        <w:rPr>
          <w:noProof/>
        </w:rPr>
        <w:fldChar w:fldCharType="end"/>
      </w:r>
      <w:r w:rsidRPr="002322B7">
        <w:t xml:space="preserve"> – Percentage of employed persons with tertiary education by industry¹ </w:t>
      </w:r>
      <w:r w:rsidRPr="002322B7">
        <w:rPr>
          <w:rFonts w:ascii="Calibri" w:hAnsi="Calibri" w:cs="Calibri"/>
        </w:rPr>
        <w:t>―</w:t>
      </w:r>
      <w:r w:rsidRPr="002322B7">
        <w:t xml:space="preserve"> 2023</w:t>
      </w:r>
      <w:bookmarkEnd w:id="113"/>
      <w:bookmarkEnd w:id="114"/>
    </w:p>
    <w:p w14:paraId="6EFDF151" w14:textId="6FB33E60" w:rsidR="00867266" w:rsidRDefault="00867266" w:rsidP="00867266">
      <w:r>
        <w:rPr>
          <w:noProof/>
        </w:rPr>
        <w:drawing>
          <wp:inline distT="0" distB="0" distL="0" distR="0" wp14:anchorId="4A6CE58E" wp14:editId="0C42E6E8">
            <wp:extent cx="6300000" cy="3997900"/>
            <wp:effectExtent l="0" t="0" r="5715" b="3175"/>
            <wp:docPr id="1502700829" name="Picture 35" descr="The graph shows the percentage of employed persons with tertiary education by industry for the year 2022. &#10;The content in the graph is:&#10;The all-industry average was 39% in 2013 and 48% in 2023.&#10;By industry is: Construction 21%; Accommodation &amp; food services 26%; Agriculture, forestry &amp; fishing 29%; Retail trade 29%; Other services 29%; Manufacturing 32%; Transport, postal &amp; warehousing 33%; Mining 33%; Wholesale trade 36%; Administrative &amp; support services 37%; Arts &amp; recreation services 41%; Rental, hiring &amp; real estate services 46%; Electricity, gas, water &amp; waste services 48%; Public administration &amp; safety 61%; Information media &amp; telecommunications 64%; Healthcare &amp; social assistance 65%; Financial &amp; insurance services 70%; Education &amp; training 74%; and Professional, scientific &amp; tech. services 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00829" name="Picture 35" descr="The graph shows the percentage of employed persons with tertiary education by industry for the year 2022. &#10;The content in the graph is:&#10;The all-industry average was 39% in 2013 and 48% in 2023.&#10;By industry is: Construction 21%; Accommodation &amp; food services 26%; Agriculture, forestry &amp; fishing 29%; Retail trade 29%; Other services 29%; Manufacturing 32%; Transport, postal &amp; warehousing 33%; Mining 33%; Wholesale trade 36%; Administrative &amp; support services 37%; Arts &amp; recreation services 41%; Rental, hiring &amp; real estate services 46%; Electricity, gas, water &amp; waste services 48%; Public administration &amp; safety 61%; Information media &amp; telecommunications 64%; Healthcare &amp; social assistance 65%; Financial &amp; insurance services 70%; Education &amp; training 74%; and Professional, scientific &amp; tech. services 76%.&#10;"/>
                    <pic:cNvPicPr/>
                  </pic:nvPicPr>
                  <pic:blipFill rotWithShape="1">
                    <a:blip r:embed="rId41" cstate="hqprint">
                      <a:extLst>
                        <a:ext uri="{28A0092B-C50C-407E-A947-70E740481C1C}">
                          <a14:useLocalDpi xmlns:a14="http://schemas.microsoft.com/office/drawing/2010/main"/>
                        </a:ext>
                      </a:extLst>
                    </a:blip>
                    <a:srcRect/>
                    <a:stretch/>
                  </pic:blipFill>
                  <pic:spPr bwMode="auto">
                    <a:xfrm>
                      <a:off x="0" y="0"/>
                      <a:ext cx="6300000" cy="3997900"/>
                    </a:xfrm>
                    <a:prstGeom prst="rect">
                      <a:avLst/>
                    </a:prstGeom>
                    <a:ln>
                      <a:noFill/>
                    </a:ln>
                    <a:extLst>
                      <a:ext uri="{53640926-AAD7-44D8-BBD7-CCE9431645EC}">
                        <a14:shadowObscured xmlns:a14="http://schemas.microsoft.com/office/drawing/2010/main"/>
                      </a:ext>
                    </a:extLst>
                  </pic:spPr>
                </pic:pic>
              </a:graphicData>
            </a:graphic>
          </wp:inline>
        </w:drawing>
      </w:r>
    </w:p>
    <w:p w14:paraId="17AE28B7" w14:textId="77777777" w:rsidR="00C23FEE" w:rsidRPr="002322B7" w:rsidRDefault="00C23FEE" w:rsidP="00C23FEE">
      <w:pPr>
        <w:pStyle w:val="Sourcesandnotes"/>
      </w:pPr>
      <w:r w:rsidRPr="002322B7">
        <w:rPr>
          <w:b/>
          <w:bCs/>
        </w:rPr>
        <w:t>Note: 1.</w:t>
      </w:r>
      <w:r w:rsidRPr="002322B7">
        <w:t xml:space="preserve"> Tertiary education refers to Advanced Diploma/Diploma or higher.</w:t>
      </w:r>
    </w:p>
    <w:p w14:paraId="0F5CBC7D" w14:textId="77777777" w:rsidR="00C23FEE" w:rsidRPr="002322B7" w:rsidRDefault="00C23FEE" w:rsidP="00C23FEE">
      <w:pPr>
        <w:pStyle w:val="Sourcesandnotes"/>
      </w:pPr>
      <w:r w:rsidRPr="002322B7">
        <w:rPr>
          <w:b/>
          <w:bCs/>
        </w:rPr>
        <w:t>Sources:</w:t>
      </w:r>
      <w:r w:rsidRPr="002322B7">
        <w:t xml:space="preserve"> Australian Bureau of Statistics, 2023, Education and Work, accessed 05 January 2024; Austrade.</w:t>
      </w:r>
    </w:p>
    <w:p w14:paraId="73B7D03D" w14:textId="77777777" w:rsidR="00C23FEE" w:rsidRPr="002322B7" w:rsidRDefault="00C23FEE" w:rsidP="00C23FEE">
      <w:pPr>
        <w:pStyle w:val="Sourcesandnotes"/>
      </w:pPr>
    </w:p>
    <w:p w14:paraId="6DBCA347" w14:textId="77777777" w:rsidR="00C23FEE" w:rsidRPr="002322B7" w:rsidRDefault="00C23FEE" w:rsidP="00C23FEE">
      <w:pPr>
        <w:pStyle w:val="Heading-level2"/>
      </w:pPr>
      <w:bookmarkStart w:id="115" w:name="_Toc165471183"/>
      <w:bookmarkStart w:id="116" w:name="_Toc171500334"/>
      <w:r w:rsidRPr="002322B7">
        <w:lastRenderedPageBreak/>
        <w:t>A big investor in education</w:t>
      </w:r>
      <w:bookmarkEnd w:id="115"/>
      <w:bookmarkEnd w:id="116"/>
    </w:p>
    <w:p w14:paraId="78D0C304" w14:textId="3153C0C1" w:rsidR="00C23FEE" w:rsidRPr="002322B7" w:rsidRDefault="00C23FEE" w:rsidP="00F97465">
      <w:pPr>
        <w:pStyle w:val="Body-copy"/>
        <w:rPr>
          <w:lang w:val="en-AU"/>
        </w:rPr>
      </w:pPr>
      <w:r w:rsidRPr="4FEBF9DC">
        <w:rPr>
          <w:lang w:val="en-AU"/>
        </w:rPr>
        <w:t xml:space="preserve">Australia </w:t>
      </w:r>
      <w:r w:rsidR="0088701F" w:rsidRPr="4FEBF9DC">
        <w:rPr>
          <w:lang w:val="en-AU"/>
        </w:rPr>
        <w:t xml:space="preserve">invests heavily </w:t>
      </w:r>
      <w:r w:rsidRPr="4FEBF9DC">
        <w:rPr>
          <w:lang w:val="en-AU"/>
        </w:rPr>
        <w:t>in skill</w:t>
      </w:r>
      <w:r w:rsidR="00557FB2" w:rsidRPr="4FEBF9DC">
        <w:rPr>
          <w:lang w:val="en-AU"/>
        </w:rPr>
        <w:t>s</w:t>
      </w:r>
      <w:r w:rsidRPr="4FEBF9DC">
        <w:rPr>
          <w:lang w:val="en-AU"/>
        </w:rPr>
        <w:t xml:space="preserve"> development</w:t>
      </w:r>
      <w:r w:rsidR="00557FB2" w:rsidRPr="4FEBF9DC">
        <w:rPr>
          <w:lang w:val="en-AU"/>
        </w:rPr>
        <w:t xml:space="preserve">. </w:t>
      </w:r>
      <w:r w:rsidR="0088701F" w:rsidRPr="4FEBF9DC">
        <w:rPr>
          <w:lang w:val="en-AU"/>
        </w:rPr>
        <w:t>We are</w:t>
      </w:r>
      <w:r w:rsidR="00557FB2" w:rsidRPr="4FEBF9DC">
        <w:rPr>
          <w:lang w:val="en-AU"/>
        </w:rPr>
        <w:t xml:space="preserve"> the </w:t>
      </w:r>
      <w:r w:rsidRPr="4FEBF9DC">
        <w:rPr>
          <w:lang w:val="en-AU"/>
        </w:rPr>
        <w:t>7</w:t>
      </w:r>
      <w:r w:rsidRPr="4FEBF9DC">
        <w:rPr>
          <w:vertAlign w:val="superscript"/>
          <w:lang w:val="en-AU"/>
        </w:rPr>
        <w:t>th</w:t>
      </w:r>
      <w:r w:rsidRPr="4FEBF9DC">
        <w:rPr>
          <w:lang w:val="en-AU"/>
        </w:rPr>
        <w:t>-</w:t>
      </w:r>
      <w:r w:rsidR="00557FB2" w:rsidRPr="4FEBF9DC">
        <w:rPr>
          <w:lang w:val="en-AU"/>
        </w:rPr>
        <w:t>lar</w:t>
      </w:r>
      <w:r w:rsidRPr="4FEBF9DC">
        <w:rPr>
          <w:lang w:val="en-AU"/>
        </w:rPr>
        <w:t xml:space="preserve">gest spender on education among the 38 members of the </w:t>
      </w:r>
      <w:r w:rsidR="00292183" w:rsidRPr="4FEBF9DC">
        <w:rPr>
          <w:lang w:val="en-AU"/>
        </w:rPr>
        <w:t>Organisation for Economic Co</w:t>
      </w:r>
      <w:r w:rsidR="00F22448" w:rsidRPr="4FEBF9DC">
        <w:rPr>
          <w:lang w:val="en-AU"/>
        </w:rPr>
        <w:t>-</w:t>
      </w:r>
      <w:r w:rsidR="00292183" w:rsidRPr="4FEBF9DC">
        <w:rPr>
          <w:lang w:val="en-AU"/>
        </w:rPr>
        <w:t>operation and Development (OECD)</w:t>
      </w:r>
      <w:r w:rsidR="00354925" w:rsidRPr="4FEBF9DC">
        <w:rPr>
          <w:lang w:val="en-AU"/>
        </w:rPr>
        <w:t>, c</w:t>
      </w:r>
      <w:r w:rsidRPr="4FEBF9DC">
        <w:rPr>
          <w:lang w:val="en-AU"/>
        </w:rPr>
        <w:t>ommit</w:t>
      </w:r>
      <w:r w:rsidR="00354925" w:rsidRPr="4FEBF9DC">
        <w:rPr>
          <w:lang w:val="en-AU"/>
        </w:rPr>
        <w:t>ting</w:t>
      </w:r>
      <w:r w:rsidRPr="4FEBF9DC">
        <w:rPr>
          <w:lang w:val="en-AU"/>
        </w:rPr>
        <w:t xml:space="preserve"> the equivalent of 6.2% of our GDP to educational institutions</w:t>
      </w:r>
      <w:r w:rsidR="00F73B47" w:rsidRPr="4FEBF9DC">
        <w:rPr>
          <w:lang w:val="en-AU"/>
        </w:rPr>
        <w:t>. This</w:t>
      </w:r>
      <w:r w:rsidRPr="4FEBF9DC">
        <w:rPr>
          <w:lang w:val="en-AU"/>
        </w:rPr>
        <w:t xml:space="preserve"> surpasses the OECD average of 5.1%</w:t>
      </w:r>
      <w:r w:rsidR="006519DD" w:rsidRPr="4FEBF9DC">
        <w:rPr>
          <w:lang w:val="en-AU"/>
        </w:rPr>
        <w:t xml:space="preserve"> and </w:t>
      </w:r>
      <w:r w:rsidR="00557FB2" w:rsidRPr="4FEBF9DC">
        <w:rPr>
          <w:lang w:val="en-AU"/>
        </w:rPr>
        <w:t>outperform</w:t>
      </w:r>
      <w:r w:rsidR="006519DD" w:rsidRPr="4FEBF9DC">
        <w:rPr>
          <w:lang w:val="en-AU"/>
        </w:rPr>
        <w:t>s</w:t>
      </w:r>
      <w:r w:rsidRPr="4FEBF9DC">
        <w:rPr>
          <w:lang w:val="en-AU"/>
        </w:rPr>
        <w:t xml:space="preserve"> countries such as the US, Canada, and New Zealand.</w:t>
      </w:r>
    </w:p>
    <w:p w14:paraId="7BD663C4" w14:textId="67BC46E1" w:rsidR="00C23FEE" w:rsidRDefault="00C23FEE" w:rsidP="00C23FEE">
      <w:pPr>
        <w:pStyle w:val="Caption"/>
      </w:pPr>
      <w:bookmarkStart w:id="117" w:name="_Toc165471232"/>
      <w:bookmarkStart w:id="118" w:name="_Toc171500381"/>
      <w:r w:rsidRPr="002322B7">
        <w:t xml:space="preserve">Figure </w:t>
      </w:r>
      <w:r w:rsidR="00CF16FA">
        <w:fldChar w:fldCharType="begin"/>
      </w:r>
      <w:r w:rsidR="00CF16FA">
        <w:instrText xml:space="preserve"> SEQ Figure \* ARABIC </w:instrText>
      </w:r>
      <w:r w:rsidR="00CF16FA">
        <w:fldChar w:fldCharType="separate"/>
      </w:r>
      <w:r w:rsidR="002459CF">
        <w:rPr>
          <w:noProof/>
        </w:rPr>
        <w:t>25</w:t>
      </w:r>
      <w:r w:rsidR="00CF16FA">
        <w:rPr>
          <w:noProof/>
        </w:rPr>
        <w:fldChar w:fldCharType="end"/>
      </w:r>
      <w:r w:rsidRPr="002322B7">
        <w:t xml:space="preserve"> – Expenditure on educational institutions across OECD countries¹</w:t>
      </w:r>
      <w:bookmarkEnd w:id="117"/>
      <w:bookmarkEnd w:id="118"/>
    </w:p>
    <w:p w14:paraId="70BF877B" w14:textId="41319FC8" w:rsidR="003B359D" w:rsidRDefault="003B359D" w:rsidP="003B359D">
      <w:r>
        <w:rPr>
          <w:noProof/>
        </w:rPr>
        <w:drawing>
          <wp:inline distT="0" distB="0" distL="0" distR="0" wp14:anchorId="27CBA23C" wp14:editId="4209C7CD">
            <wp:extent cx="6336030" cy="4596130"/>
            <wp:effectExtent l="0" t="0" r="7620" b="0"/>
            <wp:docPr id="1025804377" name="Picture 36" descr="The stacked bar chart shows expenditure on educational institutions across Organisation for Economic Co-operation and Development (OECD) countries. The expenditure is presented as a percentage of gross domestic product (GDP) in 2020. The country’s rank is followed by the total tertiary education percentage, the other education percentage and the total percentage of GDP, as follows: Norway (1) Tertiary 2% other education 4.8 total 6.8%; Colombia (2) Tertiary 1.5% other education 5.1 total 6.6%; Iceland (5) Tertiary 1.4% other education 4.9 total 6.3%; UK (6) Tertiary 2.1% other education 4.2 total 6.3%; Australia (7) Tertiary 1.9% other education 4.3 total 6.2%; US (8) Tertiary 2.5% other education 3.6 total 6.1%; Canada (10) Tertiary 2.4% other education 3.6 total 6%; France (13) Tertiary 1.6% other education 3.9 total 5.5%; Finland (14) Tertiary 1.6% other education 3.8 total 5.4%; New Zealand (15) Tertiary 1.6% other education 3.8 total 5.4%; Korea (18) Tertiary 1.6% other education 3.5 total 5.1%; Spain (19) Tertiary 1.5% other education 3.5 total 5%; Poland (23) Tertiary 1.3% other education 3.3 total 4.6%; Germany (25) Tertiary 1.3% other education 3.3 total 4.6%; Mexico (27) Tertiary 1.2% other education 3.2 total 4.5%; Italy (30) Tertiary 1% other education 3.2 total 4.2%; Japan (31) Tertiary 1.4% other education 2.7 total 4.1%; Luxembourg (34) Tertiary 0.5% other education 3 total 3.4%; Ireland (35) Tertiary 0.8% other education 2.4 total 3.2%; and OECD - Average Tertiary 1.5% other education 3.6 total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4377" name="Picture 36" descr="The stacked bar chart shows expenditure on educational institutions across Organisation for Economic Co-operation and Development (OECD) countries. The expenditure is presented as a percentage of gross domestic product (GDP) in 2020. The country’s rank is followed by the total tertiary education percentage, the other education percentage and the total percentage of GDP, as follows: Norway (1) Tertiary 2% other education 4.8 total 6.8%; Colombia (2) Tertiary 1.5% other education 5.1 total 6.6%; Iceland (5) Tertiary 1.4% other education 4.9 total 6.3%; UK (6) Tertiary 2.1% other education 4.2 total 6.3%; Australia (7) Tertiary 1.9% other education 4.3 total 6.2%; US (8) Tertiary 2.5% other education 3.6 total 6.1%; Canada (10) Tertiary 2.4% other education 3.6 total 6%; France (13) Tertiary 1.6% other education 3.9 total 5.5%; Finland (14) Tertiary 1.6% other education 3.8 total 5.4%; New Zealand (15) Tertiary 1.6% other education 3.8 total 5.4%; Korea (18) Tertiary 1.6% other education 3.5 total 5.1%; Spain (19) Tertiary 1.5% other education 3.5 total 5%; Poland (23) Tertiary 1.3% other education 3.3 total 4.6%; Germany (25) Tertiary 1.3% other education 3.3 total 4.6%; Mexico (27) Tertiary 1.2% other education 3.2 total 4.5%; Italy (30) Tertiary 1% other education 3.2 total 4.2%; Japan (31) Tertiary 1.4% other education 2.7 total 4.1%; Luxembourg (34) Tertiary 0.5% other education 3 total 3.4%; Ireland (35) Tertiary 0.8% other education 2.4 total 3.2%; and OECD - Average Tertiary 1.5% other education 3.6 total 5.1%."/>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6336030" cy="4596130"/>
                    </a:xfrm>
                    <a:prstGeom prst="rect">
                      <a:avLst/>
                    </a:prstGeom>
                    <a:ln>
                      <a:noFill/>
                    </a:ln>
                    <a:extLst>
                      <a:ext uri="{53640926-AAD7-44D8-BBD7-CCE9431645EC}">
                        <a14:shadowObscured xmlns:a14="http://schemas.microsoft.com/office/drawing/2010/main"/>
                      </a:ext>
                    </a:extLst>
                  </pic:spPr>
                </pic:pic>
              </a:graphicData>
            </a:graphic>
          </wp:inline>
        </w:drawing>
      </w:r>
    </w:p>
    <w:p w14:paraId="206AC389" w14:textId="77777777" w:rsidR="00C23FEE" w:rsidRPr="002322B7" w:rsidRDefault="00C23FEE" w:rsidP="00C23FEE">
      <w:pPr>
        <w:pStyle w:val="Sourcesandnotes"/>
      </w:pPr>
      <w:r w:rsidRPr="002322B7">
        <w:rPr>
          <w:b/>
          <w:bCs/>
        </w:rPr>
        <w:t>Notes: 1.</w:t>
      </w:r>
      <w:r w:rsidRPr="002322B7">
        <w:t xml:space="preserve"> Expenditure on all public and private institutions. Values of expenditure are expressed in USD-equivalent, after converting local currencies using purchasing-power parity (PPP) conversion factors. </w:t>
      </w:r>
      <w:r w:rsidRPr="002322B7">
        <w:rPr>
          <w:b/>
          <w:bCs/>
        </w:rPr>
        <w:t>2.</w:t>
      </w:r>
      <w:r w:rsidRPr="002322B7">
        <w:t xml:space="preserve"> The latest data available from the OECD database does not include data from Greece. </w:t>
      </w:r>
      <w:r w:rsidRPr="002322B7">
        <w:rPr>
          <w:b/>
          <w:bCs/>
        </w:rPr>
        <w:t>3.</w:t>
      </w:r>
      <w:r w:rsidRPr="002322B7">
        <w:t xml:space="preserve"> The numbers in brackets indicate the economy’s ranking across OECD economies.</w:t>
      </w:r>
    </w:p>
    <w:p w14:paraId="3ADC15C4" w14:textId="77777777" w:rsidR="00C23FEE" w:rsidRPr="002322B7" w:rsidRDefault="00C23FEE" w:rsidP="00C23FEE">
      <w:pPr>
        <w:pStyle w:val="Sourcesandnotes"/>
      </w:pPr>
      <w:r w:rsidRPr="002322B7">
        <w:rPr>
          <w:b/>
          <w:bCs/>
        </w:rPr>
        <w:t>Sources:</w:t>
      </w:r>
      <w:r w:rsidRPr="002322B7">
        <w:t xml:space="preserve"> Organisation for Economic Co-operation and Development, 2024, OECD Statistics; Austrade.</w:t>
      </w:r>
    </w:p>
    <w:p w14:paraId="283BE67B" w14:textId="77777777" w:rsidR="00C23FEE" w:rsidRPr="002322B7" w:rsidRDefault="00C23FEE" w:rsidP="00C23FEE"/>
    <w:p w14:paraId="13CC968C" w14:textId="77777777" w:rsidR="00C23FEE" w:rsidRPr="002322B7" w:rsidRDefault="00C23FEE" w:rsidP="00C23FEE">
      <w:pPr>
        <w:pStyle w:val="Heading-level2"/>
      </w:pPr>
      <w:bookmarkStart w:id="119" w:name="_Toc165471185"/>
      <w:bookmarkStart w:id="120" w:name="_Toc171500335"/>
      <w:r w:rsidRPr="002322B7">
        <w:lastRenderedPageBreak/>
        <w:t>Australia at #4 globally for top-ranked universities</w:t>
      </w:r>
      <w:bookmarkEnd w:id="119"/>
      <w:bookmarkEnd w:id="120"/>
    </w:p>
    <w:p w14:paraId="2AB846C9" w14:textId="5C07FF42" w:rsidR="00C23FEE" w:rsidRPr="002322B7" w:rsidRDefault="00F33FB0" w:rsidP="002225E3">
      <w:pPr>
        <w:pStyle w:val="Body-copy"/>
        <w:rPr>
          <w:lang w:val="en-AU"/>
        </w:rPr>
      </w:pPr>
      <w:r w:rsidRPr="00F33FB0">
        <w:rPr>
          <w:lang w:val="en-AU"/>
        </w:rPr>
        <w:t xml:space="preserve">Australia punches above </w:t>
      </w:r>
      <w:r w:rsidR="00FB7FD5">
        <w:rPr>
          <w:lang w:val="en-AU"/>
        </w:rPr>
        <w:t>its</w:t>
      </w:r>
      <w:r w:rsidRPr="00F33FB0">
        <w:rPr>
          <w:lang w:val="en-AU"/>
        </w:rPr>
        <w:t xml:space="preserve"> weight globally when it comes to quality tertiary education</w:t>
      </w:r>
      <w:r w:rsidR="00FB7FD5">
        <w:rPr>
          <w:lang w:val="en-AU"/>
        </w:rPr>
        <w:t>.</w:t>
      </w:r>
      <w:r w:rsidRPr="00F33FB0">
        <w:rPr>
          <w:lang w:val="en-AU"/>
        </w:rPr>
        <w:t xml:space="preserve"> </w:t>
      </w:r>
      <w:r w:rsidR="00FB7FD5">
        <w:rPr>
          <w:lang w:val="en-AU"/>
        </w:rPr>
        <w:t>A</w:t>
      </w:r>
      <w:r w:rsidR="00FB7FD5" w:rsidRPr="002322B7">
        <w:rPr>
          <w:lang w:val="en-AU"/>
        </w:rPr>
        <w:t>ccording to the Academic Ranking of World Universities</w:t>
      </w:r>
      <w:r w:rsidR="00FB7FD5">
        <w:rPr>
          <w:lang w:val="en-AU"/>
        </w:rPr>
        <w:t>, t</w:t>
      </w:r>
      <w:r w:rsidR="00C23FEE" w:rsidRPr="002322B7">
        <w:rPr>
          <w:lang w:val="en-AU"/>
        </w:rPr>
        <w:t xml:space="preserve">here are </w:t>
      </w:r>
      <w:r w:rsidR="00A12B55">
        <w:rPr>
          <w:lang w:val="en-AU"/>
        </w:rPr>
        <w:t>six</w:t>
      </w:r>
      <w:r w:rsidR="00C23FEE" w:rsidRPr="002322B7">
        <w:rPr>
          <w:lang w:val="en-AU"/>
        </w:rPr>
        <w:t xml:space="preserve"> Australian universities among the world’s top 100</w:t>
      </w:r>
      <w:r w:rsidR="0078101E">
        <w:rPr>
          <w:lang w:val="en-AU"/>
        </w:rPr>
        <w:t>.</w:t>
      </w:r>
      <w:r w:rsidR="00883E29">
        <w:rPr>
          <w:lang w:val="en-AU"/>
        </w:rPr>
        <w:t xml:space="preserve"> O</w:t>
      </w:r>
      <w:r w:rsidR="00CA0849">
        <w:rPr>
          <w:lang w:val="en-AU"/>
        </w:rPr>
        <w:t xml:space="preserve">nly </w:t>
      </w:r>
      <w:r w:rsidR="0027792F">
        <w:rPr>
          <w:lang w:val="en-AU"/>
        </w:rPr>
        <w:t xml:space="preserve">much larger </w:t>
      </w:r>
      <w:r w:rsidR="009F3EFA">
        <w:rPr>
          <w:lang w:val="en-AU"/>
        </w:rPr>
        <w:t>economies</w:t>
      </w:r>
      <w:r w:rsidR="0027792F">
        <w:rPr>
          <w:lang w:val="en-AU"/>
        </w:rPr>
        <w:t xml:space="preserve"> </w:t>
      </w:r>
      <w:r w:rsidR="00917230">
        <w:rPr>
          <w:lang w:val="en-AU"/>
        </w:rPr>
        <w:t>(</w:t>
      </w:r>
      <w:r w:rsidR="0027792F">
        <w:rPr>
          <w:lang w:val="en-AU"/>
        </w:rPr>
        <w:t xml:space="preserve">the </w:t>
      </w:r>
      <w:r w:rsidR="00CA0849">
        <w:rPr>
          <w:lang w:val="en-AU"/>
        </w:rPr>
        <w:t>US, China and the UK</w:t>
      </w:r>
      <w:r w:rsidR="00917230">
        <w:rPr>
          <w:lang w:val="en-AU"/>
        </w:rPr>
        <w:t>)</w:t>
      </w:r>
      <w:r w:rsidR="00CA0849">
        <w:rPr>
          <w:lang w:val="en-AU"/>
        </w:rPr>
        <w:t xml:space="preserve"> </w:t>
      </w:r>
      <w:r w:rsidR="002F536D">
        <w:rPr>
          <w:lang w:val="en-AU"/>
        </w:rPr>
        <w:t xml:space="preserve">had more universities </w:t>
      </w:r>
      <w:r w:rsidR="009B22B8">
        <w:rPr>
          <w:lang w:val="en-AU"/>
        </w:rPr>
        <w:t>on</w:t>
      </w:r>
      <w:r w:rsidR="002F536D">
        <w:rPr>
          <w:lang w:val="en-AU"/>
        </w:rPr>
        <w:t xml:space="preserve"> the list</w:t>
      </w:r>
      <w:r w:rsidR="00C23FEE" w:rsidRPr="002322B7">
        <w:rPr>
          <w:lang w:val="en-AU"/>
        </w:rPr>
        <w:t>.</w:t>
      </w:r>
      <w:r w:rsidR="00C23FEE" w:rsidRPr="002322B7">
        <w:rPr>
          <w:vertAlign w:val="superscript"/>
          <w:lang w:val="en-AU"/>
        </w:rPr>
        <w:t>1</w:t>
      </w:r>
      <w:r w:rsidR="00C23FEE" w:rsidRPr="002322B7">
        <w:rPr>
          <w:lang w:val="en-AU"/>
        </w:rPr>
        <w:t xml:space="preserve"> </w:t>
      </w:r>
      <w:r w:rsidR="00942CDC">
        <w:rPr>
          <w:lang w:val="en-AU"/>
        </w:rPr>
        <w:t xml:space="preserve">And </w:t>
      </w:r>
      <w:r w:rsidR="00C23FEE" w:rsidRPr="002322B7">
        <w:rPr>
          <w:lang w:val="en-AU"/>
        </w:rPr>
        <w:t>Australian academia is on the rise</w:t>
      </w:r>
      <w:r w:rsidR="00CB7FD6" w:rsidRPr="002322B7">
        <w:rPr>
          <w:lang w:val="en-AU"/>
        </w:rPr>
        <w:t xml:space="preserve">. </w:t>
      </w:r>
      <w:r w:rsidR="001874E6">
        <w:rPr>
          <w:lang w:val="en-AU"/>
        </w:rPr>
        <w:t xml:space="preserve">While </w:t>
      </w:r>
      <w:r w:rsidR="00C23FEE" w:rsidRPr="002322B7">
        <w:rPr>
          <w:lang w:val="en-AU"/>
        </w:rPr>
        <w:t>14 of our universities ma</w:t>
      </w:r>
      <w:r w:rsidR="00CB7FD6" w:rsidRPr="002322B7">
        <w:rPr>
          <w:lang w:val="en-AU"/>
        </w:rPr>
        <w:t>de</w:t>
      </w:r>
      <w:r w:rsidR="00C23FEE" w:rsidRPr="002322B7">
        <w:rPr>
          <w:lang w:val="en-AU"/>
        </w:rPr>
        <w:t xml:space="preserve"> it into the top 500</w:t>
      </w:r>
      <w:r w:rsidR="006C1805">
        <w:rPr>
          <w:lang w:val="en-AU"/>
        </w:rPr>
        <w:t xml:space="preserve"> in 2004</w:t>
      </w:r>
      <w:r w:rsidR="00CB7FD6" w:rsidRPr="002322B7">
        <w:rPr>
          <w:lang w:val="en-AU"/>
        </w:rPr>
        <w:t xml:space="preserve">, </w:t>
      </w:r>
      <w:r w:rsidR="00C23FEE" w:rsidRPr="002322B7">
        <w:rPr>
          <w:lang w:val="en-AU"/>
        </w:rPr>
        <w:t xml:space="preserve">24 institutions </w:t>
      </w:r>
      <w:r w:rsidR="00CB7FD6" w:rsidRPr="002322B7">
        <w:rPr>
          <w:lang w:val="en-AU"/>
        </w:rPr>
        <w:t xml:space="preserve">were among the Index’s top </w:t>
      </w:r>
      <w:r w:rsidR="00C23FEE" w:rsidRPr="002322B7">
        <w:rPr>
          <w:lang w:val="en-AU"/>
        </w:rPr>
        <w:t>500</w:t>
      </w:r>
      <w:r w:rsidR="003F41B4">
        <w:rPr>
          <w:lang w:val="en-AU"/>
        </w:rPr>
        <w:t xml:space="preserve"> </w:t>
      </w:r>
      <w:r w:rsidR="007C1407">
        <w:rPr>
          <w:lang w:val="en-AU"/>
        </w:rPr>
        <w:t>by</w:t>
      </w:r>
      <w:r w:rsidR="003F41B4">
        <w:rPr>
          <w:lang w:val="en-AU"/>
        </w:rPr>
        <w:t xml:space="preserve"> 2023</w:t>
      </w:r>
      <w:r w:rsidR="00C23FEE" w:rsidRPr="002322B7">
        <w:rPr>
          <w:lang w:val="en-AU"/>
        </w:rPr>
        <w:t xml:space="preserve">. Our top-performing institutions are </w:t>
      </w:r>
      <w:r w:rsidR="0079519D" w:rsidRPr="002322B7">
        <w:rPr>
          <w:lang w:val="en-AU"/>
        </w:rPr>
        <w:t>the University of Melbourne</w:t>
      </w:r>
      <w:r w:rsidR="00F656D8">
        <w:rPr>
          <w:lang w:val="en-AU"/>
        </w:rPr>
        <w:t xml:space="preserve"> (35</w:t>
      </w:r>
      <w:r w:rsidR="00F656D8" w:rsidRPr="00917230">
        <w:rPr>
          <w:vertAlign w:val="superscript"/>
          <w:lang w:val="en-AU"/>
        </w:rPr>
        <w:t>th</w:t>
      </w:r>
      <w:r w:rsidR="00F656D8">
        <w:rPr>
          <w:lang w:val="en-AU"/>
        </w:rPr>
        <w:t>)</w:t>
      </w:r>
      <w:r w:rsidR="0079519D" w:rsidRPr="002322B7">
        <w:rPr>
          <w:lang w:val="en-AU"/>
        </w:rPr>
        <w:t xml:space="preserve">, </w:t>
      </w:r>
      <w:r w:rsidR="00F656D8" w:rsidRPr="002322B7">
        <w:rPr>
          <w:lang w:val="en-AU"/>
        </w:rPr>
        <w:t>the University of Queensland</w:t>
      </w:r>
      <w:r w:rsidR="00F656D8">
        <w:rPr>
          <w:lang w:val="en-AU"/>
        </w:rPr>
        <w:t xml:space="preserve"> (51</w:t>
      </w:r>
      <w:r w:rsidR="00F656D8" w:rsidRPr="00917230">
        <w:rPr>
          <w:vertAlign w:val="superscript"/>
          <w:lang w:val="en-AU"/>
        </w:rPr>
        <w:t>st</w:t>
      </w:r>
      <w:r w:rsidR="00F656D8">
        <w:rPr>
          <w:lang w:val="en-AU"/>
        </w:rPr>
        <w:t>)</w:t>
      </w:r>
      <w:r w:rsidR="00CE3A53">
        <w:rPr>
          <w:lang w:val="en-AU"/>
        </w:rPr>
        <w:t>,</w:t>
      </w:r>
      <w:r w:rsidR="00F656D8" w:rsidRPr="002322B7">
        <w:rPr>
          <w:lang w:val="en-AU"/>
        </w:rPr>
        <w:t xml:space="preserve"> </w:t>
      </w:r>
      <w:r w:rsidR="00A223B9" w:rsidRPr="002322B7">
        <w:rPr>
          <w:lang w:val="en-AU"/>
        </w:rPr>
        <w:t>the University of New South Wales</w:t>
      </w:r>
      <w:r w:rsidR="00A223B9">
        <w:rPr>
          <w:lang w:val="en-AU"/>
        </w:rPr>
        <w:t xml:space="preserve"> (72</w:t>
      </w:r>
      <w:r w:rsidR="00A223B9" w:rsidRPr="00917230">
        <w:rPr>
          <w:vertAlign w:val="superscript"/>
          <w:lang w:val="en-AU"/>
        </w:rPr>
        <w:t>nd</w:t>
      </w:r>
      <w:r w:rsidR="00A223B9">
        <w:rPr>
          <w:lang w:val="en-AU"/>
        </w:rPr>
        <w:t>)</w:t>
      </w:r>
      <w:r w:rsidR="00A223B9" w:rsidRPr="002322B7">
        <w:rPr>
          <w:lang w:val="en-AU"/>
        </w:rPr>
        <w:t xml:space="preserve">, </w:t>
      </w:r>
      <w:r w:rsidR="00CB25BF" w:rsidRPr="002322B7">
        <w:rPr>
          <w:lang w:val="en-AU"/>
        </w:rPr>
        <w:t>the University of Sydney</w:t>
      </w:r>
      <w:r w:rsidR="00CB25BF">
        <w:rPr>
          <w:lang w:val="en-AU"/>
        </w:rPr>
        <w:t xml:space="preserve"> (73</w:t>
      </w:r>
      <w:r w:rsidR="00CB25BF" w:rsidRPr="00917230">
        <w:rPr>
          <w:vertAlign w:val="superscript"/>
          <w:lang w:val="en-AU"/>
        </w:rPr>
        <w:t>rd</w:t>
      </w:r>
      <w:r w:rsidR="00CB25BF">
        <w:rPr>
          <w:lang w:val="en-AU"/>
        </w:rPr>
        <w:t>),</w:t>
      </w:r>
      <w:r w:rsidR="00CB25BF" w:rsidRPr="002322B7">
        <w:rPr>
          <w:lang w:val="en-AU"/>
        </w:rPr>
        <w:t xml:space="preserve"> Monash University</w:t>
      </w:r>
      <w:r w:rsidR="00CB25BF">
        <w:rPr>
          <w:lang w:val="en-AU"/>
        </w:rPr>
        <w:t xml:space="preserve"> (77</w:t>
      </w:r>
      <w:r w:rsidR="00CB25BF" w:rsidRPr="00917230">
        <w:rPr>
          <w:vertAlign w:val="superscript"/>
          <w:lang w:val="en-AU"/>
        </w:rPr>
        <w:t>th</w:t>
      </w:r>
      <w:r w:rsidR="00CB25BF">
        <w:rPr>
          <w:lang w:val="en-AU"/>
        </w:rPr>
        <w:t>)</w:t>
      </w:r>
      <w:r w:rsidR="00CB25BF" w:rsidRPr="002322B7">
        <w:rPr>
          <w:lang w:val="en-AU"/>
        </w:rPr>
        <w:t xml:space="preserve">, </w:t>
      </w:r>
      <w:r w:rsidR="00CB676C">
        <w:rPr>
          <w:lang w:val="en-AU"/>
        </w:rPr>
        <w:t xml:space="preserve">and </w:t>
      </w:r>
      <w:r w:rsidR="00DE3703" w:rsidRPr="002322B7">
        <w:rPr>
          <w:lang w:val="en-AU"/>
        </w:rPr>
        <w:t>the Australian National University</w:t>
      </w:r>
      <w:r w:rsidR="00CB676C">
        <w:rPr>
          <w:lang w:val="en-AU"/>
        </w:rPr>
        <w:t xml:space="preserve"> (84</w:t>
      </w:r>
      <w:r w:rsidR="00CB676C" w:rsidRPr="00917230">
        <w:rPr>
          <w:vertAlign w:val="superscript"/>
          <w:lang w:val="en-AU"/>
        </w:rPr>
        <w:t>th</w:t>
      </w:r>
      <w:r w:rsidR="00CB676C">
        <w:rPr>
          <w:lang w:val="en-AU"/>
        </w:rPr>
        <w:t>)</w:t>
      </w:r>
      <w:r w:rsidR="00B72B73" w:rsidRPr="002322B7">
        <w:rPr>
          <w:lang w:val="en-AU"/>
        </w:rPr>
        <w:t>.</w:t>
      </w:r>
    </w:p>
    <w:p w14:paraId="7A806342" w14:textId="6A87A8F9" w:rsidR="00C23FEE" w:rsidRDefault="00C23FEE" w:rsidP="00C23FEE">
      <w:pPr>
        <w:pStyle w:val="Caption"/>
      </w:pPr>
      <w:bookmarkStart w:id="121" w:name="_Toc165471234"/>
      <w:bookmarkStart w:id="122" w:name="_Toc171500382"/>
      <w:r w:rsidRPr="002322B7">
        <w:t xml:space="preserve">Figure </w:t>
      </w:r>
      <w:r w:rsidR="00CF16FA">
        <w:fldChar w:fldCharType="begin"/>
      </w:r>
      <w:r w:rsidR="00CF16FA">
        <w:instrText xml:space="preserve"> SEQ Figure \* ARABIC </w:instrText>
      </w:r>
      <w:r w:rsidR="00CF16FA">
        <w:fldChar w:fldCharType="separate"/>
      </w:r>
      <w:r w:rsidR="002459CF">
        <w:rPr>
          <w:noProof/>
        </w:rPr>
        <w:t>26</w:t>
      </w:r>
      <w:r w:rsidR="00CF16FA">
        <w:rPr>
          <w:noProof/>
        </w:rPr>
        <w:fldChar w:fldCharType="end"/>
      </w:r>
      <w:r w:rsidRPr="002322B7">
        <w:t xml:space="preserve"> – Academic ranking of world universities, 2023</w:t>
      </w:r>
      <w:bookmarkEnd w:id="121"/>
      <w:bookmarkEnd w:id="122"/>
    </w:p>
    <w:p w14:paraId="00E6ACBE" w14:textId="3DC754D7" w:rsidR="003B359D" w:rsidRPr="003B359D" w:rsidRDefault="003B359D" w:rsidP="003B359D">
      <w:r>
        <w:rPr>
          <w:noProof/>
        </w:rPr>
        <w:drawing>
          <wp:inline distT="0" distB="0" distL="0" distR="0" wp14:anchorId="10A0FC36" wp14:editId="7B5D36BC">
            <wp:extent cx="6300000" cy="4323581"/>
            <wp:effectExtent l="0" t="0" r="5715" b="1270"/>
            <wp:docPr id="1308151318" name="Picture 37" descr="The table contains the academic ranking of world universities. The information is: US, ranked 1, has 38 universities in the top 100, 61 in the top 200, 82 in the top 300, 99 in the top 400, 117 in the top 500, 70 between top 501 and 1000 - a total of 187 universities in the top 1000.  China, ranked 2, has 10 universities in the top 100, 32 in the top 200, 50 in the top 300, 68 in the top 400, 88 in the top 500, 103 between top 501 and 1000 - a total of 191 universities in the top 1000.  UK, ranked 3, has 8 universities in the top 100, 20 in the top 200, 25 in the top 300, 33 in the top 400, 38 in the top 500, 26 between top 501 and 1000 - a total of 64 universities in the top 1000.  Australia, ranked 4, has 6 universities in the top 100, 8 in the top 200, 15 in the top 300, 22 in the top 400, 24 in the top 500, 10 between top 501 and 1000 - a total of 34 universities in the top 1000.  Canada, ranked 5, has 5 universities in the top 100, 7 in the top 200, 11 in the top 300, 17 in the top 400, 18 in the top 500, 7 between top 501 and 1000 - a total of 25 universities in the top 1000.  Switzerland, ranked 6, has 5 universities in the top 100, 7 in the top 200, 7 in the top 300, 7 in the top 400, 7 in the top 500, 2 between top 501 and 1000 - a total of 9 universities in the top 1000.  Germany, ranked 7, has 4 universities in the top 100, 9 in the top 200, 19 in the top 300, 24 in the top 400, 31 in the top 500, 14 between top 501 and 1000 - a total of 45 universities in the top 1000.  France, ranked 8, has 4 universities in the top 100, 8 in the top 200, 12 in the top 300, 16 in the top 400, 18 in the top 500, 9 between top 501 and 1000 - a total of 27 universities in the top 1000.  Netherlands, ranked 9, has 3 universities in the top 100, 9 in the top 200, 10 in the top 300, 10 in the top 400, 12 in the top 500, 1 between top 501 and 1000 - a total of 13 universities in the top 1000.  Sweden, ranked 10, has 3 universities in the top 100, 5 in the top 200, 6 in the top 300, 8 in the top 400, 9 in the top 500, 4 between top 501 and 1000 - a total of 13 universities in the top 1000.  Israel, ranked 11, has 3 universities in the top 100, 3 in the top 200, 4 in the top 300, 4 in the top 400, 5 in the top 500, 2 between top 501 and 1000 - a total of 7 universities in the top 1000.  Japan, ranked 12, has 2 universities in the top 100, 5 in the top 200, 8 in the top 300, 11 in the top 400, 12 in the top 500, 20 between top 501 and 1000 - a total of 32 universities in the top 1000.  Belgium, ranked 13, has 2 universities in the top 100, 3 in the top 200, 5 in the top 300, 7 in the top 400, 7 in the top 500, 2 between top 501 and 1000 - a total of 9 universities in the top 1000.  Denmark, ranked 14, has 2 universities in the top 100, 3 in the top 200, 3 in the top 300, 5 in the top 400, 5 in the top 500, 1 between top 501 and 1000 - a total of 6 universities in the top 1000.  Singapore, ranked 15, has 2 universities in the top 100, 2 in the top 200, 2 in the top 300, 2 in the top 400, 2 in the top 500, 2 between top 501 and 1000 - a total of 4 universities in the top 1000.  Hong Kong, ranked 16, has 1 universities in the top 100, 4 in the top 200, 4 in the top 300, 5 in the top 400, 5 in the top 500, 2 between top 501 and 1000 - a total of 7 universities in the top 1000.  Korea, ranked 17, has 1 universities in the top 100, 2 in the top 200, 7 in the top 300, 8 in the top 400, 12 in the top 500, 18 between top 501 and 1000 - a total of 30 universities in the top 1000.  Norway, ranked 18, has 1 universities in the top 100, 2 in the top 200, 2 in the top 300, 3 in the top 400, 3 in the top 500, 4 between top 501 and 1000 - a total of 7 universities in the top 1000.  Italy, ranked 19, has 0 universities in the top 100, 4 in the top 200, 8 in the top 300, 10 in the top 400, 17 in the top 500, 23 between top 501 and 1000 - a total of 40 universities in the top 1000.  Saudi Arabia, ranked 20, has 0 universities in the top 100, 2 in the top 200, 4 in the top 300, 5 in the top 400, 7 in the top 500, 5 between top 501 and 1000 - a total of 12 universities in the top 1000.  Austria, ranked 21, has 0 universities in the top 100, 1 in the top 200, 2 in the top 300, 4 in the top 400, 5 in the top 500, 7 between top 501 and 1000 - a total of 12 universities in the top 1000.  Finland, ranked 22, has 0 universities in the top 100, 1 in the top 200, 1 in the top 300, 3 in the top 400, 4 in the top 500, 3 between top 501 and 1000 - a total of 7 universities in the top 1000.  Brazil, ranked 23, has 0 universities in the top 100, 1 in the top 200, 1 in the top 300, 2 in the top 400, 5 in the top 500, 13 between top 501 and 1000 - a total of 18 universities in the top 1000.  Russia, ranked 24, has 0 universities in the top 100, 1 in the top 200, 1 in the top 300, 1 in the top 400, 2 in the top 500, 7 between top 501 and 1000 - a total of 9 universities in the top 1000.  Spain, ranked 25, has 0 universities in the top 100, 0 in the top 200, 2 in the top 300, 7 in the top 400, 9 in the top 500, 29 between top 501 and 1000 - a total of 38 universities in the top 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1318" name="Picture 37" descr="The table contains the academic ranking of world universities. The information is: US, ranked 1, has 38 universities in the top 100, 61 in the top 200, 82 in the top 300, 99 in the top 400, 117 in the top 500, 70 between top 501 and 1000 - a total of 187 universities in the top 1000.  China, ranked 2, has 10 universities in the top 100, 32 in the top 200, 50 in the top 300, 68 in the top 400, 88 in the top 500, 103 between top 501 and 1000 - a total of 191 universities in the top 1000.  UK, ranked 3, has 8 universities in the top 100, 20 in the top 200, 25 in the top 300, 33 in the top 400, 38 in the top 500, 26 between top 501 and 1000 - a total of 64 universities in the top 1000.  Australia, ranked 4, has 6 universities in the top 100, 8 in the top 200, 15 in the top 300, 22 in the top 400, 24 in the top 500, 10 between top 501 and 1000 - a total of 34 universities in the top 1000.  Canada, ranked 5, has 5 universities in the top 100, 7 in the top 200, 11 in the top 300, 17 in the top 400, 18 in the top 500, 7 between top 501 and 1000 - a total of 25 universities in the top 1000.  Switzerland, ranked 6, has 5 universities in the top 100, 7 in the top 200, 7 in the top 300, 7 in the top 400, 7 in the top 500, 2 between top 501 and 1000 - a total of 9 universities in the top 1000.  Germany, ranked 7, has 4 universities in the top 100, 9 in the top 200, 19 in the top 300, 24 in the top 400, 31 in the top 500, 14 between top 501 and 1000 - a total of 45 universities in the top 1000.  France, ranked 8, has 4 universities in the top 100, 8 in the top 200, 12 in the top 300, 16 in the top 400, 18 in the top 500, 9 between top 501 and 1000 - a total of 27 universities in the top 1000.  Netherlands, ranked 9, has 3 universities in the top 100, 9 in the top 200, 10 in the top 300, 10 in the top 400, 12 in the top 500, 1 between top 501 and 1000 - a total of 13 universities in the top 1000.  Sweden, ranked 10, has 3 universities in the top 100, 5 in the top 200, 6 in the top 300, 8 in the top 400, 9 in the top 500, 4 between top 501 and 1000 - a total of 13 universities in the top 1000.  Israel, ranked 11, has 3 universities in the top 100, 3 in the top 200, 4 in the top 300, 4 in the top 400, 5 in the top 500, 2 between top 501 and 1000 - a total of 7 universities in the top 1000.  Japan, ranked 12, has 2 universities in the top 100, 5 in the top 200, 8 in the top 300, 11 in the top 400, 12 in the top 500, 20 between top 501 and 1000 - a total of 32 universities in the top 1000.  Belgium, ranked 13, has 2 universities in the top 100, 3 in the top 200, 5 in the top 300, 7 in the top 400, 7 in the top 500, 2 between top 501 and 1000 - a total of 9 universities in the top 1000.  Denmark, ranked 14, has 2 universities in the top 100, 3 in the top 200, 3 in the top 300, 5 in the top 400, 5 in the top 500, 1 between top 501 and 1000 - a total of 6 universities in the top 1000.  Singapore, ranked 15, has 2 universities in the top 100, 2 in the top 200, 2 in the top 300, 2 in the top 400, 2 in the top 500, 2 between top 501 and 1000 - a total of 4 universities in the top 1000.  Hong Kong, ranked 16, has 1 universities in the top 100, 4 in the top 200, 4 in the top 300, 5 in the top 400, 5 in the top 500, 2 between top 501 and 1000 - a total of 7 universities in the top 1000.  Korea, ranked 17, has 1 universities in the top 100, 2 in the top 200, 7 in the top 300, 8 in the top 400, 12 in the top 500, 18 between top 501 and 1000 - a total of 30 universities in the top 1000.  Norway, ranked 18, has 1 universities in the top 100, 2 in the top 200, 2 in the top 300, 3 in the top 400, 3 in the top 500, 4 between top 501 and 1000 - a total of 7 universities in the top 1000.  Italy, ranked 19, has 0 universities in the top 100, 4 in the top 200, 8 in the top 300, 10 in the top 400, 17 in the top 500, 23 between top 501 and 1000 - a total of 40 universities in the top 1000.  Saudi Arabia, ranked 20, has 0 universities in the top 100, 2 in the top 200, 4 in the top 300, 5 in the top 400, 7 in the top 500, 5 between top 501 and 1000 - a total of 12 universities in the top 1000.  Austria, ranked 21, has 0 universities in the top 100, 1 in the top 200, 2 in the top 300, 4 in the top 400, 5 in the top 500, 7 between top 501 and 1000 - a total of 12 universities in the top 1000.  Finland, ranked 22, has 0 universities in the top 100, 1 in the top 200, 1 in the top 300, 3 in the top 400, 4 in the top 500, 3 between top 501 and 1000 - a total of 7 universities in the top 1000.  Brazil, ranked 23, has 0 universities in the top 100, 1 in the top 200, 1 in the top 300, 2 in the top 400, 5 in the top 500, 13 between top 501 and 1000 - a total of 18 universities in the top 1000.  Russia, ranked 24, has 0 universities in the top 100, 1 in the top 200, 1 in the top 300, 1 in the top 400, 2 in the top 500, 7 between top 501 and 1000 - a total of 9 universities in the top 1000.  Spain, ranked 25, has 0 universities in the top 100, 0 in the top 200, 2 in the top 300, 7 in the top 400, 9 in the top 500, 29 between top 501 and 1000 - a total of 38 universities in the top 1000.  "/>
                    <pic:cNvPicPr/>
                  </pic:nvPicPr>
                  <pic:blipFill rotWithShape="1">
                    <a:blip r:embed="rId43" cstate="hqprint">
                      <a:extLst>
                        <a:ext uri="{28A0092B-C50C-407E-A947-70E740481C1C}">
                          <a14:useLocalDpi xmlns:a14="http://schemas.microsoft.com/office/drawing/2010/main"/>
                        </a:ext>
                      </a:extLst>
                    </a:blip>
                    <a:srcRect/>
                    <a:stretch/>
                  </pic:blipFill>
                  <pic:spPr bwMode="auto">
                    <a:xfrm>
                      <a:off x="0" y="0"/>
                      <a:ext cx="6300000" cy="4323581"/>
                    </a:xfrm>
                    <a:prstGeom prst="rect">
                      <a:avLst/>
                    </a:prstGeom>
                    <a:ln>
                      <a:noFill/>
                    </a:ln>
                    <a:extLst>
                      <a:ext uri="{53640926-AAD7-44D8-BBD7-CCE9431645EC}">
                        <a14:shadowObscured xmlns:a14="http://schemas.microsoft.com/office/drawing/2010/main"/>
                      </a:ext>
                    </a:extLst>
                  </pic:spPr>
                </pic:pic>
              </a:graphicData>
            </a:graphic>
          </wp:inline>
        </w:drawing>
      </w:r>
    </w:p>
    <w:p w14:paraId="2D85E102" w14:textId="3D21DD32" w:rsidR="00C23FEE" w:rsidRPr="002322B7" w:rsidRDefault="00C23FEE" w:rsidP="00C23FEE">
      <w:pPr>
        <w:pStyle w:val="Sourcesandnotes"/>
      </w:pPr>
      <w:r w:rsidRPr="002322B7">
        <w:rPr>
          <w:b/>
          <w:bCs/>
        </w:rPr>
        <w:t>Notes: 1.</w:t>
      </w:r>
      <w:r w:rsidRPr="002322B7">
        <w:t xml:space="preserve"> According to the 2023 Academic Ranking of World Universities (ARWU), published by the Shanghai Ranking Consultancy. </w:t>
      </w:r>
      <w:r w:rsidRPr="002322B7">
        <w:rPr>
          <w:b/>
          <w:bCs/>
        </w:rPr>
        <w:t>2</w:t>
      </w:r>
      <w:r w:rsidR="00475F99">
        <w:rPr>
          <w:b/>
          <w:bCs/>
        </w:rPr>
        <w:t>.</w:t>
      </w:r>
      <w:r w:rsidRPr="002322B7">
        <w:rPr>
          <w:b/>
          <w:bCs/>
        </w:rPr>
        <w:t xml:space="preserve"> </w:t>
      </w:r>
      <w:r w:rsidRPr="002322B7">
        <w:t>Economies were ranked according to the number of universities in the top 100. For evenly ranked economies, the number of universities in the top 200, top 300, top 400 and top 500 was used as a tiebreaker.</w:t>
      </w:r>
    </w:p>
    <w:p w14:paraId="0415D3E9" w14:textId="77777777" w:rsidR="00C23FEE" w:rsidRPr="002322B7" w:rsidRDefault="00C23FEE" w:rsidP="00C23FEE">
      <w:pPr>
        <w:pStyle w:val="Sourcesandnotes"/>
      </w:pPr>
      <w:r w:rsidRPr="002322B7">
        <w:rPr>
          <w:b/>
          <w:bCs/>
        </w:rPr>
        <w:t>Sources:</w:t>
      </w:r>
      <w:r w:rsidRPr="002322B7">
        <w:t xml:space="preserve"> Shanghai Ranking Consultancy, 2023, The Academic Ranking of World Universities; accessed 6 March 2024; Austrade.</w:t>
      </w:r>
    </w:p>
    <w:p w14:paraId="546F3E60" w14:textId="77777777" w:rsidR="00C23FEE" w:rsidRPr="002322B7" w:rsidRDefault="00C23FEE" w:rsidP="00C23FEE">
      <w:pPr>
        <w:pStyle w:val="Sourcesandnotes"/>
      </w:pPr>
    </w:p>
    <w:p w14:paraId="4AB8D393" w14:textId="77777777" w:rsidR="00C23FEE" w:rsidRPr="002322B7" w:rsidRDefault="00C23FEE" w:rsidP="00C23FEE">
      <w:pPr>
        <w:pStyle w:val="Heading-level2"/>
      </w:pPr>
      <w:bookmarkStart w:id="123" w:name="_Toc165471186"/>
      <w:bookmarkStart w:id="124" w:name="_Toc171500336"/>
      <w:r w:rsidRPr="002322B7">
        <w:lastRenderedPageBreak/>
        <w:t>Australian research pursues UN goals</w:t>
      </w:r>
      <w:bookmarkEnd w:id="123"/>
      <w:bookmarkEnd w:id="124"/>
    </w:p>
    <w:p w14:paraId="2F997B0E" w14:textId="53A0FEB4" w:rsidR="00C23FEE" w:rsidRPr="002322B7" w:rsidRDefault="00C23FEE" w:rsidP="002225E3">
      <w:pPr>
        <w:pStyle w:val="Body-copy"/>
        <w:rPr>
          <w:lang w:val="en-AU"/>
        </w:rPr>
      </w:pPr>
      <w:r w:rsidRPr="002322B7">
        <w:rPr>
          <w:lang w:val="en-AU"/>
        </w:rPr>
        <w:t>Australian universities reflect our status as good global citizens. According to the UK’s Times Higher Education Impact Rankings, 15 Australian universities made it into the top 100 for having an impact on UN Sustainable Development Goals. Australia now has the 3</w:t>
      </w:r>
      <w:r w:rsidRPr="002322B7">
        <w:rPr>
          <w:vertAlign w:val="superscript"/>
          <w:lang w:val="en-AU"/>
        </w:rPr>
        <w:t>rd</w:t>
      </w:r>
      <w:r w:rsidR="00F64A2A" w:rsidRPr="002322B7">
        <w:rPr>
          <w:lang w:val="en-AU"/>
        </w:rPr>
        <w:t>-</w:t>
      </w:r>
      <w:r w:rsidR="00314FE3">
        <w:rPr>
          <w:lang w:val="en-AU"/>
        </w:rPr>
        <w:t>highest</w:t>
      </w:r>
      <w:r w:rsidRPr="002322B7">
        <w:rPr>
          <w:lang w:val="en-AU"/>
        </w:rPr>
        <w:t xml:space="preserve"> number of universities in this top 100</w:t>
      </w:r>
      <w:r w:rsidR="00F64A2A" w:rsidRPr="002322B7">
        <w:rPr>
          <w:lang w:val="en-AU"/>
        </w:rPr>
        <w:t xml:space="preserve"> category</w:t>
      </w:r>
      <w:r w:rsidRPr="002322B7">
        <w:rPr>
          <w:lang w:val="en-AU"/>
        </w:rPr>
        <w:t>, surpassed only by the U</w:t>
      </w:r>
      <w:r w:rsidR="00C905F9" w:rsidRPr="002322B7">
        <w:rPr>
          <w:lang w:val="en-AU"/>
        </w:rPr>
        <w:t>K</w:t>
      </w:r>
      <w:r w:rsidRPr="002322B7">
        <w:rPr>
          <w:lang w:val="en-AU"/>
        </w:rPr>
        <w:t xml:space="preserve"> and Canada. The Times ranking includes research on topics such as climate change, poverty and gender equality. Their focus on global issues make</w:t>
      </w:r>
      <w:r w:rsidR="00824CD7" w:rsidRPr="002322B7">
        <w:rPr>
          <w:lang w:val="en-AU"/>
        </w:rPr>
        <w:t>s</w:t>
      </w:r>
      <w:r w:rsidRPr="002322B7">
        <w:rPr>
          <w:lang w:val="en-AU"/>
        </w:rPr>
        <w:t xml:space="preserve"> Australian universities attractive partners for collaborative research and </w:t>
      </w:r>
      <w:r w:rsidR="00B53BAC" w:rsidRPr="002322B7">
        <w:rPr>
          <w:lang w:val="en-AU"/>
        </w:rPr>
        <w:t>appeal</w:t>
      </w:r>
      <w:r w:rsidR="00007CC9" w:rsidRPr="002322B7">
        <w:rPr>
          <w:lang w:val="en-AU"/>
        </w:rPr>
        <w:t>ing</w:t>
      </w:r>
      <w:r w:rsidR="00B53BAC" w:rsidRPr="002322B7">
        <w:rPr>
          <w:lang w:val="en-AU"/>
        </w:rPr>
        <w:t xml:space="preserve"> to </w:t>
      </w:r>
      <w:r w:rsidRPr="002322B7">
        <w:rPr>
          <w:lang w:val="en-AU"/>
        </w:rPr>
        <w:t xml:space="preserve">overseas students.   </w:t>
      </w:r>
    </w:p>
    <w:p w14:paraId="2E129AF5" w14:textId="502D5A25" w:rsidR="00C23FEE" w:rsidRPr="002322B7" w:rsidRDefault="00C23FEE" w:rsidP="00C23FEE">
      <w:pPr>
        <w:pStyle w:val="Caption"/>
      </w:pPr>
      <w:bookmarkStart w:id="125" w:name="_Toc165471235"/>
      <w:bookmarkStart w:id="126" w:name="_Toc171500383"/>
      <w:r w:rsidRPr="002322B7">
        <w:t xml:space="preserve">Figure </w:t>
      </w:r>
      <w:r w:rsidR="00CF16FA">
        <w:fldChar w:fldCharType="begin"/>
      </w:r>
      <w:r w:rsidR="00CF16FA">
        <w:instrText xml:space="preserve"> SEQ Figure \* ARABIC </w:instrText>
      </w:r>
      <w:r w:rsidR="00CF16FA">
        <w:fldChar w:fldCharType="separate"/>
      </w:r>
      <w:r w:rsidR="002459CF">
        <w:rPr>
          <w:noProof/>
        </w:rPr>
        <w:t>27</w:t>
      </w:r>
      <w:r w:rsidR="00CF16FA">
        <w:rPr>
          <w:noProof/>
        </w:rPr>
        <w:fldChar w:fldCharType="end"/>
      </w:r>
      <w:r w:rsidRPr="002322B7">
        <w:t xml:space="preserve"> – Top 100 Universities Times Higher Education Impact Rankings, 2023</w:t>
      </w:r>
      <w:bookmarkEnd w:id="125"/>
      <w:bookmarkEnd w:id="126"/>
    </w:p>
    <w:p w14:paraId="1ACF7ECD" w14:textId="7CF0903D" w:rsidR="00C23FEE" w:rsidRPr="002322B7" w:rsidRDefault="00BF36B2" w:rsidP="00C23FEE">
      <w:r>
        <w:rPr>
          <w:noProof/>
        </w:rPr>
        <w:drawing>
          <wp:inline distT="0" distB="0" distL="0" distR="0" wp14:anchorId="33DA7FE7" wp14:editId="4C372A43">
            <wp:extent cx="6118310" cy="3039745"/>
            <wp:effectExtent l="0" t="0" r="0" b="0"/>
            <wp:docPr id="847452225" name="Picture 1" descr="The image has a pie chart and a table. The pie chart shows the number of universities in an economy (country) that are ranked in the top 100 of the Times Higher Education Impact Rankings in 2023. &#10;The pie chart shows that 25 universities in the top 100 are located in the United Kingdom, 16 in Canada, 15 in Australia, 7 in New Zealand, 6 in the US.  Economies with 4 universities are Ireland and Thailand. Economies with 3 universities are Korea and Taiwan.  Economies with 2 universities are Italy, Japan, Mexico and South Africa. Economies with 1 university are China, Denmark, Hong Kong SAR, India, Indonesia, Malaysia, Portugal, Sweden and Türkiye.&#10;The chart also shows the ranking for Australian universities in the top 100, which are: Western Sydney University is ranked #1; University of Tasmania is ranked #5; RMIT University is ranked #7; University of Technology Sydney is ranked #14; UNSW Sydney is ranked #18; Monash University is ranked #21; University of Newcastle is ranked #28; University of the Sunshine Coast is ranked #29; Macquarie University is ranked #39; La Trobe University is ranked #57; University of Wollongong is ranked #61; Griffith University is ranked #72; Central Queensland University is ranked #74; Charles Sturt University is ranked #79; University of Canberra is ranke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52225" name="Picture 1" descr="The image has a pie chart and a table. The pie chart shows the number of universities in an economy (country) that are ranked in the top 100 of the Times Higher Education Impact Rankings in 2023. &#10;The pie chart shows that 25 universities in the top 100 are located in the United Kingdom, 16 in Canada, 15 in Australia, 7 in New Zealand, 6 in the US.  Economies with 4 universities are Ireland and Thailand. Economies with 3 universities are Korea and Taiwan.  Economies with 2 universities are Italy, Japan, Mexico and South Africa. Economies with 1 university are China, Denmark, Hong Kong SAR, India, Indonesia, Malaysia, Portugal, Sweden and Türkiye.&#10;The chart also shows the ranking for Australian universities in the top 100, which are: Western Sydney University is ranked #1; University of Tasmania is ranked #5; RMIT University is ranked #7; University of Technology Sydney is ranked #14; UNSW Sydney is ranked #18; Monash University is ranked #21; University of Newcastle is ranked #28; University of the Sunshine Coast is ranked #29; Macquarie University is ranked #39; La Trobe University is ranked #57; University of Wollongong is ranked #61; Griffith University is ranked #72; Central Queensland University is ranked #74; Charles Sturt University is ranked #79; University of Canberra is ranked #92."/>
                    <pic:cNvPicPr>
                      <a:picLocks noChangeAspect="1" noChangeArrowheads="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6120000" cy="3040584"/>
                    </a:xfrm>
                    <a:prstGeom prst="rect">
                      <a:avLst/>
                    </a:prstGeom>
                    <a:noFill/>
                    <a:ln>
                      <a:noFill/>
                    </a:ln>
                    <a:extLst>
                      <a:ext uri="{53640926-AAD7-44D8-BBD7-CCE9431645EC}">
                        <a14:shadowObscured xmlns:a14="http://schemas.microsoft.com/office/drawing/2010/main"/>
                      </a:ext>
                    </a:extLst>
                  </pic:spPr>
                </pic:pic>
              </a:graphicData>
            </a:graphic>
          </wp:inline>
        </w:drawing>
      </w:r>
    </w:p>
    <w:p w14:paraId="25403120" w14:textId="3B0100DB" w:rsidR="00C23FEE" w:rsidRPr="002322B7" w:rsidRDefault="00C23FEE" w:rsidP="00C23FEE">
      <w:pPr>
        <w:pStyle w:val="Sourcesandnotes"/>
      </w:pPr>
      <w:r w:rsidRPr="002322B7">
        <w:rPr>
          <w:b/>
          <w:bCs/>
        </w:rPr>
        <w:t>Note: 1.</w:t>
      </w:r>
      <w:r w:rsidRPr="002322B7">
        <w:t xml:space="preserve"> Times Higher Education mapped how universities around the world are implementing the United Nations’ 17 Sustainable Development Goals (SDGs). The SDGs are a global call to action to tackle poverty, climate change and inequality. Universities were invited to submit data on how they were progressing on the SDGs. The 2023 Impact Rankings is the fifth edition. The overall ranking includes 1,705 universities from 115 countries/regions. </w:t>
      </w:r>
    </w:p>
    <w:p w14:paraId="2AA96A60" w14:textId="77777777" w:rsidR="00C23FEE" w:rsidRPr="002322B7" w:rsidRDefault="00C23FEE" w:rsidP="00C23FEE">
      <w:pPr>
        <w:pStyle w:val="Sourcesandnotes"/>
      </w:pPr>
      <w:r w:rsidRPr="002322B7">
        <w:rPr>
          <w:b/>
          <w:bCs/>
        </w:rPr>
        <w:t>Sources:</w:t>
      </w:r>
      <w:r w:rsidRPr="002322B7">
        <w:t xml:space="preserve"> The Times Higher Education, Impact Rankings 2023; Austrade.</w:t>
      </w:r>
    </w:p>
    <w:p w14:paraId="40629EDF" w14:textId="77777777" w:rsidR="00C23FEE" w:rsidRPr="002322B7" w:rsidRDefault="00C23FEE" w:rsidP="00C23FEE">
      <w:pPr>
        <w:pStyle w:val="Sourcesandnotes"/>
      </w:pPr>
    </w:p>
    <w:p w14:paraId="7CEF72C0" w14:textId="77777777" w:rsidR="00622134" w:rsidRPr="002322B7" w:rsidRDefault="00622134" w:rsidP="00622134"/>
    <w:p w14:paraId="5B1C7B23" w14:textId="12AC2754" w:rsidR="00FD46E2" w:rsidRPr="002322B7" w:rsidRDefault="00FD46E2" w:rsidP="00FD46E2">
      <w:pPr>
        <w:pStyle w:val="Heading-level1"/>
      </w:pPr>
      <w:bookmarkStart w:id="127" w:name="_Toc171500337"/>
      <w:r w:rsidRPr="002322B7">
        <w:lastRenderedPageBreak/>
        <w:t>Chapter 4 – Global ties &amp; o</w:t>
      </w:r>
      <w:r w:rsidR="005A35C7" w:rsidRPr="002322B7">
        <w:t>pen markets</w:t>
      </w:r>
      <w:bookmarkEnd w:id="127"/>
    </w:p>
    <w:p w14:paraId="6EACD723" w14:textId="722F05AB" w:rsidR="00FD46E2" w:rsidRPr="002322B7" w:rsidRDefault="005A35C7" w:rsidP="00FD46E2">
      <w:pPr>
        <w:pStyle w:val="Heading-level3"/>
      </w:pPr>
      <w:bookmarkStart w:id="128" w:name="_Toc170769069"/>
      <w:bookmarkStart w:id="129" w:name="_Toc171500338"/>
      <w:r w:rsidRPr="002322B7">
        <w:t>Outward looking with a</w:t>
      </w:r>
      <w:r w:rsidR="00FD46E2" w:rsidRPr="002322B7">
        <w:t xml:space="preserve"> passion for free trade</w:t>
      </w:r>
      <w:bookmarkEnd w:id="128"/>
      <w:bookmarkEnd w:id="129"/>
      <w:r w:rsidR="00FD46E2" w:rsidRPr="002322B7">
        <w:t xml:space="preserve"> </w:t>
      </w:r>
    </w:p>
    <w:p w14:paraId="77C6495B" w14:textId="4ECBDD19" w:rsidR="00FD46E2" w:rsidRPr="002322B7" w:rsidRDefault="00FD46E2" w:rsidP="003F1867">
      <w:pPr>
        <w:pStyle w:val="Body-copy"/>
        <w:rPr>
          <w:lang w:val="en-AU"/>
        </w:rPr>
      </w:pPr>
      <w:r w:rsidRPr="002322B7">
        <w:rPr>
          <w:lang w:val="en-AU"/>
        </w:rPr>
        <w:t>Strong global ties make Australia a prosperous trading nation</w:t>
      </w:r>
      <w:r w:rsidR="005B6C1E" w:rsidRPr="002322B7">
        <w:rPr>
          <w:lang w:val="en-AU"/>
        </w:rPr>
        <w:t xml:space="preserve">. Today, </w:t>
      </w:r>
      <w:r w:rsidRPr="002322B7">
        <w:rPr>
          <w:lang w:val="en-AU"/>
        </w:rPr>
        <w:t xml:space="preserve">our </w:t>
      </w:r>
      <w:r w:rsidR="00A758CF">
        <w:rPr>
          <w:lang w:val="en-AU"/>
        </w:rPr>
        <w:t>international</w:t>
      </w:r>
      <w:r w:rsidRPr="002322B7">
        <w:rPr>
          <w:lang w:val="en-AU"/>
        </w:rPr>
        <w:t xml:space="preserve"> trade </w:t>
      </w:r>
      <w:r w:rsidR="005B6C1E" w:rsidRPr="002322B7">
        <w:rPr>
          <w:lang w:val="en-AU"/>
        </w:rPr>
        <w:t>is worth the</w:t>
      </w:r>
      <w:r w:rsidR="00272C96" w:rsidRPr="002322B7">
        <w:rPr>
          <w:lang w:val="en-AU"/>
        </w:rPr>
        <w:t xml:space="preserve"> </w:t>
      </w:r>
      <w:r w:rsidRPr="002322B7">
        <w:rPr>
          <w:lang w:val="en-AU"/>
        </w:rPr>
        <w:t xml:space="preserve">equivalent </w:t>
      </w:r>
      <w:r w:rsidR="005B6C1E" w:rsidRPr="002322B7">
        <w:rPr>
          <w:lang w:val="en-AU"/>
        </w:rPr>
        <w:t>of</w:t>
      </w:r>
      <w:r w:rsidRPr="002322B7">
        <w:rPr>
          <w:lang w:val="en-AU"/>
        </w:rPr>
        <w:t xml:space="preserve"> around 48% of </w:t>
      </w:r>
      <w:r w:rsidR="005B6C1E" w:rsidRPr="002322B7">
        <w:rPr>
          <w:lang w:val="en-AU"/>
        </w:rPr>
        <w:t xml:space="preserve">Australia’s </w:t>
      </w:r>
      <w:r w:rsidRPr="002322B7">
        <w:rPr>
          <w:lang w:val="en-AU"/>
        </w:rPr>
        <w:t xml:space="preserve">GDP. </w:t>
      </w:r>
      <w:r w:rsidR="0098464E" w:rsidRPr="0098464E">
        <w:rPr>
          <w:lang w:val="en-AU"/>
        </w:rPr>
        <w:t>Our robust economic outlook partly reflects the prosperity of Asia</w:t>
      </w:r>
      <w:r w:rsidR="00D14107">
        <w:rPr>
          <w:lang w:val="en-AU"/>
        </w:rPr>
        <w:t>,</w:t>
      </w:r>
      <w:r w:rsidR="003721F5">
        <w:rPr>
          <w:lang w:val="en-AU"/>
        </w:rPr>
        <w:t xml:space="preserve"> with</w:t>
      </w:r>
      <w:r w:rsidR="0098464E" w:rsidRPr="0098464E">
        <w:rPr>
          <w:lang w:val="en-AU"/>
        </w:rPr>
        <w:t xml:space="preserve"> Australia enjoying the trade benefits of being close to many of the fastest growing economies in the world.</w:t>
      </w:r>
    </w:p>
    <w:p w14:paraId="79B261CA" w14:textId="3C8E3C1A" w:rsidR="00C11F17" w:rsidRPr="002322B7" w:rsidRDefault="00400649" w:rsidP="003F1867">
      <w:pPr>
        <w:pStyle w:val="Body-copy"/>
        <w:rPr>
          <w:lang w:val="en-AU"/>
        </w:rPr>
      </w:pPr>
      <w:r w:rsidRPr="002322B7">
        <w:rPr>
          <w:lang w:val="en-AU"/>
        </w:rPr>
        <w:t>Our s</w:t>
      </w:r>
      <w:r w:rsidR="00C11F17" w:rsidRPr="002322B7">
        <w:rPr>
          <w:lang w:val="en-AU"/>
        </w:rPr>
        <w:t xml:space="preserve">trong trading links </w:t>
      </w:r>
      <w:r w:rsidRPr="002322B7">
        <w:rPr>
          <w:lang w:val="en-AU"/>
        </w:rPr>
        <w:t xml:space="preserve">are a cause for confidence </w:t>
      </w:r>
      <w:r w:rsidR="00F265DB" w:rsidRPr="002322B7">
        <w:rPr>
          <w:lang w:val="en-AU"/>
        </w:rPr>
        <w:t>among</w:t>
      </w:r>
      <w:r w:rsidR="00C11F17" w:rsidRPr="002322B7">
        <w:rPr>
          <w:lang w:val="en-AU"/>
        </w:rPr>
        <w:t xml:space="preserve"> overseas investors</w:t>
      </w:r>
      <w:r w:rsidR="00D37878" w:rsidRPr="002322B7">
        <w:rPr>
          <w:lang w:val="en-AU"/>
        </w:rPr>
        <w:t xml:space="preserve">. </w:t>
      </w:r>
      <w:r w:rsidR="00C11F17" w:rsidRPr="002322B7">
        <w:rPr>
          <w:lang w:val="en-AU"/>
        </w:rPr>
        <w:t>Australia’s 18 free trade agreements (FTAs) cover trade with some of the world’s largest economies, including the US, China, Japan and most countries in the Asia-Pacific region. In December 2022, Australia became the first developed economy to sign an FTA with India</w:t>
      </w:r>
      <w:r w:rsidR="000E5C1A" w:rsidRPr="002322B7">
        <w:rPr>
          <w:lang w:val="en-AU"/>
        </w:rPr>
        <w:t>. O</w:t>
      </w:r>
      <w:r w:rsidR="00C11F17" w:rsidRPr="002322B7">
        <w:rPr>
          <w:lang w:val="en-AU"/>
        </w:rPr>
        <w:t xml:space="preserve">ur FTA with the UK came </w:t>
      </w:r>
      <w:r w:rsidR="00E55F54">
        <w:rPr>
          <w:lang w:val="en-AU"/>
        </w:rPr>
        <w:t>into force</w:t>
      </w:r>
      <w:r w:rsidR="00C11F17" w:rsidRPr="002322B7">
        <w:rPr>
          <w:lang w:val="en-AU"/>
        </w:rPr>
        <w:t xml:space="preserve"> in mid-2023</w:t>
      </w:r>
      <w:r w:rsidR="003428A3">
        <w:rPr>
          <w:lang w:val="en-AU"/>
        </w:rPr>
        <w:t>, which</w:t>
      </w:r>
      <w:r w:rsidR="00C11F17" w:rsidRPr="002322B7">
        <w:rPr>
          <w:lang w:val="en-AU"/>
        </w:rPr>
        <w:t xml:space="preserve"> </w:t>
      </w:r>
      <w:r w:rsidR="00517FD7">
        <w:rPr>
          <w:lang w:val="en-AU"/>
        </w:rPr>
        <w:t>will</w:t>
      </w:r>
      <w:r w:rsidR="00C11F17" w:rsidRPr="002322B7">
        <w:rPr>
          <w:lang w:val="en-AU"/>
        </w:rPr>
        <w:t xml:space="preserve"> transform trade in</w:t>
      </w:r>
      <w:r w:rsidR="004E7AE7">
        <w:rPr>
          <w:lang w:val="en-AU"/>
        </w:rPr>
        <w:t xml:space="preserve"> agriculture and </w:t>
      </w:r>
      <w:r w:rsidR="00C11F17" w:rsidRPr="002322B7">
        <w:rPr>
          <w:lang w:val="en-AU"/>
        </w:rPr>
        <w:t xml:space="preserve">services. </w:t>
      </w:r>
    </w:p>
    <w:p w14:paraId="0CF91AC7" w14:textId="7A408122" w:rsidR="00FD46E2" w:rsidRPr="002322B7" w:rsidRDefault="00FD46E2" w:rsidP="003F1867">
      <w:pPr>
        <w:pStyle w:val="Body-copy"/>
        <w:rPr>
          <w:lang w:val="en-AU"/>
        </w:rPr>
      </w:pPr>
      <w:r w:rsidRPr="002322B7">
        <w:rPr>
          <w:lang w:val="en-AU"/>
        </w:rPr>
        <w:t xml:space="preserve">Australia’s strong trade reflects our status as an open market economy. The </w:t>
      </w:r>
      <w:r w:rsidR="00555F57" w:rsidRPr="002322B7">
        <w:rPr>
          <w:lang w:val="en-AU"/>
        </w:rPr>
        <w:t>OECD</w:t>
      </w:r>
      <w:r w:rsidRPr="002322B7">
        <w:rPr>
          <w:lang w:val="en-AU"/>
        </w:rPr>
        <w:t xml:space="preserve"> reports that Australia’s openness </w:t>
      </w:r>
      <w:r w:rsidR="000E5C1A" w:rsidRPr="002322B7">
        <w:rPr>
          <w:lang w:val="en-AU"/>
        </w:rPr>
        <w:t>to trade in</w:t>
      </w:r>
      <w:r w:rsidRPr="002322B7">
        <w:rPr>
          <w:lang w:val="en-AU"/>
        </w:rPr>
        <w:t xml:space="preserve"> international services puts us </w:t>
      </w:r>
      <w:r w:rsidR="00472656" w:rsidRPr="002322B7">
        <w:rPr>
          <w:lang w:val="en-AU"/>
        </w:rPr>
        <w:t>among</w:t>
      </w:r>
      <w:r w:rsidRPr="002322B7">
        <w:rPr>
          <w:lang w:val="en-AU"/>
        </w:rPr>
        <w:t xml:space="preserve"> the top 10 </w:t>
      </w:r>
      <w:r w:rsidR="00472656" w:rsidRPr="002322B7">
        <w:rPr>
          <w:lang w:val="en-AU"/>
        </w:rPr>
        <w:t xml:space="preserve">of its </w:t>
      </w:r>
      <w:r w:rsidRPr="002322B7">
        <w:rPr>
          <w:lang w:val="en-AU"/>
        </w:rPr>
        <w:t xml:space="preserve">38 member countries. </w:t>
      </w:r>
    </w:p>
    <w:p w14:paraId="4B84FB5D" w14:textId="0103FB01" w:rsidR="00FD46E2" w:rsidRPr="002322B7" w:rsidRDefault="00CC3376" w:rsidP="003F1867">
      <w:pPr>
        <w:pStyle w:val="Body-copy"/>
        <w:rPr>
          <w:lang w:val="en-AU"/>
        </w:rPr>
      </w:pPr>
      <w:r w:rsidRPr="002322B7">
        <w:rPr>
          <w:lang w:val="en-AU"/>
        </w:rPr>
        <w:t>The</w:t>
      </w:r>
      <w:r w:rsidR="00FD46E2" w:rsidRPr="002322B7">
        <w:rPr>
          <w:lang w:val="en-AU"/>
        </w:rPr>
        <w:t xml:space="preserve"> level of foreign investment in Australia has grown by an extraordinary 7.7% per year</w:t>
      </w:r>
      <w:r w:rsidRPr="002322B7">
        <w:rPr>
          <w:lang w:val="en-AU"/>
        </w:rPr>
        <w:t xml:space="preserve"> since 2003</w:t>
      </w:r>
      <w:r w:rsidR="00FD46E2" w:rsidRPr="002322B7">
        <w:rPr>
          <w:lang w:val="en-AU"/>
        </w:rPr>
        <w:t>, reaching A$4.7 trillion in 2023. Investors come from around the world</w:t>
      </w:r>
      <w:r w:rsidR="0035711E">
        <w:rPr>
          <w:lang w:val="en-AU"/>
        </w:rPr>
        <w:t xml:space="preserve"> with </w:t>
      </w:r>
      <w:r w:rsidR="00FD46E2" w:rsidRPr="002322B7">
        <w:rPr>
          <w:lang w:val="en-AU"/>
        </w:rPr>
        <w:t xml:space="preserve">top contributors </w:t>
      </w:r>
      <w:r w:rsidR="00C56686">
        <w:rPr>
          <w:lang w:val="en-AU"/>
        </w:rPr>
        <w:t xml:space="preserve">that include </w:t>
      </w:r>
      <w:r w:rsidR="00FD46E2" w:rsidRPr="002322B7">
        <w:rPr>
          <w:lang w:val="en-AU"/>
        </w:rPr>
        <w:t>the US, the UK and Japan. But our dynamic economy is also attracting investors from China, Canada and Southeast Asia</w:t>
      </w:r>
      <w:r w:rsidR="007A5F83" w:rsidRPr="002322B7">
        <w:rPr>
          <w:lang w:val="en-AU"/>
        </w:rPr>
        <w:t xml:space="preserve">. Collectively, the </w:t>
      </w:r>
      <w:r w:rsidR="00FD46E2" w:rsidRPr="002322B7">
        <w:rPr>
          <w:lang w:val="en-AU"/>
        </w:rPr>
        <w:t xml:space="preserve">ASEAN </w:t>
      </w:r>
      <w:r w:rsidR="007A5F83" w:rsidRPr="002322B7">
        <w:rPr>
          <w:lang w:val="en-AU"/>
        </w:rPr>
        <w:t>bloc</w:t>
      </w:r>
      <w:r w:rsidR="00FD46E2" w:rsidRPr="002322B7">
        <w:rPr>
          <w:lang w:val="en-AU"/>
        </w:rPr>
        <w:t xml:space="preserve"> </w:t>
      </w:r>
      <w:r w:rsidR="007A5F83" w:rsidRPr="002322B7">
        <w:rPr>
          <w:lang w:val="en-AU"/>
        </w:rPr>
        <w:t xml:space="preserve">is now our </w:t>
      </w:r>
      <w:r w:rsidR="00FD46E2" w:rsidRPr="002322B7">
        <w:rPr>
          <w:lang w:val="en-AU"/>
        </w:rPr>
        <w:t>5</w:t>
      </w:r>
      <w:r w:rsidR="00FD46E2" w:rsidRPr="002322B7">
        <w:rPr>
          <w:vertAlign w:val="superscript"/>
          <w:lang w:val="en-AU"/>
        </w:rPr>
        <w:t>th</w:t>
      </w:r>
      <w:r w:rsidR="00A751D8" w:rsidRPr="002322B7">
        <w:rPr>
          <w:lang w:val="en-AU"/>
        </w:rPr>
        <w:t>-</w:t>
      </w:r>
      <w:r w:rsidR="00FD46E2" w:rsidRPr="002322B7">
        <w:rPr>
          <w:lang w:val="en-AU"/>
        </w:rPr>
        <w:t xml:space="preserve">largest investor. </w:t>
      </w:r>
    </w:p>
    <w:p w14:paraId="47AC0C08" w14:textId="67184D99" w:rsidR="00FD46E2" w:rsidRPr="002322B7" w:rsidRDefault="00FD46E2" w:rsidP="003F1867">
      <w:pPr>
        <w:pStyle w:val="Body-copy"/>
        <w:rPr>
          <w:lang w:val="en-AU"/>
        </w:rPr>
      </w:pPr>
      <w:r w:rsidRPr="002322B7">
        <w:rPr>
          <w:lang w:val="en-AU"/>
        </w:rPr>
        <w:t>Our strengths in international trade are broad based</w:t>
      </w:r>
      <w:r w:rsidR="00D9218B">
        <w:rPr>
          <w:lang w:val="en-AU"/>
        </w:rPr>
        <w:t>, being</w:t>
      </w:r>
      <w:r w:rsidRPr="002322B7">
        <w:rPr>
          <w:lang w:val="en-AU"/>
        </w:rPr>
        <w:t xml:space="preserve"> a major exporter of resources, energy and agrifood. The value of Australia’s exports of beef, wheat, sugar, barley and other food is likely to reach A$72 billion in 2023-24. Quality is our competitive advantage</w:t>
      </w:r>
      <w:r w:rsidR="00F711D6">
        <w:rPr>
          <w:lang w:val="en-AU"/>
        </w:rPr>
        <w:t xml:space="preserve"> with</w:t>
      </w:r>
      <w:r w:rsidR="00B513A2" w:rsidRPr="002322B7">
        <w:rPr>
          <w:lang w:val="en-AU"/>
        </w:rPr>
        <w:t xml:space="preserve"> </w:t>
      </w:r>
      <w:r w:rsidRPr="002322B7">
        <w:rPr>
          <w:lang w:val="en-AU"/>
        </w:rPr>
        <w:t xml:space="preserve">Australia’s efficient and tech-friendly farming </w:t>
      </w:r>
      <w:r w:rsidR="00B513A2" w:rsidRPr="002322B7">
        <w:rPr>
          <w:lang w:val="en-AU"/>
        </w:rPr>
        <w:t>earn</w:t>
      </w:r>
      <w:r w:rsidR="00FE0F20">
        <w:rPr>
          <w:lang w:val="en-AU"/>
        </w:rPr>
        <w:t>ing</w:t>
      </w:r>
      <w:r w:rsidR="00B513A2" w:rsidRPr="002322B7">
        <w:rPr>
          <w:lang w:val="en-AU"/>
        </w:rPr>
        <w:t xml:space="preserve"> us</w:t>
      </w:r>
      <w:r w:rsidRPr="002322B7">
        <w:rPr>
          <w:lang w:val="en-AU"/>
        </w:rPr>
        <w:t xml:space="preserve"> a global reputation for high standards. Customers are willing to pay a premium for our produce – including a growing middle</w:t>
      </w:r>
      <w:r w:rsidR="00AB1846" w:rsidRPr="002322B7">
        <w:rPr>
          <w:lang w:val="en-AU"/>
        </w:rPr>
        <w:t>-</w:t>
      </w:r>
      <w:r w:rsidRPr="002322B7">
        <w:rPr>
          <w:lang w:val="en-AU"/>
        </w:rPr>
        <w:t xml:space="preserve">class population in Southeast Asia.  </w:t>
      </w:r>
    </w:p>
    <w:p w14:paraId="7EAE7A64" w14:textId="79E0B79C" w:rsidR="000579C8" w:rsidRPr="002322B7" w:rsidRDefault="000579C8" w:rsidP="003F1867">
      <w:pPr>
        <w:pStyle w:val="Body-copy"/>
        <w:rPr>
          <w:lang w:val="en-AU"/>
        </w:rPr>
      </w:pPr>
      <w:r w:rsidRPr="4FEBF9DC">
        <w:rPr>
          <w:lang w:val="en-AU"/>
        </w:rPr>
        <w:t xml:space="preserve">Australia </w:t>
      </w:r>
      <w:r w:rsidR="00A8390C" w:rsidRPr="4FEBF9DC">
        <w:rPr>
          <w:lang w:val="en-AU"/>
        </w:rPr>
        <w:t>is now</w:t>
      </w:r>
      <w:r w:rsidRPr="4FEBF9DC">
        <w:rPr>
          <w:lang w:val="en-AU"/>
        </w:rPr>
        <w:t xml:space="preserve"> the 2</w:t>
      </w:r>
      <w:r w:rsidRPr="4FEBF9DC">
        <w:rPr>
          <w:vertAlign w:val="superscript"/>
          <w:lang w:val="en-AU"/>
        </w:rPr>
        <w:t>nd</w:t>
      </w:r>
      <w:r w:rsidRPr="4FEBF9DC">
        <w:rPr>
          <w:lang w:val="en-AU"/>
        </w:rPr>
        <w:t xml:space="preserve">-largest exporter </w:t>
      </w:r>
      <w:r w:rsidR="00A8390C" w:rsidRPr="4FEBF9DC">
        <w:rPr>
          <w:lang w:val="en-AU"/>
        </w:rPr>
        <w:t>of</w:t>
      </w:r>
      <w:r w:rsidRPr="4FEBF9DC">
        <w:rPr>
          <w:lang w:val="en-AU"/>
        </w:rPr>
        <w:t xml:space="preserve"> energy and resources </w:t>
      </w:r>
      <w:r w:rsidR="00492B8B" w:rsidRPr="4FEBF9DC">
        <w:rPr>
          <w:lang w:val="en-AU"/>
        </w:rPr>
        <w:t>globally</w:t>
      </w:r>
      <w:r w:rsidRPr="4FEBF9DC">
        <w:rPr>
          <w:lang w:val="en-AU"/>
        </w:rPr>
        <w:t>. Our nation leads the world in iron ore exports</w:t>
      </w:r>
      <w:r w:rsidR="00963EC1" w:rsidRPr="4FEBF9DC">
        <w:rPr>
          <w:lang w:val="en-AU"/>
        </w:rPr>
        <w:t>, which are now w</w:t>
      </w:r>
      <w:r w:rsidR="00933318" w:rsidRPr="4FEBF9DC">
        <w:rPr>
          <w:lang w:val="en-AU"/>
        </w:rPr>
        <w:t>orth</w:t>
      </w:r>
      <w:r w:rsidRPr="4FEBF9DC">
        <w:rPr>
          <w:lang w:val="en-AU"/>
        </w:rPr>
        <w:t xml:space="preserve"> US$90 billion</w:t>
      </w:r>
      <w:r w:rsidR="004C261C" w:rsidRPr="4FEBF9DC">
        <w:rPr>
          <w:lang w:val="en-AU"/>
        </w:rPr>
        <w:t xml:space="preserve"> and c</w:t>
      </w:r>
      <w:r w:rsidR="00933318" w:rsidRPr="4FEBF9DC">
        <w:rPr>
          <w:lang w:val="en-AU"/>
        </w:rPr>
        <w:t>ontribut</w:t>
      </w:r>
      <w:r w:rsidR="004C261C" w:rsidRPr="4FEBF9DC">
        <w:rPr>
          <w:lang w:val="en-AU"/>
        </w:rPr>
        <w:t>e</w:t>
      </w:r>
      <w:r w:rsidR="00933318" w:rsidRPr="4FEBF9DC">
        <w:rPr>
          <w:lang w:val="en-AU"/>
        </w:rPr>
        <w:t xml:space="preserve"> a </w:t>
      </w:r>
      <w:r w:rsidRPr="4FEBF9DC">
        <w:rPr>
          <w:lang w:val="en-AU"/>
        </w:rPr>
        <w:t xml:space="preserve">remarkable 40% of </w:t>
      </w:r>
      <w:r w:rsidR="00933318" w:rsidRPr="4FEBF9DC">
        <w:rPr>
          <w:lang w:val="en-AU"/>
        </w:rPr>
        <w:t xml:space="preserve">Australia’s goods </w:t>
      </w:r>
      <w:r w:rsidRPr="4FEBF9DC">
        <w:rPr>
          <w:lang w:val="en-AU"/>
        </w:rPr>
        <w:t>exports. With the largest identified reserves of iron ore</w:t>
      </w:r>
      <w:r w:rsidR="00F67134" w:rsidRPr="4FEBF9DC">
        <w:rPr>
          <w:lang w:val="en-AU"/>
        </w:rPr>
        <w:t xml:space="preserve"> – including </w:t>
      </w:r>
      <w:r w:rsidRPr="4FEBF9DC">
        <w:rPr>
          <w:lang w:val="en-AU"/>
        </w:rPr>
        <w:t>magnetite and high-grade hematite</w:t>
      </w:r>
      <w:r w:rsidR="00F67134" w:rsidRPr="4FEBF9DC">
        <w:rPr>
          <w:lang w:val="en-AU"/>
        </w:rPr>
        <w:t xml:space="preserve"> – Australia </w:t>
      </w:r>
      <w:r w:rsidRPr="4FEBF9DC">
        <w:rPr>
          <w:lang w:val="en-AU"/>
        </w:rPr>
        <w:t>is perfectly positioned to drive the production of green steel.</w:t>
      </w:r>
    </w:p>
    <w:p w14:paraId="769C1B1A" w14:textId="77777777" w:rsidR="000579C8" w:rsidRPr="002322B7" w:rsidRDefault="000579C8" w:rsidP="003F1867">
      <w:pPr>
        <w:pStyle w:val="Body-copy"/>
        <w:rPr>
          <w:lang w:val="en-AU"/>
        </w:rPr>
      </w:pPr>
    </w:p>
    <w:p w14:paraId="4306042E" w14:textId="77777777" w:rsidR="00FD46E2" w:rsidRPr="002322B7" w:rsidRDefault="00FD46E2" w:rsidP="003F1867">
      <w:pPr>
        <w:pStyle w:val="Body-copy"/>
        <w:rPr>
          <w:lang w:val="en-AU"/>
        </w:rPr>
      </w:pPr>
    </w:p>
    <w:p w14:paraId="10524D28" w14:textId="77777777" w:rsidR="00FD46E2" w:rsidRPr="002322B7" w:rsidRDefault="00FD46E2" w:rsidP="00FD46E2">
      <w:pPr>
        <w:pStyle w:val="Heading-level2"/>
      </w:pPr>
      <w:bookmarkStart w:id="130" w:name="_Toc165471164"/>
      <w:bookmarkStart w:id="131" w:name="_Toc171500339"/>
      <w:r w:rsidRPr="002322B7">
        <w:lastRenderedPageBreak/>
        <w:t>Proximity to Asia’s powerhouse economies</w:t>
      </w:r>
      <w:bookmarkEnd w:id="130"/>
      <w:bookmarkEnd w:id="131"/>
    </w:p>
    <w:p w14:paraId="4066C23C" w14:textId="5E9E69D4" w:rsidR="00FD46E2" w:rsidRPr="002322B7" w:rsidRDefault="00FD46E2" w:rsidP="003F1867">
      <w:pPr>
        <w:pStyle w:val="Body-copy"/>
        <w:rPr>
          <w:lang w:val="en-AU"/>
        </w:rPr>
      </w:pPr>
      <w:r w:rsidRPr="002322B7">
        <w:rPr>
          <w:lang w:val="en-AU"/>
        </w:rPr>
        <w:t>Australia benefits from Asia’s prosperity. In 1981, Asia accounted for just 21% of global GDP</w:t>
      </w:r>
      <w:r w:rsidR="0085295A">
        <w:rPr>
          <w:lang w:val="en-AU"/>
        </w:rPr>
        <w:t xml:space="preserve"> with this</w:t>
      </w:r>
      <w:r w:rsidR="00A51F84" w:rsidRPr="002322B7">
        <w:rPr>
          <w:lang w:val="en-AU"/>
        </w:rPr>
        <w:t xml:space="preserve"> </w:t>
      </w:r>
      <w:r w:rsidRPr="002322B7">
        <w:rPr>
          <w:lang w:val="en-AU"/>
        </w:rPr>
        <w:t>share expected to reach 45% by 2026. Most of Australia’s principal export partners are</w:t>
      </w:r>
      <w:r w:rsidR="0006547D">
        <w:rPr>
          <w:lang w:val="en-AU"/>
        </w:rPr>
        <w:t xml:space="preserve"> </w:t>
      </w:r>
      <w:r w:rsidRPr="002322B7">
        <w:rPr>
          <w:lang w:val="en-AU"/>
        </w:rPr>
        <w:t>located in Northeast and Southeast Asia, and a network of 18 free trade agreements gives Australian companies preferential access to these fast-growing markets. Asia’s middle class is growing strongly with an anticipated 3 billion consumers by 2030</w:t>
      </w:r>
      <w:r w:rsidR="0054597C" w:rsidRPr="002322B7">
        <w:rPr>
          <w:lang w:val="en-AU"/>
        </w:rPr>
        <w:t xml:space="preserve">. This </w:t>
      </w:r>
      <w:r w:rsidR="005E7472" w:rsidRPr="002322B7">
        <w:rPr>
          <w:lang w:val="en-AU"/>
        </w:rPr>
        <w:t>will</w:t>
      </w:r>
      <w:r w:rsidRPr="002322B7">
        <w:rPr>
          <w:lang w:val="en-AU"/>
        </w:rPr>
        <w:t xml:space="preserve"> trigger increased </w:t>
      </w:r>
      <w:r w:rsidR="0054597C" w:rsidRPr="002322B7">
        <w:rPr>
          <w:lang w:val="en-AU"/>
        </w:rPr>
        <w:t xml:space="preserve">demand for </w:t>
      </w:r>
      <w:r w:rsidRPr="002322B7">
        <w:rPr>
          <w:lang w:val="en-AU"/>
        </w:rPr>
        <w:t>Australia</w:t>
      </w:r>
      <w:r w:rsidR="0054597C" w:rsidRPr="002322B7">
        <w:rPr>
          <w:lang w:val="en-AU"/>
        </w:rPr>
        <w:t>’s top</w:t>
      </w:r>
      <w:r w:rsidRPr="002322B7">
        <w:rPr>
          <w:lang w:val="en-AU"/>
        </w:rPr>
        <w:t xml:space="preserve"> exports</w:t>
      </w:r>
      <w:r w:rsidR="0054597C" w:rsidRPr="002322B7">
        <w:rPr>
          <w:lang w:val="en-AU"/>
        </w:rPr>
        <w:t>:</w:t>
      </w:r>
      <w:r w:rsidRPr="002322B7">
        <w:rPr>
          <w:lang w:val="en-AU"/>
        </w:rPr>
        <w:t xml:space="preserve"> resources, energy, agriculture, education, tourism and healthcare services.⁴</w:t>
      </w:r>
    </w:p>
    <w:p w14:paraId="4136554F" w14:textId="284C89ED" w:rsidR="00FD46E2" w:rsidRDefault="00FD46E2" w:rsidP="00FD46E2">
      <w:pPr>
        <w:pStyle w:val="Caption"/>
      </w:pPr>
      <w:bookmarkStart w:id="132" w:name="_Toc165471215"/>
      <w:bookmarkStart w:id="133" w:name="_Toc171500384"/>
      <w:r w:rsidRPr="002322B7">
        <w:t xml:space="preserve">Figure </w:t>
      </w:r>
      <w:r w:rsidR="00CF16FA">
        <w:fldChar w:fldCharType="begin"/>
      </w:r>
      <w:r w:rsidR="00CF16FA">
        <w:instrText xml:space="preserve"> SEQ Figure \* ARABIC </w:instrText>
      </w:r>
      <w:r w:rsidR="00CF16FA">
        <w:fldChar w:fldCharType="separate"/>
      </w:r>
      <w:r w:rsidR="002459CF">
        <w:rPr>
          <w:noProof/>
        </w:rPr>
        <w:t>28</w:t>
      </w:r>
      <w:r w:rsidR="00CF16FA">
        <w:rPr>
          <w:noProof/>
        </w:rPr>
        <w:fldChar w:fldCharType="end"/>
      </w:r>
      <w:r w:rsidRPr="002322B7">
        <w:t xml:space="preserve"> – Asia</w:t>
      </w:r>
      <w:r w:rsidR="00F82B49" w:rsidRPr="002322B7">
        <w:t>’s</w:t>
      </w:r>
      <w:r w:rsidRPr="002322B7">
        <w:t xml:space="preserve"> economic growth</w:t>
      </w:r>
      <w:bookmarkEnd w:id="132"/>
      <w:bookmarkEnd w:id="133"/>
    </w:p>
    <w:p w14:paraId="2B8BD7E2" w14:textId="68E8617E" w:rsidR="00431179" w:rsidRDefault="00431179" w:rsidP="00431179">
      <w:r>
        <w:rPr>
          <w:noProof/>
        </w:rPr>
        <w:drawing>
          <wp:inline distT="0" distB="0" distL="0" distR="0" wp14:anchorId="35F11EFA" wp14:editId="1BE8C76C">
            <wp:extent cx="6336030" cy="4316730"/>
            <wp:effectExtent l="0" t="0" r="7620" b="7620"/>
            <wp:docPr id="1082130506" name="Picture 38" descr="The figure has a graph and a table. &#10;The table shows the country or region and its GDP compound annual growth rate in percentage terms from 1981 to 2026. The information is as follows: China and India 9.9%; Japan, Australia and New Zealand 4.3%; ASEAN 7.4%; Newly Industrialised Economies 7.7%; Other developing Asia 7.7%; Avg. of Asia incl. Australia &amp; NZ 7.7%; and World average 6.0%. &#10;The right-hand side axis plots the Asia plus Australia and New Zealand as a percentage of world’s GDP (right-hand axis) by year. The information is: 21% in 1981; 23% in 1986; 26% in 1991; 28% in 1996; 29% in 2001; 31% in 2006; 36% in 2011; 38% in 2016; 41% in 2021; and 43% in 2026 (forecast).&#10;In the left-hand side axis plots, the GDP based on purchasing power parity (PPP) by region in a stacked bar and year in the horizontal axis. The information for the left-hand side axis is:  China and India $0.82 in 1981 trillion; $1.44 in 1986 trillion; $2.34 in 1991 trillion; $4.15 in 1996 trillion; $6.42 in 2001 trillion; $11.38 in 2006 trillion; $19.35 in 2011 trillion; $26.44 in 2016 trillion; $37.81 in 2021 trillion; $56.67 in 2026F trillion;   Japan, Australia and New Zealand $1.43 in 1981 trillion; $2.06 in 1986 trillion; $3.06 in 1991 trillion; $3.70 in 1996 trillion; $4.24 in 2001 trillion; $5.22 in 2006 trillion; $5.74 in 2011 trillion; $6.52 in 2016 trillion; $7.41 in 2021 trillion; $9.34 in 2026F trillion;   ASEAN-9² $0.50 in 1981 trillion; $0.75 in 1986 trillion; $1.29 in 1991 trillion; $2.05 in 1996 trillion; $2.44 in 2001 trillion; $3.65 in 2006 trillion; $5.11 in 2011 trillion; $6.61 in 2016 trillion; $8.51 in 2021 trillion; $12.74 in 2026F trillion;   Newly Industrialised Economies³ $0.24 in 1981 trillion; $0.43 in 1986 trillion; $0.79 in 1991 trillion; $1.26 in 1996 trillion; $1.70 in 2001 trillion; $2.51 in 2006 trillion; $3.35 in 2011 trillion; $4.06 in 2016 trillion; $5.14 in 2021 trillion; $6.76 in 2026F trillion;   Other developing Asia $0.10 in 1981 trillion; $0.14 in 1986 trillion; $0.20 in 1991 trillion; $0.29 in 1996 trillion; $0.39 in 2001 trillion; $0.57 in 2006 trillion; $0.83 in 2011 trillion; $1.23 in 2016 trillion; $1.75 in 2021 trillion; and $2.66 in 2026F tr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30506" name="Picture 38" descr="The figure has a graph and a table. &#10;The table shows the country or region and its GDP compound annual growth rate in percentage terms from 1981 to 2026. The information is as follows: China and India 9.9%; Japan, Australia and New Zealand 4.3%; ASEAN 7.4%; Newly Industrialised Economies 7.7%; Other developing Asia 7.7%; Avg. of Asia incl. Australia &amp; NZ 7.7%; and World average 6.0%. &#10;The right-hand side axis plots the Asia plus Australia and New Zealand as a percentage of world’s GDP (right-hand axis) by year. The information is: 21% in 1981; 23% in 1986; 26% in 1991; 28% in 1996; 29% in 2001; 31% in 2006; 36% in 2011; 38% in 2016; 41% in 2021; and 43% in 2026 (forecast).&#10;In the left-hand side axis plots, the GDP based on purchasing power parity (PPP) by region in a stacked bar and year in the horizontal axis. The information for the left-hand side axis is:  China and India $0.82 in 1981 trillion; $1.44 in 1986 trillion; $2.34 in 1991 trillion; $4.15 in 1996 trillion; $6.42 in 2001 trillion; $11.38 in 2006 trillion; $19.35 in 2011 trillion; $26.44 in 2016 trillion; $37.81 in 2021 trillion; $56.67 in 2026F trillion;   Japan, Australia and New Zealand $1.43 in 1981 trillion; $2.06 in 1986 trillion; $3.06 in 1991 trillion; $3.70 in 1996 trillion; $4.24 in 2001 trillion; $5.22 in 2006 trillion; $5.74 in 2011 trillion; $6.52 in 2016 trillion; $7.41 in 2021 trillion; $9.34 in 2026F trillion;   ASEAN-9² $0.50 in 1981 trillion; $0.75 in 1986 trillion; $1.29 in 1991 trillion; $2.05 in 1996 trillion; $2.44 in 2001 trillion; $3.65 in 2006 trillion; $5.11 in 2011 trillion; $6.61 in 2016 trillion; $8.51 in 2021 trillion; $12.74 in 2026F trillion;   Newly Industrialised Economies³ $0.24 in 1981 trillion; $0.43 in 1986 trillion; $0.79 in 1991 trillion; $1.26 in 1996 trillion; $1.70 in 2001 trillion; $2.51 in 2006 trillion; $3.35 in 2011 trillion; $4.06 in 2016 trillion; $5.14 in 2021 trillion; $6.76 in 2026F trillion;   Other developing Asia $0.10 in 1981 trillion; $0.14 in 1986 trillion; $0.20 in 1991 trillion; $0.29 in 1996 trillion; $0.39 in 2001 trillion; $0.57 in 2006 trillion; $0.83 in 2011 trillion; $1.23 in 2016 trillion; $1.75 in 2021 trillion; and $2.66 in 2026F trillion.&#10;"/>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6336030" cy="4316730"/>
                    </a:xfrm>
                    <a:prstGeom prst="rect">
                      <a:avLst/>
                    </a:prstGeom>
                    <a:ln>
                      <a:noFill/>
                    </a:ln>
                    <a:extLst>
                      <a:ext uri="{53640926-AAD7-44D8-BBD7-CCE9431645EC}">
                        <a14:shadowObscured xmlns:a14="http://schemas.microsoft.com/office/drawing/2010/main"/>
                      </a:ext>
                    </a:extLst>
                  </pic:spPr>
                </pic:pic>
              </a:graphicData>
            </a:graphic>
          </wp:inline>
        </w:drawing>
      </w:r>
    </w:p>
    <w:p w14:paraId="56D7417F" w14:textId="1C44300F" w:rsidR="00FD46E2" w:rsidRPr="002322B7" w:rsidRDefault="00FD46E2" w:rsidP="00FD46E2">
      <w:pPr>
        <w:pStyle w:val="Sourcesandnotes"/>
      </w:pPr>
      <w:r w:rsidRPr="002322B7">
        <w:rPr>
          <w:b/>
          <w:bCs/>
        </w:rPr>
        <w:t>Notes: 1.</w:t>
      </w:r>
      <w:r w:rsidRPr="002322B7">
        <w:t xml:space="preserve"> The bar represents the value of regional </w:t>
      </w:r>
      <w:r w:rsidR="00E935BE">
        <w:t>GDP</w:t>
      </w:r>
      <w:r w:rsidRPr="002322B7">
        <w:t xml:space="preserve"> at current prices based on purchasing power parity. </w:t>
      </w:r>
      <w:r w:rsidRPr="002322B7">
        <w:rPr>
          <w:b/>
          <w:bCs/>
        </w:rPr>
        <w:t>2.</w:t>
      </w:r>
      <w:r w:rsidRPr="002322B7">
        <w:t xml:space="preserve"> The Association of Southeast Asian Nations (ASEAN) includes Brunei Darussalam, Cambodia, Indonesia, Lao PDR, Malaysia, Myanmar, Philippines, Thailand and Vietnam. To avoid double counting with newly industrialised economies (NIEs) and ASEAN, Singapore was excluded from the ASEAN group. </w:t>
      </w:r>
      <w:r w:rsidRPr="002322B7">
        <w:rPr>
          <w:b/>
          <w:bCs/>
        </w:rPr>
        <w:t>3.</w:t>
      </w:r>
      <w:r w:rsidRPr="002322B7">
        <w:t xml:space="preserve"> NIEs: Singapore, Hong Kong SAR, Korea and Taiwan. </w:t>
      </w:r>
      <w:r w:rsidRPr="002322B7">
        <w:rPr>
          <w:b/>
          <w:bCs/>
        </w:rPr>
        <w:t>4.</w:t>
      </w:r>
      <w:r w:rsidRPr="002322B7">
        <w:t xml:space="preserve"> Brookings Institution, see source below. </w:t>
      </w:r>
    </w:p>
    <w:p w14:paraId="1AF885B9" w14:textId="77777777" w:rsidR="00FD46E2" w:rsidRPr="002322B7" w:rsidRDefault="00FD46E2" w:rsidP="00FD46E2">
      <w:pPr>
        <w:pStyle w:val="Sourcesandnotes"/>
      </w:pPr>
      <w:r w:rsidRPr="002322B7">
        <w:rPr>
          <w:b/>
          <w:bCs/>
        </w:rPr>
        <w:t>F =</w:t>
      </w:r>
      <w:r w:rsidRPr="002322B7">
        <w:t xml:space="preserve"> Forecast </w:t>
      </w:r>
    </w:p>
    <w:p w14:paraId="4B2EC2DA" w14:textId="77777777" w:rsidR="00FD46E2" w:rsidRPr="002322B7" w:rsidRDefault="00FD46E2" w:rsidP="00FD46E2">
      <w:pPr>
        <w:pStyle w:val="Sourcesandnotes"/>
      </w:pPr>
      <w:r w:rsidRPr="002322B7">
        <w:rPr>
          <w:b/>
          <w:bCs/>
        </w:rPr>
        <w:t>Sources:</w:t>
      </w:r>
      <w:r w:rsidRPr="002322B7">
        <w:t xml:space="preserve"> International Monetary Fund, 2024, World Economic Outlook April 2024; Brookings Institution, 2017, The unprecedented expansion of the global middle class; Austrade.</w:t>
      </w:r>
    </w:p>
    <w:bookmarkEnd w:id="101"/>
    <w:p w14:paraId="3FEF51A8" w14:textId="7B5C355C" w:rsidR="00FD46E2" w:rsidRPr="002322B7" w:rsidRDefault="00FD46E2">
      <w:pPr>
        <w:spacing w:before="0" w:after="160" w:line="259" w:lineRule="auto"/>
      </w:pPr>
      <w:r w:rsidRPr="002322B7">
        <w:br w:type="page"/>
      </w:r>
    </w:p>
    <w:p w14:paraId="6F41680A" w14:textId="77777777" w:rsidR="006719E7" w:rsidRPr="002322B7" w:rsidRDefault="006719E7" w:rsidP="006719E7">
      <w:pPr>
        <w:pStyle w:val="Heading-level2"/>
      </w:pPr>
      <w:bookmarkStart w:id="134" w:name="_Toc171500340"/>
      <w:bookmarkEnd w:id="102"/>
      <w:r w:rsidRPr="002322B7">
        <w:lastRenderedPageBreak/>
        <w:t>A broad network of trade agreements</w:t>
      </w:r>
      <w:bookmarkEnd w:id="134"/>
    </w:p>
    <w:p w14:paraId="4EBED8E8" w14:textId="3182D70E" w:rsidR="006719E7" w:rsidRPr="002322B7" w:rsidRDefault="006E633D" w:rsidP="003F1867">
      <w:pPr>
        <w:pStyle w:val="Body-copy"/>
        <w:rPr>
          <w:lang w:val="en-AU"/>
        </w:rPr>
      </w:pPr>
      <w:r w:rsidRPr="002322B7">
        <w:rPr>
          <w:lang w:val="en-AU"/>
        </w:rPr>
        <w:t>Australia has 18 FTAs</w:t>
      </w:r>
      <w:r w:rsidR="00F93CF3" w:rsidRPr="002322B7">
        <w:rPr>
          <w:lang w:val="en-AU"/>
        </w:rPr>
        <w:t>. They</w:t>
      </w:r>
      <w:r w:rsidR="00580B53" w:rsidRPr="002322B7">
        <w:rPr>
          <w:lang w:val="en-AU"/>
        </w:rPr>
        <w:t xml:space="preserve"> include </w:t>
      </w:r>
      <w:r w:rsidRPr="002322B7">
        <w:rPr>
          <w:lang w:val="en-AU"/>
        </w:rPr>
        <w:t xml:space="preserve">bilateral agreements with our principal trading partners </w:t>
      </w:r>
      <w:r w:rsidR="00580B53" w:rsidRPr="002322B7">
        <w:rPr>
          <w:lang w:val="en-AU"/>
        </w:rPr>
        <w:t xml:space="preserve">such as </w:t>
      </w:r>
      <w:r w:rsidRPr="002322B7">
        <w:rPr>
          <w:lang w:val="en-AU"/>
        </w:rPr>
        <w:t>the U</w:t>
      </w:r>
      <w:r w:rsidR="009D070D">
        <w:rPr>
          <w:lang w:val="en-AU"/>
        </w:rPr>
        <w:t>S</w:t>
      </w:r>
      <w:r w:rsidRPr="002322B7">
        <w:rPr>
          <w:lang w:val="en-AU"/>
        </w:rPr>
        <w:t>, China, Korea, Japan and Singapore. Australia is also a member of regional multi-party trade agreements</w:t>
      </w:r>
      <w:r w:rsidR="00AF2D09" w:rsidRPr="002322B7">
        <w:rPr>
          <w:lang w:val="en-AU"/>
        </w:rPr>
        <w:t>. These</w:t>
      </w:r>
      <w:r w:rsidRPr="002322B7">
        <w:rPr>
          <w:lang w:val="en-AU"/>
        </w:rPr>
        <w:t xml:space="preserve"> includ</w:t>
      </w:r>
      <w:r w:rsidR="00AF2D09" w:rsidRPr="002322B7">
        <w:rPr>
          <w:lang w:val="en-AU"/>
        </w:rPr>
        <w:t>e</w:t>
      </w:r>
      <w:r w:rsidRPr="002322B7">
        <w:rPr>
          <w:lang w:val="en-AU"/>
        </w:rPr>
        <w:t xml:space="preserve"> the Regional Comprehensive Economic Partnership Agreement (RCEP), which is a free trade agreement with 14 Asia-Pacific countries</w:t>
      </w:r>
      <w:r w:rsidR="00AD441D">
        <w:rPr>
          <w:lang w:val="en-AU"/>
        </w:rPr>
        <w:t>, as well as</w:t>
      </w:r>
      <w:r w:rsidR="00F67843" w:rsidRPr="002322B7">
        <w:rPr>
          <w:lang w:val="en-AU"/>
        </w:rPr>
        <w:t xml:space="preserve"> </w:t>
      </w:r>
      <w:r w:rsidRPr="002322B7">
        <w:rPr>
          <w:lang w:val="en-AU"/>
        </w:rPr>
        <w:t>the ASEAN-Australia-New Zealand Free Trade A</w:t>
      </w:r>
      <w:r w:rsidR="003D7477">
        <w:rPr>
          <w:lang w:val="en-AU"/>
        </w:rPr>
        <w:t>rea</w:t>
      </w:r>
      <w:r w:rsidRPr="002322B7">
        <w:rPr>
          <w:lang w:val="en-AU"/>
        </w:rPr>
        <w:t xml:space="preserve"> (AANZFTA)</w:t>
      </w:r>
      <w:r w:rsidR="00982BF2">
        <w:rPr>
          <w:lang w:val="en-AU"/>
        </w:rPr>
        <w:t xml:space="preserve"> agreement</w:t>
      </w:r>
      <w:r w:rsidRPr="002322B7">
        <w:rPr>
          <w:lang w:val="en-AU"/>
        </w:rPr>
        <w:t>. Two recent FTAs are set to boost trade with strategic partners</w:t>
      </w:r>
      <w:r w:rsidR="00F67843" w:rsidRPr="002322B7">
        <w:rPr>
          <w:lang w:val="en-AU"/>
        </w:rPr>
        <w:t xml:space="preserve">. The </w:t>
      </w:r>
      <w:r w:rsidRPr="002322B7">
        <w:rPr>
          <w:lang w:val="en-AU"/>
        </w:rPr>
        <w:t>Australia-India Economic Cooperation and Trade Agreement (ECTA) c</w:t>
      </w:r>
      <w:r w:rsidR="00F67843" w:rsidRPr="002322B7">
        <w:rPr>
          <w:lang w:val="en-AU"/>
        </w:rPr>
        <w:t>ame</w:t>
      </w:r>
      <w:r w:rsidRPr="002322B7">
        <w:rPr>
          <w:lang w:val="en-AU"/>
        </w:rPr>
        <w:t xml:space="preserve"> into force in December 2022, and the Australia-United Kingdom Free Trade Agreement (A-UKFTA) bec</w:t>
      </w:r>
      <w:r w:rsidR="00F67843" w:rsidRPr="002322B7">
        <w:rPr>
          <w:lang w:val="en-AU"/>
        </w:rPr>
        <w:t>ame</w:t>
      </w:r>
      <w:r w:rsidRPr="002322B7">
        <w:rPr>
          <w:lang w:val="en-AU"/>
        </w:rPr>
        <w:t xml:space="preserve"> operational in May 2023.</w:t>
      </w:r>
    </w:p>
    <w:p w14:paraId="0A9425A2" w14:textId="1A530AA0" w:rsidR="006719E7" w:rsidRPr="002322B7" w:rsidRDefault="006719E7" w:rsidP="006719E7">
      <w:pPr>
        <w:pStyle w:val="Caption"/>
      </w:pPr>
      <w:bookmarkStart w:id="135" w:name="_Toc164873547"/>
      <w:bookmarkStart w:id="136" w:name="_Toc171500385"/>
      <w:r w:rsidRPr="002322B7">
        <w:t xml:space="preserve">Figure </w:t>
      </w:r>
      <w:r w:rsidR="00CF16FA">
        <w:fldChar w:fldCharType="begin"/>
      </w:r>
      <w:r w:rsidR="00CF16FA">
        <w:instrText xml:space="preserve"> SEQ Figure \* ARABIC </w:instrText>
      </w:r>
      <w:r w:rsidR="00CF16FA">
        <w:fldChar w:fldCharType="separate"/>
      </w:r>
      <w:r w:rsidR="002459CF">
        <w:rPr>
          <w:noProof/>
        </w:rPr>
        <w:t>29</w:t>
      </w:r>
      <w:r w:rsidR="00CF16FA">
        <w:rPr>
          <w:noProof/>
        </w:rPr>
        <w:fldChar w:fldCharType="end"/>
      </w:r>
      <w:r w:rsidRPr="002322B7">
        <w:t xml:space="preserve"> –</w:t>
      </w:r>
      <w:bookmarkEnd w:id="135"/>
      <w:r w:rsidRPr="002322B7">
        <w:t xml:space="preserve"> Australia’s free trade agreements</w:t>
      </w:r>
      <w:bookmarkEnd w:id="136"/>
    </w:p>
    <w:p w14:paraId="70747A29" w14:textId="05D3D86E" w:rsidR="006719E7" w:rsidRPr="002322B7" w:rsidRDefault="006719E7" w:rsidP="006719E7"/>
    <w:p w14:paraId="3F7F6D95" w14:textId="2B22ADA8" w:rsidR="006719E7" w:rsidRPr="002322B7" w:rsidRDefault="008D468B" w:rsidP="006719E7">
      <w:pPr>
        <w:pStyle w:val="Sourcesandnotes"/>
      </w:pPr>
      <w:r>
        <w:rPr>
          <w:noProof/>
        </w:rPr>
        <w:drawing>
          <wp:inline distT="0" distB="0" distL="0" distR="0" wp14:anchorId="637BFB47" wp14:editId="20F96D74">
            <wp:extent cx="6300000" cy="5456454"/>
            <wp:effectExtent l="0" t="0" r="5715" b="0"/>
            <wp:docPr id="598014315" name="Picture 39" descr="The image has a map and a table. &#10;The map shows Australia's Free Trade Agreements (FTA). It shows the country and the year the Free Trade Agreement with the country entered into force. &#10;The information in the map is China 2015; India 2022; Thailand 2005; Malaysia 2013; Korea 2014; Japan 2015; United States 2005; Hong Kong SAR 2020; Singapore 2003; Indonesia 2020; Peru 2020; Chile 2009; United Kingdom 2023;  and New Zealand 1983.&#10;The table shows Australia’s three multi-party Free Trade Agreements. &#10;First, the ASEAN-Australia New Zealand Free Trade Agreement (2010-11) includes New Zealand, Indonesia, Brunei, Singapore, Malaysia, Thailand, the Philippines, Vietnam, Cambodia, Laos, and Myanmar.&#10;Second, the Comprehensive and Progressive agreement for Trans-Pacific Partnership (2018-19) includes New Zealand, Indonesia, Brunei, Singapore, Malaysia, Vietnam, Japan, Canada, Mexico, Peru, and Chile.&#10;Third, the Regional Comprehensive Economic Partnership (2022) includes New Zealand, Brunei, Singapore, Malaysia, Thailand, Vietnam, Cambodia, Laos, China, Korea,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14315" name="Picture 39" descr="The image has a map and a table. &#10;The map shows Australia's Free Trade Agreements (FTA). It shows the country and the year the Free Trade Agreement with the country entered into force. &#10;The information in the map is China 2015; India 2022; Thailand 2005; Malaysia 2013; Korea 2014; Japan 2015; United States 2005; Hong Kong SAR 2020; Singapore 2003; Indonesia 2020; Peru 2020; Chile 2009; United Kingdom 2023;  and New Zealand 1983.&#10;The table shows Australia’s three multi-party Free Trade Agreements. &#10;First, the ASEAN-Australia New Zealand Free Trade Agreement (2010-11) includes New Zealand, Indonesia, Brunei, Singapore, Malaysia, Thailand, the Philippines, Vietnam, Cambodia, Laos, and Myanmar.&#10;Second, the Comprehensive and Progressive agreement for Trans-Pacific Partnership (2018-19) includes New Zealand, Indonesia, Brunei, Singapore, Malaysia, Vietnam, Japan, Canada, Mexico, Peru, and Chile.&#10;Third, the Regional Comprehensive Economic Partnership (2022) includes New Zealand, Brunei, Singapore, Malaysia, Thailand, Vietnam, Cambodia, Laos, China, Korea, and Japan.&#10;"/>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6300000" cy="5456454"/>
                    </a:xfrm>
                    <a:prstGeom prst="rect">
                      <a:avLst/>
                    </a:prstGeom>
                    <a:ln>
                      <a:noFill/>
                    </a:ln>
                    <a:extLst>
                      <a:ext uri="{53640926-AAD7-44D8-BBD7-CCE9431645EC}">
                        <a14:shadowObscured xmlns:a14="http://schemas.microsoft.com/office/drawing/2010/main"/>
                      </a:ext>
                    </a:extLst>
                  </pic:spPr>
                </pic:pic>
              </a:graphicData>
            </a:graphic>
          </wp:inline>
        </w:drawing>
      </w:r>
      <w:r w:rsidR="006719E7" w:rsidRPr="002322B7">
        <w:rPr>
          <w:b/>
          <w:bCs/>
        </w:rPr>
        <w:t>Notes: 1.</w:t>
      </w:r>
      <w:r w:rsidR="006719E7" w:rsidRPr="002322B7">
        <w:t xml:space="preserve"> Information on the status of FTA negotiations can be found here: https://www.dfat.gov.au/trade/agreements/trade-agreements </w:t>
      </w:r>
      <w:r w:rsidR="006719E7" w:rsidRPr="002322B7">
        <w:rPr>
          <w:b/>
          <w:bCs/>
        </w:rPr>
        <w:t xml:space="preserve">2. </w:t>
      </w:r>
      <w:r w:rsidR="006719E7" w:rsidRPr="002322B7">
        <w:t xml:space="preserve">The Pacific Agreement on Closer Economic Relations Plus entered into force in 2020. Australia, New Zealand, Samoa, Kiribati, Tonga, Solomon Islands, Niue and Cook Islands are parties to the Agreement. </w:t>
      </w:r>
    </w:p>
    <w:p w14:paraId="169BBC2E" w14:textId="77777777" w:rsidR="006E633D" w:rsidRPr="002322B7" w:rsidRDefault="006719E7" w:rsidP="006E633D">
      <w:pPr>
        <w:pStyle w:val="Sourcesandnotes"/>
      </w:pPr>
      <w:r w:rsidRPr="002322B7">
        <w:rPr>
          <w:b/>
          <w:bCs/>
        </w:rPr>
        <w:t xml:space="preserve">Sources: </w:t>
      </w:r>
      <w:r w:rsidRPr="002322B7">
        <w:t xml:space="preserve">The Department of Foreign Affairs and Trade, 2023, Australia’s free trade agreements; Austrade. </w:t>
      </w:r>
    </w:p>
    <w:p w14:paraId="2BF0241B" w14:textId="1296A26D" w:rsidR="00F25F66" w:rsidRPr="002322B7" w:rsidRDefault="00F25F66" w:rsidP="00F25F66">
      <w:pPr>
        <w:pStyle w:val="Heading-level2"/>
      </w:pPr>
      <w:bookmarkStart w:id="137" w:name="_Toc171500341"/>
      <w:r w:rsidRPr="002322B7">
        <w:lastRenderedPageBreak/>
        <w:t>Pioneering the modernisation of global trade</w:t>
      </w:r>
      <w:bookmarkEnd w:id="137"/>
    </w:p>
    <w:p w14:paraId="36A5DEE6" w14:textId="6C1B659C" w:rsidR="00F25F66" w:rsidRPr="002322B7" w:rsidRDefault="00F25F66" w:rsidP="003F1867">
      <w:pPr>
        <w:pStyle w:val="Body-copy"/>
        <w:rPr>
          <w:lang w:val="en-AU"/>
        </w:rPr>
      </w:pPr>
      <w:r w:rsidRPr="002322B7">
        <w:rPr>
          <w:lang w:val="en-AU"/>
        </w:rPr>
        <w:t>Australia is at the forefront of</w:t>
      </w:r>
      <w:r w:rsidR="00CC6195" w:rsidRPr="002322B7">
        <w:rPr>
          <w:lang w:val="en-AU"/>
        </w:rPr>
        <w:t xml:space="preserve"> efforts to adopt mode</w:t>
      </w:r>
      <w:r w:rsidR="005C7E09" w:rsidRPr="002322B7">
        <w:rPr>
          <w:lang w:val="en-AU"/>
        </w:rPr>
        <w:t>rn</w:t>
      </w:r>
      <w:r w:rsidRPr="002322B7">
        <w:rPr>
          <w:lang w:val="en-AU"/>
        </w:rPr>
        <w:t xml:space="preserve"> trade standards, ranking 3</w:t>
      </w:r>
      <w:r w:rsidRPr="002322B7">
        <w:rPr>
          <w:vertAlign w:val="superscript"/>
          <w:lang w:val="en-AU"/>
        </w:rPr>
        <w:t>rd</w:t>
      </w:r>
      <w:r w:rsidRPr="002322B7">
        <w:rPr>
          <w:lang w:val="en-AU"/>
        </w:rPr>
        <w:t xml:space="preserve"> </w:t>
      </w:r>
      <w:r w:rsidR="005C7E09" w:rsidRPr="002322B7">
        <w:rPr>
          <w:lang w:val="en-AU"/>
        </w:rPr>
        <w:t>i</w:t>
      </w:r>
      <w:r w:rsidRPr="002322B7">
        <w:rPr>
          <w:lang w:val="en-AU"/>
        </w:rPr>
        <w:t xml:space="preserve">n the United Nations' Trade Digitalization Index. </w:t>
      </w:r>
      <w:bookmarkStart w:id="138" w:name="_Hlk164834252"/>
      <w:r w:rsidRPr="002322B7">
        <w:rPr>
          <w:lang w:val="en-AU"/>
        </w:rPr>
        <w:t>This reflects Australia’s determination to adopt digital solutions that streamline trade processes and automate transactions</w:t>
      </w:r>
      <w:bookmarkEnd w:id="138"/>
      <w:r w:rsidRPr="002322B7">
        <w:rPr>
          <w:lang w:val="en-AU"/>
        </w:rPr>
        <w:t xml:space="preserve">. </w:t>
      </w:r>
      <w:bookmarkStart w:id="139" w:name="_Hlk164834265"/>
      <w:r w:rsidR="00110943">
        <w:rPr>
          <w:lang w:val="en-AU"/>
        </w:rPr>
        <w:t>And m</w:t>
      </w:r>
      <w:r w:rsidR="008B2F99" w:rsidRPr="002322B7">
        <w:rPr>
          <w:lang w:val="en-AU"/>
        </w:rPr>
        <w:t>ore</w:t>
      </w:r>
      <w:r w:rsidRPr="002322B7">
        <w:rPr>
          <w:lang w:val="en-AU"/>
        </w:rPr>
        <w:t xml:space="preserve"> is coming</w:t>
      </w:r>
      <w:r w:rsidR="008B2F99" w:rsidRPr="002322B7">
        <w:rPr>
          <w:lang w:val="en-AU"/>
        </w:rPr>
        <w:t xml:space="preserve">. </w:t>
      </w:r>
      <w:r w:rsidRPr="002322B7">
        <w:rPr>
          <w:lang w:val="en-AU"/>
        </w:rPr>
        <w:t xml:space="preserve">Australia </w:t>
      </w:r>
      <w:r w:rsidR="008B2F99" w:rsidRPr="002322B7">
        <w:rPr>
          <w:lang w:val="en-AU"/>
        </w:rPr>
        <w:t>is developing its</w:t>
      </w:r>
      <w:r w:rsidRPr="002322B7">
        <w:rPr>
          <w:lang w:val="en-AU"/>
        </w:rPr>
        <w:t xml:space="preserve"> Simplified Trade System</w:t>
      </w:r>
      <w:r w:rsidR="00571126" w:rsidRPr="002322B7">
        <w:rPr>
          <w:lang w:val="en-AU"/>
        </w:rPr>
        <w:t xml:space="preserve"> (STS), which will</w:t>
      </w:r>
      <w:r w:rsidRPr="002322B7">
        <w:rPr>
          <w:lang w:val="en-AU"/>
        </w:rPr>
        <w:t xml:space="preserve"> help companies comply with trade regulations.</w:t>
      </w:r>
      <w:bookmarkEnd w:id="139"/>
      <w:r w:rsidRPr="002322B7">
        <w:rPr>
          <w:lang w:val="en-AU"/>
        </w:rPr>
        <w:t xml:space="preserve"> </w:t>
      </w:r>
      <w:r w:rsidR="00571126" w:rsidRPr="002322B7">
        <w:rPr>
          <w:lang w:val="en-AU"/>
        </w:rPr>
        <w:t>STS</w:t>
      </w:r>
      <w:r w:rsidRPr="002322B7">
        <w:rPr>
          <w:lang w:val="en-AU"/>
        </w:rPr>
        <w:t xml:space="preserve"> will simplify procedures, upgrade systems</w:t>
      </w:r>
      <w:r w:rsidR="00BB42D2" w:rsidRPr="002322B7">
        <w:rPr>
          <w:lang w:val="en-AU"/>
        </w:rPr>
        <w:t>,</w:t>
      </w:r>
      <w:r w:rsidRPr="002322B7">
        <w:rPr>
          <w:lang w:val="en-AU"/>
        </w:rPr>
        <w:t xml:space="preserve"> and </w:t>
      </w:r>
      <w:r w:rsidR="00B92126" w:rsidRPr="00B92126">
        <w:rPr>
          <w:lang w:val="en-AU"/>
        </w:rPr>
        <w:t>making it easier to trade for importers and exporters</w:t>
      </w:r>
      <w:r w:rsidRPr="002322B7">
        <w:rPr>
          <w:lang w:val="en-AU"/>
        </w:rPr>
        <w:t>.</w:t>
      </w:r>
    </w:p>
    <w:p w14:paraId="1464F526" w14:textId="77777777" w:rsidR="00F25F66" w:rsidRPr="002322B7" w:rsidRDefault="00F25F66" w:rsidP="003F1867">
      <w:pPr>
        <w:pStyle w:val="Body-copy"/>
        <w:rPr>
          <w:lang w:val="en-AU"/>
        </w:rPr>
      </w:pPr>
    </w:p>
    <w:p w14:paraId="001D733F" w14:textId="59EC0F5C" w:rsidR="00F25F66" w:rsidRDefault="00F25F66" w:rsidP="00F25F66">
      <w:pPr>
        <w:pStyle w:val="Caption"/>
      </w:pPr>
      <w:bookmarkStart w:id="140" w:name="_Toc165471223"/>
      <w:bookmarkStart w:id="141" w:name="_Toc171500386"/>
      <w:r w:rsidRPr="002322B7">
        <w:t xml:space="preserve">Figure </w:t>
      </w:r>
      <w:r w:rsidR="00CF16FA">
        <w:fldChar w:fldCharType="begin"/>
      </w:r>
      <w:r w:rsidR="00CF16FA">
        <w:instrText xml:space="preserve"> SEQ Figure \* ARABIC </w:instrText>
      </w:r>
      <w:r w:rsidR="00CF16FA">
        <w:fldChar w:fldCharType="separate"/>
      </w:r>
      <w:r w:rsidR="002459CF">
        <w:rPr>
          <w:noProof/>
        </w:rPr>
        <w:t>30</w:t>
      </w:r>
      <w:r w:rsidR="00CF16FA">
        <w:rPr>
          <w:noProof/>
        </w:rPr>
        <w:fldChar w:fldCharType="end"/>
      </w:r>
      <w:r w:rsidRPr="002322B7">
        <w:t xml:space="preserve"> – Trade digitalisation index¹ for selected economies, 2023</w:t>
      </w:r>
      <w:bookmarkEnd w:id="140"/>
      <w:bookmarkEnd w:id="141"/>
    </w:p>
    <w:p w14:paraId="57D4E024" w14:textId="1AA1FA57" w:rsidR="007504B5" w:rsidRDefault="007504B5" w:rsidP="007504B5">
      <w:r>
        <w:rPr>
          <w:noProof/>
        </w:rPr>
        <w:drawing>
          <wp:inline distT="0" distB="0" distL="0" distR="0" wp14:anchorId="530D9D8B" wp14:editId="27090B0B">
            <wp:extent cx="6336030" cy="4577080"/>
            <wp:effectExtent l="0" t="0" r="7620" b="0"/>
            <wp:docPr id="391625901" name="Picture 40" descr="The graph shows the Trade digitalisation index for selected economies in 2023. The information is as follows: Netherlands (Ranked #1) 96%; New Zealand (Ranked #1) 96%; Australia (Ranked #3) 93%; Korea (Ranked #3) 93%; Singapore (Ranked #3) 93%; Saudi Arabia (Ranked #7) 91%; Japan (Ranked #10) 89%; China (Ranked #14) 87%; India (Ranked #14) 87%; Mexico (Ranked #14) 87%; Sweden (Ranked #20) 84%; Germany (Ranked #22) 82%; Thailand (Ranked #22) 82%; UK (Ranked #22) 82%; Philippines (Ranked #39) 78%; Canada (Ranked #45) 76%; Russia (Ranked #45) 76%; Italy (Ranked #56) 73%; France (Ranked #65) 69%; Vietnam (Ranked #65) 69%; and Nepal (Ranked #100)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25901" name="Picture 40" descr="The graph shows the Trade digitalisation index for selected economies in 2023. The information is as follows: Netherlands (Ranked #1) 96%; New Zealand (Ranked #1) 96%; Australia (Ranked #3) 93%; Korea (Ranked #3) 93%; Singapore (Ranked #3) 93%; Saudi Arabia (Ranked #7) 91%; Japan (Ranked #10) 89%; China (Ranked #14) 87%; India (Ranked #14) 87%; Mexico (Ranked #14) 87%; Sweden (Ranked #20) 84%; Germany (Ranked #22) 82%; Thailand (Ranked #22) 82%; UK (Ranked #22) 82%; Philippines (Ranked #39) 78%; Canada (Ranked #45) 76%; Russia (Ranked #45) 76%; Italy (Ranked #56) 73%; France (Ranked #65) 69%; Vietnam (Ranked #65) 69%; and Nepal (Ranked #100) 53%."/>
                    <pic:cNvPicPr/>
                  </pic:nvPicPr>
                  <pic:blipFill rotWithShape="1">
                    <a:blip r:embed="rId47" cstate="hqprint">
                      <a:extLst>
                        <a:ext uri="{28A0092B-C50C-407E-A947-70E740481C1C}">
                          <a14:useLocalDpi xmlns:a14="http://schemas.microsoft.com/office/drawing/2010/main"/>
                        </a:ext>
                      </a:extLst>
                    </a:blip>
                    <a:srcRect/>
                    <a:stretch/>
                  </pic:blipFill>
                  <pic:spPr bwMode="auto">
                    <a:xfrm>
                      <a:off x="0" y="0"/>
                      <a:ext cx="6336030" cy="4577080"/>
                    </a:xfrm>
                    <a:prstGeom prst="rect">
                      <a:avLst/>
                    </a:prstGeom>
                    <a:ln>
                      <a:noFill/>
                    </a:ln>
                    <a:extLst>
                      <a:ext uri="{53640926-AAD7-44D8-BBD7-CCE9431645EC}">
                        <a14:shadowObscured xmlns:a14="http://schemas.microsoft.com/office/drawing/2010/main"/>
                      </a:ext>
                    </a:extLst>
                  </pic:spPr>
                </pic:pic>
              </a:graphicData>
            </a:graphic>
          </wp:inline>
        </w:drawing>
      </w:r>
    </w:p>
    <w:p w14:paraId="5EBA927D" w14:textId="77777777" w:rsidR="00F25F66" w:rsidRPr="002322B7" w:rsidRDefault="00F25F66" w:rsidP="00F25F66">
      <w:pPr>
        <w:pStyle w:val="Sourcesandnotes"/>
      </w:pPr>
      <w:permStart w:id="1460742972" w:ed="AUSTRADE\Fernando-ramirez"/>
      <w:permEnd w:id="1460742972"/>
      <w:r w:rsidRPr="002322B7">
        <w:rPr>
          <w:b/>
          <w:bCs/>
        </w:rPr>
        <w:t>Note: 1.</w:t>
      </w:r>
      <w:r w:rsidRPr="002322B7">
        <w:t xml:space="preserve"> Across 163 economies. </w:t>
      </w:r>
    </w:p>
    <w:p w14:paraId="3692BC75" w14:textId="77777777" w:rsidR="00F25F66" w:rsidRPr="002322B7" w:rsidRDefault="00F25F66" w:rsidP="00F25F66">
      <w:pPr>
        <w:pStyle w:val="Sourcesandnotes"/>
      </w:pPr>
      <w:r w:rsidRPr="002322B7">
        <w:rPr>
          <w:b/>
          <w:bCs/>
        </w:rPr>
        <w:t>Sources:</w:t>
      </w:r>
      <w:r w:rsidRPr="002322B7">
        <w:t xml:space="preserve"> United Nations Economic and Social commission for Asia and the Pacific, 2024, Trade Digitalization Index: A new tool for assessing the global state of play in the digitalization of trade procedures, accessed on 25 February 2024; Austrade.</w:t>
      </w:r>
    </w:p>
    <w:p w14:paraId="12767A54" w14:textId="77777777" w:rsidR="001B7642" w:rsidRPr="002322B7" w:rsidRDefault="001B7642" w:rsidP="001B7642">
      <w:pPr>
        <w:pStyle w:val="Heading-level2"/>
      </w:pPr>
      <w:bookmarkStart w:id="142" w:name="_Toc165471187"/>
      <w:bookmarkStart w:id="143" w:name="_Toc171500342"/>
      <w:r w:rsidRPr="002322B7">
        <w:lastRenderedPageBreak/>
        <w:t>A global hub with diverse connections</w:t>
      </w:r>
      <w:bookmarkEnd w:id="142"/>
      <w:bookmarkEnd w:id="143"/>
    </w:p>
    <w:p w14:paraId="663FA608" w14:textId="6C5367E8" w:rsidR="001B7642" w:rsidRPr="002322B7" w:rsidRDefault="0071020B" w:rsidP="003F1867">
      <w:pPr>
        <w:pStyle w:val="Body-copy"/>
        <w:rPr>
          <w:lang w:val="en-AU"/>
        </w:rPr>
      </w:pPr>
      <w:r w:rsidRPr="002322B7">
        <w:rPr>
          <w:lang w:val="en-AU"/>
        </w:rPr>
        <w:t xml:space="preserve">Australians are known for being open and welcoming. According to the European Institute of Business Administration (INSEAD), Australia </w:t>
      </w:r>
      <w:r w:rsidR="00C15C55">
        <w:rPr>
          <w:lang w:val="en-AU"/>
        </w:rPr>
        <w:t xml:space="preserve">is </w:t>
      </w:r>
      <w:r w:rsidRPr="002322B7">
        <w:rPr>
          <w:lang w:val="en-AU"/>
        </w:rPr>
        <w:t>rank</w:t>
      </w:r>
      <w:r w:rsidR="00C15C55">
        <w:rPr>
          <w:lang w:val="en-AU"/>
        </w:rPr>
        <w:t>ed</w:t>
      </w:r>
      <w:r w:rsidR="008D277F" w:rsidRPr="002322B7">
        <w:rPr>
          <w:lang w:val="en-AU"/>
        </w:rPr>
        <w:t xml:space="preserve"> </w:t>
      </w:r>
      <w:r w:rsidR="003B008E" w:rsidRPr="002322B7">
        <w:rPr>
          <w:lang w:val="en-AU"/>
        </w:rPr>
        <w:t>6</w:t>
      </w:r>
      <w:r w:rsidR="003B008E" w:rsidRPr="002322B7">
        <w:rPr>
          <w:vertAlign w:val="superscript"/>
          <w:lang w:val="en-AU"/>
        </w:rPr>
        <w:t>th</w:t>
      </w:r>
      <w:r w:rsidRPr="002322B7">
        <w:rPr>
          <w:lang w:val="en-AU"/>
        </w:rPr>
        <w:t xml:space="preserve"> </w:t>
      </w:r>
      <w:r w:rsidR="00C15C55">
        <w:rPr>
          <w:lang w:val="en-AU"/>
        </w:rPr>
        <w:t xml:space="preserve">globally </w:t>
      </w:r>
      <w:r w:rsidR="000A5E89" w:rsidRPr="002322B7">
        <w:rPr>
          <w:lang w:val="en-AU"/>
        </w:rPr>
        <w:t xml:space="preserve">in terms of tolerance towards migration. </w:t>
      </w:r>
      <w:r w:rsidR="001B7642" w:rsidRPr="002322B7">
        <w:rPr>
          <w:lang w:val="en-AU"/>
        </w:rPr>
        <w:t>Australia ranks 3</w:t>
      </w:r>
      <w:r w:rsidR="001B7642" w:rsidRPr="002322B7">
        <w:rPr>
          <w:vertAlign w:val="superscript"/>
          <w:lang w:val="en-AU"/>
        </w:rPr>
        <w:t>rd</w:t>
      </w:r>
      <w:r w:rsidR="001B7642" w:rsidRPr="002322B7">
        <w:rPr>
          <w:lang w:val="en-AU"/>
        </w:rPr>
        <w:t xml:space="preserve"> in the </w:t>
      </w:r>
      <w:r w:rsidR="009E079D" w:rsidRPr="002322B7">
        <w:rPr>
          <w:lang w:val="en-AU"/>
        </w:rPr>
        <w:t>OECD</w:t>
      </w:r>
      <w:r w:rsidR="001B7642" w:rsidRPr="002322B7">
        <w:rPr>
          <w:lang w:val="en-AU"/>
        </w:rPr>
        <w:t xml:space="preserve"> for our high proportion of foreign-born citizens</w:t>
      </w:r>
      <w:r w:rsidR="009E0DD7">
        <w:rPr>
          <w:lang w:val="en-AU"/>
        </w:rPr>
        <w:t>,</w:t>
      </w:r>
      <w:r w:rsidR="005C48AB">
        <w:rPr>
          <w:lang w:val="en-AU"/>
        </w:rPr>
        <w:t xml:space="preserve"> who account for </w:t>
      </w:r>
      <w:r w:rsidR="001B7642" w:rsidRPr="002322B7">
        <w:rPr>
          <w:lang w:val="en-AU"/>
        </w:rPr>
        <w:t>29% of Australia’s population</w:t>
      </w:r>
      <w:r w:rsidR="009E0DD7">
        <w:rPr>
          <w:lang w:val="en-AU"/>
        </w:rPr>
        <w:t xml:space="preserve"> – </w:t>
      </w:r>
      <w:r w:rsidR="001B7642" w:rsidRPr="002322B7">
        <w:rPr>
          <w:lang w:val="en-AU"/>
        </w:rPr>
        <w:t xml:space="preserve">double the average ratio for OECD countries. </w:t>
      </w:r>
      <w:r w:rsidR="004E71E2" w:rsidRPr="002322B7">
        <w:rPr>
          <w:lang w:val="en-AU"/>
        </w:rPr>
        <w:t>Our multicultural and diaspora communities boost Australian trade through their linguistic abilities and connections to international markets.</w:t>
      </w:r>
    </w:p>
    <w:p w14:paraId="32D15F9E" w14:textId="3E5B14CA" w:rsidR="001B7642" w:rsidRDefault="001B7642" w:rsidP="001B7642">
      <w:pPr>
        <w:pStyle w:val="Caption"/>
      </w:pPr>
      <w:bookmarkStart w:id="144" w:name="_Toc165471236"/>
      <w:bookmarkStart w:id="145" w:name="_Toc171500387"/>
      <w:r w:rsidRPr="002322B7">
        <w:t xml:space="preserve">Figure </w:t>
      </w:r>
      <w:r w:rsidR="00CF16FA">
        <w:fldChar w:fldCharType="begin"/>
      </w:r>
      <w:r w:rsidR="00CF16FA">
        <w:instrText xml:space="preserve"> SEQ Figure \* ARABIC </w:instrText>
      </w:r>
      <w:r w:rsidR="00CF16FA">
        <w:fldChar w:fldCharType="separate"/>
      </w:r>
      <w:r w:rsidR="002459CF">
        <w:rPr>
          <w:noProof/>
        </w:rPr>
        <w:t>31</w:t>
      </w:r>
      <w:r w:rsidR="00CF16FA">
        <w:rPr>
          <w:noProof/>
        </w:rPr>
        <w:fldChar w:fldCharType="end"/>
      </w:r>
      <w:r w:rsidRPr="002322B7">
        <w:t xml:space="preserve"> – Foreign-born population across OECD countries, 2000 and 2022¹</w:t>
      </w:r>
      <w:bookmarkEnd w:id="144"/>
      <w:bookmarkEnd w:id="145"/>
    </w:p>
    <w:p w14:paraId="236EA011" w14:textId="6DD1D743" w:rsidR="001450CE" w:rsidRDefault="001450CE" w:rsidP="001450CE">
      <w:r>
        <w:rPr>
          <w:noProof/>
        </w:rPr>
        <w:drawing>
          <wp:inline distT="0" distB="0" distL="0" distR="0" wp14:anchorId="263C1163" wp14:editId="646237F1">
            <wp:extent cx="6336030" cy="4378960"/>
            <wp:effectExtent l="0" t="0" r="7620" b="2540"/>
            <wp:docPr id="815120973" name="Picture 41" descr="The bar chart shows the percentage of foreign-born population across OECD countries in 2000 and 2022 (the number in brackets is the ranking in 2022). The information is as follows:&#10;Mexico (38) 1% in 2022, 0.5% in 2000; Japan (37) 2.2% in 2022, 1.2% in 2000; Korea (35) 3.5% in 2022, 0.4% in 2000; Chile (29) 7.5% in 2022, 1.2% in 2000; Denmark (24) 11% in 2022, 5.6% in 2000; France (20) 12.7% in 2022, 10.1% in 2000; US (18) 14% in 2022, 10.5% in 2000; OECD average 14% in 2022, 9.7% in 2000; UK (17) 14.3% in 2022, 7.9% in 2000; Netherlands (16) 14.5% in 2022, 9.8% in 2000; Spain (14) 15.6% in 2022, 3.6% in 2000; Norway (13) 16.6% in 2022, 6.5% in 2000; Germany (12) 16.8% in 2022, 12.5% in 2000; Belgium (11) 18.4% in 2022, 10.1% in 2000; Israel² (10) 19.1% in 2022, 32.7% in 2000; Sweden (8) 20.1% in 2022, 11.1% in 2000; Ireland (7) 20.3% in 2022, 8.1% in 2000; Austria (6) 20.6% in 2022, 10.8% in 2000; Canada (5) 22% in 2022, 17.4% in 2000; New Zealand (4) 27.4% in 2022, 17.2% in 2000; Australia (3) 29.3% in 2022, 23.2% in 2000; Switzerland (2) 30.7% in 2022, 21.6% in 2000; and Luxembourg (1) 49.8% in 2022, 32.5% i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20973" name="Picture 41" descr="The bar chart shows the percentage of foreign-born population across OECD countries in 2000 and 2022 (the number in brackets is the ranking in 2022). The information is as follows:&#10;Mexico (38) 1% in 2022, 0.5% in 2000; Japan (37) 2.2% in 2022, 1.2% in 2000; Korea (35) 3.5% in 2022, 0.4% in 2000; Chile (29) 7.5% in 2022, 1.2% in 2000; Denmark (24) 11% in 2022, 5.6% in 2000; France (20) 12.7% in 2022, 10.1% in 2000; US (18) 14% in 2022, 10.5% in 2000; OECD average 14% in 2022, 9.7% in 2000; UK (17) 14.3% in 2022, 7.9% in 2000; Netherlands (16) 14.5% in 2022, 9.8% in 2000; Spain (14) 15.6% in 2022, 3.6% in 2000; Norway (13) 16.6% in 2022, 6.5% in 2000; Germany (12) 16.8% in 2022, 12.5% in 2000; Belgium (11) 18.4% in 2022, 10.1% in 2000; Israel² (10) 19.1% in 2022, 32.7% in 2000; Sweden (8) 20.1% in 2022, 11.1% in 2000; Ireland (7) 20.3% in 2022, 8.1% in 2000; Austria (6) 20.6% in 2022, 10.8% in 2000; Canada (5) 22% in 2022, 17.4% in 2000; New Zealand (4) 27.4% in 2022, 17.2% in 2000; Australia (3) 29.3% in 2022, 23.2% in 2000; Switzerland (2) 30.7% in 2022, 21.6% in 2000; and Luxembourg (1) 49.8% in 2022, 32.5% in 2000.&#10;"/>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6336030" cy="4378960"/>
                    </a:xfrm>
                    <a:prstGeom prst="rect">
                      <a:avLst/>
                    </a:prstGeom>
                    <a:ln>
                      <a:noFill/>
                    </a:ln>
                    <a:extLst>
                      <a:ext uri="{53640926-AAD7-44D8-BBD7-CCE9431645EC}">
                        <a14:shadowObscured xmlns:a14="http://schemas.microsoft.com/office/drawing/2010/main"/>
                      </a:ext>
                    </a:extLst>
                  </pic:spPr>
                </pic:pic>
              </a:graphicData>
            </a:graphic>
          </wp:inline>
        </w:drawing>
      </w:r>
    </w:p>
    <w:p w14:paraId="3B95B2BB" w14:textId="77777777" w:rsidR="001B7642" w:rsidRPr="002322B7" w:rsidRDefault="001B7642" w:rsidP="001B7642">
      <w:pPr>
        <w:pStyle w:val="Sourcesandnotes"/>
      </w:pPr>
      <w:r w:rsidRPr="002322B7">
        <w:rPr>
          <w:b/>
          <w:bCs/>
        </w:rPr>
        <w:t>Notes: 1.</w:t>
      </w:r>
      <w:r w:rsidRPr="002322B7">
        <w:t xml:space="preserve"> Data refers to 2000 or the closest available year, and to 2022 or the most recent available year. The OECD information is the simple average based on rates presented. For Japan and Korea, the data refers to the foreign population rather than the foreign-born population. </w:t>
      </w:r>
      <w:r w:rsidRPr="002322B7">
        <w:rPr>
          <w:b/>
          <w:bCs/>
        </w:rPr>
        <w:t>2.</w:t>
      </w:r>
      <w:r w:rsidRPr="002322B7">
        <w:t xml:space="preserve"> Israel’s high fertility rate and lower net migration rate reduced its percentage of foreign-born population. </w:t>
      </w:r>
    </w:p>
    <w:p w14:paraId="78F69682" w14:textId="77777777" w:rsidR="001B7642" w:rsidRPr="002322B7" w:rsidRDefault="001B7642" w:rsidP="001B7642">
      <w:pPr>
        <w:pStyle w:val="Sourcesandnotes"/>
      </w:pPr>
      <w:r w:rsidRPr="002322B7">
        <w:rPr>
          <w:b/>
          <w:bCs/>
        </w:rPr>
        <w:t>Sources:</w:t>
      </w:r>
      <w:r w:rsidRPr="002322B7">
        <w:t xml:space="preserve"> Organisation for Economic Co-operation and Development, 2023, International Migration Outlook 2023; Austrade.</w:t>
      </w:r>
    </w:p>
    <w:p w14:paraId="26F8EC9E" w14:textId="77777777" w:rsidR="001B7642" w:rsidRPr="002322B7" w:rsidRDefault="001B7642" w:rsidP="001B7642">
      <w:pPr>
        <w:pStyle w:val="Sourcesandnotes"/>
      </w:pPr>
    </w:p>
    <w:p w14:paraId="512E6492" w14:textId="77777777" w:rsidR="003259B5" w:rsidRPr="002322B7" w:rsidRDefault="003259B5" w:rsidP="003259B5">
      <w:pPr>
        <w:pStyle w:val="Heading-level2"/>
      </w:pPr>
      <w:bookmarkStart w:id="146" w:name="_Toc171500343"/>
      <w:bookmarkStart w:id="147" w:name="_Toc165017476"/>
      <w:r w:rsidRPr="002322B7">
        <w:lastRenderedPageBreak/>
        <w:t>Foreign investment reaches A$4.7 trillion</w:t>
      </w:r>
      <w:bookmarkEnd w:id="146"/>
      <w:r w:rsidRPr="002322B7">
        <w:t xml:space="preserve"> </w:t>
      </w:r>
      <w:bookmarkEnd w:id="147"/>
    </w:p>
    <w:p w14:paraId="7BD5135F" w14:textId="2F85E482" w:rsidR="003259B5" w:rsidRPr="002322B7" w:rsidRDefault="003259B5" w:rsidP="003F1867">
      <w:pPr>
        <w:pStyle w:val="Body-copy"/>
        <w:rPr>
          <w:lang w:val="en-AU"/>
        </w:rPr>
      </w:pPr>
      <w:r w:rsidRPr="002322B7">
        <w:rPr>
          <w:lang w:val="en-AU"/>
        </w:rPr>
        <w:t xml:space="preserve">Australia is a standout destination for global investors. Since 2003, the stock </w:t>
      </w:r>
      <w:r w:rsidR="00D26427" w:rsidRPr="002322B7">
        <w:rPr>
          <w:lang w:val="en-AU"/>
        </w:rPr>
        <w:t xml:space="preserve">of </w:t>
      </w:r>
      <w:r w:rsidRPr="002322B7">
        <w:rPr>
          <w:lang w:val="en-AU"/>
        </w:rPr>
        <w:t>FDI in Australia has risen by an average of 7.1% each year</w:t>
      </w:r>
      <w:r w:rsidR="009B0D2E" w:rsidRPr="002322B7">
        <w:rPr>
          <w:lang w:val="en-AU"/>
        </w:rPr>
        <w:t>. O</w:t>
      </w:r>
      <w:r w:rsidRPr="002322B7">
        <w:rPr>
          <w:lang w:val="en-AU"/>
        </w:rPr>
        <w:t xml:space="preserve">ther forms of foreign investment – including portfolio investments – have grown by 8% per year. This strong growth has resulted in the value of foreign investment in Australia reaching A$4.7 trillion. Confidence in our economy means Australia </w:t>
      </w:r>
      <w:r w:rsidR="00824BE3">
        <w:rPr>
          <w:lang w:val="en-AU"/>
        </w:rPr>
        <w:t xml:space="preserve">has </w:t>
      </w:r>
      <w:r w:rsidRPr="002322B7">
        <w:rPr>
          <w:lang w:val="en-AU"/>
        </w:rPr>
        <w:t>buck</w:t>
      </w:r>
      <w:r w:rsidR="00824BE3">
        <w:rPr>
          <w:lang w:val="en-AU"/>
        </w:rPr>
        <w:t>ed</w:t>
      </w:r>
      <w:r w:rsidRPr="002322B7">
        <w:rPr>
          <w:lang w:val="en-AU"/>
        </w:rPr>
        <w:t xml:space="preserve"> global trends</w:t>
      </w:r>
      <w:r w:rsidR="004A6295">
        <w:rPr>
          <w:lang w:val="en-AU"/>
        </w:rPr>
        <w:t>. W</w:t>
      </w:r>
      <w:r w:rsidR="004B3120">
        <w:rPr>
          <w:lang w:val="en-AU"/>
        </w:rPr>
        <w:t>hen</w:t>
      </w:r>
      <w:r w:rsidR="009B0D2E" w:rsidRPr="002322B7">
        <w:rPr>
          <w:lang w:val="en-AU"/>
        </w:rPr>
        <w:t xml:space="preserve"> </w:t>
      </w:r>
      <w:r w:rsidRPr="002322B7">
        <w:rPr>
          <w:lang w:val="en-AU"/>
        </w:rPr>
        <w:t>FDI in Australia surg</w:t>
      </w:r>
      <w:r w:rsidR="004B3120">
        <w:rPr>
          <w:lang w:val="en-AU"/>
        </w:rPr>
        <w:t>ed</w:t>
      </w:r>
      <w:r w:rsidR="009B0D2E" w:rsidRPr="002322B7">
        <w:rPr>
          <w:lang w:val="en-AU"/>
        </w:rPr>
        <w:t xml:space="preserve"> </w:t>
      </w:r>
      <w:r w:rsidRPr="002322B7">
        <w:rPr>
          <w:lang w:val="en-AU"/>
        </w:rPr>
        <w:t>by 9% in 2022</w:t>
      </w:r>
      <w:r w:rsidR="00595D04">
        <w:rPr>
          <w:lang w:val="en-AU"/>
        </w:rPr>
        <w:t>,</w:t>
      </w:r>
      <w:r w:rsidRPr="002322B7">
        <w:rPr>
          <w:lang w:val="en-AU"/>
        </w:rPr>
        <w:t xml:space="preserve"> the total stock of global FDI dipp</w:t>
      </w:r>
      <w:r w:rsidR="009B0D2E" w:rsidRPr="002322B7">
        <w:rPr>
          <w:lang w:val="en-AU"/>
        </w:rPr>
        <w:t>ed</w:t>
      </w:r>
      <w:r w:rsidRPr="002322B7">
        <w:rPr>
          <w:lang w:val="en-AU"/>
        </w:rPr>
        <w:t xml:space="preserve"> by 6%.</w:t>
      </w:r>
      <w:r w:rsidRPr="002322B7">
        <w:rPr>
          <w:vertAlign w:val="superscript"/>
          <w:lang w:val="en-AU"/>
        </w:rPr>
        <w:t xml:space="preserve"> </w:t>
      </w:r>
      <w:r w:rsidR="002C1CBA">
        <w:rPr>
          <w:lang w:val="en-AU"/>
        </w:rPr>
        <w:t>Over the past two decades, f</w:t>
      </w:r>
      <w:r w:rsidRPr="002322B7">
        <w:rPr>
          <w:lang w:val="en-AU"/>
        </w:rPr>
        <w:t xml:space="preserve">oreign investment has </w:t>
      </w:r>
      <w:r w:rsidR="00C51754">
        <w:rPr>
          <w:lang w:val="en-AU"/>
        </w:rPr>
        <w:t xml:space="preserve">had </w:t>
      </w:r>
      <w:r w:rsidRPr="002322B7">
        <w:rPr>
          <w:lang w:val="en-AU"/>
        </w:rPr>
        <w:t>a growing role in Australia’s economy. As a percentage of GDP, the stock of foreign investment has grown from 129% in 2003 to 181% in 2023.</w:t>
      </w:r>
    </w:p>
    <w:p w14:paraId="385517A7" w14:textId="19763CA8" w:rsidR="003259B5" w:rsidRDefault="003259B5" w:rsidP="003259B5">
      <w:pPr>
        <w:pStyle w:val="Caption"/>
      </w:pPr>
      <w:bookmarkStart w:id="148" w:name="_Toc171500388"/>
      <w:r w:rsidRPr="002322B7">
        <w:t xml:space="preserve">Figure </w:t>
      </w:r>
      <w:r w:rsidR="00CF16FA">
        <w:fldChar w:fldCharType="begin"/>
      </w:r>
      <w:r w:rsidR="00CF16FA">
        <w:instrText xml:space="preserve"> SEQ Figure \* ARABIC </w:instrText>
      </w:r>
      <w:r w:rsidR="00CF16FA">
        <w:fldChar w:fldCharType="separate"/>
      </w:r>
      <w:r w:rsidR="002459CF">
        <w:rPr>
          <w:noProof/>
        </w:rPr>
        <w:t>32</w:t>
      </w:r>
      <w:r w:rsidR="00CF16FA">
        <w:rPr>
          <w:noProof/>
        </w:rPr>
        <w:fldChar w:fldCharType="end"/>
      </w:r>
      <w:r w:rsidRPr="002322B7">
        <w:t xml:space="preserve"> – Total foreign investment stock in Australia, 2003 to 2023</w:t>
      </w:r>
      <w:bookmarkEnd w:id="148"/>
    </w:p>
    <w:p w14:paraId="148BE1CD" w14:textId="04A07A57" w:rsidR="001450CE" w:rsidRDefault="001450CE" w:rsidP="001450CE">
      <w:r>
        <w:rPr>
          <w:noProof/>
        </w:rPr>
        <w:drawing>
          <wp:inline distT="0" distB="0" distL="0" distR="0" wp14:anchorId="1B821D9F" wp14:editId="2D8BB9C3">
            <wp:extent cx="6336030" cy="4305300"/>
            <wp:effectExtent l="0" t="0" r="7620" b="0"/>
            <wp:docPr id="526232953" name="Picture 42" descr="The graph plots the foreign investment stock in Australia by type (direct and other) from the 2003 to 2023, expressed in billions of Australian dollars. The information is as follows: In 2003, A$317 billion for direct investment, A$753 billion of other, given a total of $1069 billion. The total represents 129% of GDP. In 2004, A$401 billion for direct investment, A$835 billion of other, given a total of $1236 billion. The total represents 138% of GDP. In 2005, A$370 billion for direct investment, A$968 billion of other, given a total of $1338 billion. The total represents 139% of GDP. In 2006, A$420 billion for direct investment, A$1174 billion of other, given a total of $1594 billion. The total represents 153% of GDP. In 2007, A$486 billion for direct investment, A$1314 billion of other, given a total of $1800 billion. The total represents 159% of GDP. In 2008, A$490 billion for direct investment, A$1388 billion of other, given a total of $1878 billion. The total represents 152% of GDP. In 2009, A$525 billion for direct investment, A$1472 billion of other, given a total of $1998 billion. The total represents 158% of GDP. In 2010, A$552 billion for direct investment, A$1517 billion of other, given a total of $2069 billion. The total represents 152% of GDP. In 2011, A$586 billion for direct investment, A$1568 billion of other, given a total of $2154 billion. The total represents 147% of GDP. In 2012, A$629 billion for direct investment, A$1690 billion of other, given a total of $2319 billion. The total represents 153% of GDP. In 2013, A$680 billion for direct investment, A$1918 billion of other, given a total of $2598 billion. The total represents 165% of GDP. In 2014, A$754 billion for direct investment, A$2143 billion of other, given a total of $2897 billion. The total represents 179% of GDP. In 2015, A$843 billion for direct investment, A$2335 billion of other, given a total of $3178 billion. The total represents 194% of GDP. In 2016, A$905 billion for direct investment, A$2445 billion of other, given a total of $3350 billion. The total represents 197% of GDP. In 2017, A$960 billion for direct investment, A$2512 billion of other, given a total of $3472 billion. The total represents 193% of GDP. In 2018, A$1046 billion for direct investment, A$2638 billion of other, given a total of $3684 billion. The total represents 194% of GDP. In 2019, A$1091 billion for direct investment, A$2907 billion of other, given a total of $3998 billion. The total represents 200% of GDP. In 2020, A$1074 billion for direct investment, A$3039 billion of other, given a total of $4113 billion. The total represents 208% of GDP. In 2021, A$1115 billion for direct investment, A$3108 billion of other, given a total of $4223 billion. The total represents 192% of GDP. In 2022, A$1215 billion for direct investment, A$3450 billion of other, given a total of $4665 billion. The total represents 188% of GDP. In 2023, A$1251 billion for direct investment, A$3479 billion of other, given a total of $4730 billion. The total represents 181% of G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2953" name="Picture 42" descr="The graph plots the foreign investment stock in Australia by type (direct and other) from the 2003 to 2023, expressed in billions of Australian dollars. The information is as follows: In 2003, A$317 billion for direct investment, A$753 billion of other, given a total of $1069 billion. The total represents 129% of GDP. In 2004, A$401 billion for direct investment, A$835 billion of other, given a total of $1236 billion. The total represents 138% of GDP. In 2005, A$370 billion for direct investment, A$968 billion of other, given a total of $1338 billion. The total represents 139% of GDP. In 2006, A$420 billion for direct investment, A$1174 billion of other, given a total of $1594 billion. The total represents 153% of GDP. In 2007, A$486 billion for direct investment, A$1314 billion of other, given a total of $1800 billion. The total represents 159% of GDP. In 2008, A$490 billion for direct investment, A$1388 billion of other, given a total of $1878 billion. The total represents 152% of GDP. In 2009, A$525 billion for direct investment, A$1472 billion of other, given a total of $1998 billion. The total represents 158% of GDP. In 2010, A$552 billion for direct investment, A$1517 billion of other, given a total of $2069 billion. The total represents 152% of GDP. In 2011, A$586 billion for direct investment, A$1568 billion of other, given a total of $2154 billion. The total represents 147% of GDP. In 2012, A$629 billion for direct investment, A$1690 billion of other, given a total of $2319 billion. The total represents 153% of GDP. In 2013, A$680 billion for direct investment, A$1918 billion of other, given a total of $2598 billion. The total represents 165% of GDP. In 2014, A$754 billion for direct investment, A$2143 billion of other, given a total of $2897 billion. The total represents 179% of GDP. In 2015, A$843 billion for direct investment, A$2335 billion of other, given a total of $3178 billion. The total represents 194% of GDP. In 2016, A$905 billion for direct investment, A$2445 billion of other, given a total of $3350 billion. The total represents 197% of GDP. In 2017, A$960 billion for direct investment, A$2512 billion of other, given a total of $3472 billion. The total represents 193% of GDP. In 2018, A$1046 billion for direct investment, A$2638 billion of other, given a total of $3684 billion. The total represents 194% of GDP. In 2019, A$1091 billion for direct investment, A$2907 billion of other, given a total of $3998 billion. The total represents 200% of GDP. In 2020, A$1074 billion for direct investment, A$3039 billion of other, given a total of $4113 billion. The total represents 208% of GDP. In 2021, A$1115 billion for direct investment, A$3108 billion of other, given a total of $4223 billion. The total represents 192% of GDP. In 2022, A$1215 billion for direct investment, A$3450 billion of other, given a total of $4665 billion. The total represents 188% of GDP. In 2023, A$1251 billion for direct investment, A$3479 billion of other, given a total of $4730 billion. The total represents 181% of GDP. "/>
                    <pic:cNvPicPr/>
                  </pic:nvPicPr>
                  <pic:blipFill rotWithShape="1">
                    <a:blip r:embed="rId49" cstate="hqprint">
                      <a:extLst>
                        <a:ext uri="{28A0092B-C50C-407E-A947-70E740481C1C}">
                          <a14:useLocalDpi xmlns:a14="http://schemas.microsoft.com/office/drawing/2010/main"/>
                        </a:ext>
                      </a:extLst>
                    </a:blip>
                    <a:srcRect/>
                    <a:stretch/>
                  </pic:blipFill>
                  <pic:spPr bwMode="auto">
                    <a:xfrm>
                      <a:off x="0" y="0"/>
                      <a:ext cx="6336030" cy="4305300"/>
                    </a:xfrm>
                    <a:prstGeom prst="rect">
                      <a:avLst/>
                    </a:prstGeom>
                    <a:ln>
                      <a:noFill/>
                    </a:ln>
                    <a:extLst>
                      <a:ext uri="{53640926-AAD7-44D8-BBD7-CCE9431645EC}">
                        <a14:shadowObscured xmlns:a14="http://schemas.microsoft.com/office/drawing/2010/main"/>
                      </a:ext>
                    </a:extLst>
                  </pic:spPr>
                </pic:pic>
              </a:graphicData>
            </a:graphic>
          </wp:inline>
        </w:drawing>
      </w:r>
    </w:p>
    <w:p w14:paraId="4A51D9E7" w14:textId="00BCA0A8" w:rsidR="003259B5" w:rsidRPr="002322B7" w:rsidRDefault="003259B5" w:rsidP="003259B5">
      <w:pPr>
        <w:pStyle w:val="Sourcesandnotes"/>
      </w:pPr>
      <w:r w:rsidRPr="002322B7">
        <w:rPr>
          <w:b/>
          <w:bCs/>
        </w:rPr>
        <w:t>Note: 1.</w:t>
      </w:r>
      <w:r w:rsidRPr="002322B7">
        <w:t xml:space="preserve"> Other investment is the balance of total investment less direct investment. As such, it represents portfolio investment, financial derivatives and other investment categories from Australian Bureau of Statistics (ABS) source data. </w:t>
      </w:r>
    </w:p>
    <w:p w14:paraId="4121494F" w14:textId="77777777" w:rsidR="003259B5" w:rsidRPr="002322B7" w:rsidRDefault="003259B5" w:rsidP="003259B5">
      <w:pPr>
        <w:pStyle w:val="Sourcesandnotes"/>
      </w:pPr>
      <w:r w:rsidRPr="002322B7">
        <w:rPr>
          <w:b/>
          <w:bCs/>
        </w:rPr>
        <w:t>Sources:</w:t>
      </w:r>
      <w:r w:rsidRPr="002322B7">
        <w:t xml:space="preserve"> ABS, 2024, Balance of payments, Table 15; ABS, 2024, Australian national accounts: national income, expenditure and product, Table 3; United Nations Conference on Trade and Development, 2024, Data Centre – Foreign direct investment: Inward and outward flows and stock, annual; Austrade. </w:t>
      </w:r>
    </w:p>
    <w:p w14:paraId="35064619" w14:textId="77777777" w:rsidR="003259B5" w:rsidRPr="002322B7" w:rsidRDefault="003259B5" w:rsidP="003259B5">
      <w:pPr>
        <w:pStyle w:val="Sourcesandnotes"/>
      </w:pPr>
    </w:p>
    <w:p w14:paraId="4CBC0439" w14:textId="77777777" w:rsidR="003259B5" w:rsidRPr="002322B7" w:rsidRDefault="003259B5" w:rsidP="003259B5">
      <w:pPr>
        <w:pStyle w:val="Heading-level2"/>
      </w:pPr>
      <w:bookmarkStart w:id="149" w:name="_Toc165017477"/>
      <w:bookmarkStart w:id="150" w:name="_Toc171500344"/>
      <w:r w:rsidRPr="002322B7">
        <w:lastRenderedPageBreak/>
        <w:t>Australia attracts investors from America, Europe and Asia</w:t>
      </w:r>
      <w:bookmarkEnd w:id="149"/>
      <w:bookmarkEnd w:id="150"/>
      <w:r w:rsidRPr="002322B7">
        <w:t xml:space="preserve"> </w:t>
      </w:r>
    </w:p>
    <w:p w14:paraId="63FAE20F" w14:textId="4EF4A3AF" w:rsidR="003259B5" w:rsidRPr="002322B7" w:rsidRDefault="003259B5" w:rsidP="003F1867">
      <w:pPr>
        <w:pStyle w:val="Body-copy"/>
        <w:rPr>
          <w:lang w:val="en-AU"/>
        </w:rPr>
      </w:pPr>
      <w:r w:rsidRPr="002322B7">
        <w:rPr>
          <w:lang w:val="en-AU"/>
        </w:rPr>
        <w:t>Investment in Australia arrives from around the world. Since 2013, FDI has risen by 17%</w:t>
      </w:r>
      <w:r w:rsidR="00AA58FA" w:rsidRPr="002322B7">
        <w:rPr>
          <w:lang w:val="en-AU"/>
        </w:rPr>
        <w:t xml:space="preserve"> per year</w:t>
      </w:r>
      <w:r w:rsidRPr="002322B7">
        <w:rPr>
          <w:lang w:val="en-AU"/>
        </w:rPr>
        <w:t xml:space="preserve"> from Canada, 8%</w:t>
      </w:r>
      <w:r w:rsidR="00AA58FA" w:rsidRPr="002322B7">
        <w:rPr>
          <w:lang w:val="en-AU"/>
        </w:rPr>
        <w:t xml:space="preserve"> per year</w:t>
      </w:r>
      <w:r w:rsidRPr="002322B7">
        <w:rPr>
          <w:lang w:val="en-AU"/>
        </w:rPr>
        <w:t xml:space="preserve"> from Japan, 7% </w:t>
      </w:r>
      <w:r w:rsidR="00AA58FA" w:rsidRPr="002322B7">
        <w:rPr>
          <w:lang w:val="en-AU"/>
        </w:rPr>
        <w:t xml:space="preserve">per year </w:t>
      </w:r>
      <w:r w:rsidRPr="002322B7">
        <w:rPr>
          <w:lang w:val="en-AU"/>
        </w:rPr>
        <w:t xml:space="preserve">from China and 5% </w:t>
      </w:r>
      <w:r w:rsidR="00AA58FA" w:rsidRPr="002322B7">
        <w:rPr>
          <w:lang w:val="en-AU"/>
        </w:rPr>
        <w:t xml:space="preserve">per year </w:t>
      </w:r>
      <w:r w:rsidRPr="002322B7">
        <w:rPr>
          <w:lang w:val="en-AU"/>
        </w:rPr>
        <w:t xml:space="preserve">from Singapore. The US, </w:t>
      </w:r>
      <w:r w:rsidR="00054F33" w:rsidRPr="002322B7">
        <w:rPr>
          <w:lang w:val="en-AU"/>
        </w:rPr>
        <w:t xml:space="preserve">the </w:t>
      </w:r>
      <w:r w:rsidRPr="002322B7">
        <w:rPr>
          <w:lang w:val="en-AU"/>
        </w:rPr>
        <w:t xml:space="preserve">UK and Japan are Australia's leading investors, accounting for 18%, 13% and 12% of the total stock of FDI respectively. Investment from </w:t>
      </w:r>
      <w:r w:rsidR="000E2AB5">
        <w:rPr>
          <w:lang w:val="en-AU"/>
        </w:rPr>
        <w:t xml:space="preserve">other parts of </w:t>
      </w:r>
      <w:r w:rsidRPr="002322B7">
        <w:rPr>
          <w:lang w:val="en-AU"/>
        </w:rPr>
        <w:t>Asia is</w:t>
      </w:r>
      <w:r w:rsidR="00465CCD" w:rsidRPr="002322B7">
        <w:rPr>
          <w:lang w:val="en-AU"/>
        </w:rPr>
        <w:t xml:space="preserve"> also</w:t>
      </w:r>
      <w:r w:rsidRPr="002322B7">
        <w:rPr>
          <w:lang w:val="en-AU"/>
        </w:rPr>
        <w:t xml:space="preserve"> increasing</w:t>
      </w:r>
      <w:r w:rsidR="00AA58FA" w:rsidRPr="002322B7">
        <w:rPr>
          <w:lang w:val="en-AU"/>
        </w:rPr>
        <w:t>,</w:t>
      </w:r>
      <w:r w:rsidRPr="002322B7">
        <w:rPr>
          <w:lang w:val="en-AU"/>
        </w:rPr>
        <w:t xml:space="preserve"> with ASEAN countries boosting their investments in Australia by 5% per year since 2013. The total FDI stock from ASEAN members has now reached A$61 billion</w:t>
      </w:r>
      <w:r w:rsidR="001B69E0" w:rsidRPr="002322B7">
        <w:rPr>
          <w:lang w:val="en-AU"/>
        </w:rPr>
        <w:t xml:space="preserve">. As a bloc, ASEAN countries are now </w:t>
      </w:r>
      <w:r w:rsidRPr="002322B7">
        <w:rPr>
          <w:lang w:val="en-AU"/>
        </w:rPr>
        <w:t>the 5</w:t>
      </w:r>
      <w:r w:rsidRPr="002322B7">
        <w:rPr>
          <w:vertAlign w:val="superscript"/>
          <w:lang w:val="en-AU"/>
        </w:rPr>
        <w:t>th</w:t>
      </w:r>
      <w:r w:rsidR="001071DD" w:rsidRPr="002322B7">
        <w:rPr>
          <w:lang w:val="en-AU"/>
        </w:rPr>
        <w:t>-</w:t>
      </w:r>
      <w:r w:rsidRPr="002322B7">
        <w:rPr>
          <w:lang w:val="en-AU"/>
        </w:rPr>
        <w:t>largest source of FDI in Australia, led by Singapore and Malaysia.</w:t>
      </w:r>
    </w:p>
    <w:p w14:paraId="2ABF541C" w14:textId="2DE7ECA6" w:rsidR="003259B5" w:rsidRDefault="003259B5" w:rsidP="003259B5">
      <w:pPr>
        <w:pStyle w:val="Caption"/>
      </w:pPr>
      <w:bookmarkStart w:id="151" w:name="_Toc164873540"/>
      <w:bookmarkStart w:id="152" w:name="_Toc171500389"/>
      <w:r w:rsidRPr="002322B7">
        <w:t xml:space="preserve">Figure </w:t>
      </w:r>
      <w:r w:rsidR="00CF16FA">
        <w:fldChar w:fldCharType="begin"/>
      </w:r>
      <w:r w:rsidR="00CF16FA">
        <w:instrText xml:space="preserve"> SEQ Figure \* ARABIC </w:instrText>
      </w:r>
      <w:r w:rsidR="00CF16FA">
        <w:fldChar w:fldCharType="separate"/>
      </w:r>
      <w:r w:rsidR="002459CF">
        <w:rPr>
          <w:noProof/>
        </w:rPr>
        <w:t>33</w:t>
      </w:r>
      <w:r w:rsidR="00CF16FA">
        <w:rPr>
          <w:noProof/>
        </w:rPr>
        <w:fldChar w:fldCharType="end"/>
      </w:r>
      <w:r w:rsidRPr="002322B7">
        <w:t xml:space="preserve"> – Australia's main sources of foreign direct investment stock, 2013–202</w:t>
      </w:r>
      <w:bookmarkEnd w:id="151"/>
      <w:r w:rsidRPr="002322B7">
        <w:t>3</w:t>
      </w:r>
      <w:bookmarkEnd w:id="152"/>
    </w:p>
    <w:p w14:paraId="38C43F8B" w14:textId="78220DA2" w:rsidR="00C54E2B" w:rsidRPr="00C54E2B" w:rsidRDefault="00C54E2B" w:rsidP="00C54E2B">
      <w:r>
        <w:rPr>
          <w:noProof/>
        </w:rPr>
        <w:drawing>
          <wp:inline distT="0" distB="0" distL="0" distR="0" wp14:anchorId="7FF71CF7" wp14:editId="2D9AFA94">
            <wp:extent cx="6300000" cy="4700566"/>
            <wp:effectExtent l="0" t="0" r="5715" b="5080"/>
            <wp:docPr id="1689657651" name="Picture 43" descr="The table shows Australia’s main sources of foreign direct investment stock.&#10;The information in the table is: 1) US $152 billion in 2013, $187 billion in 2022, $210 billion in 2023, 17.8% share in 2021, 12.5% change 2020 - 2021, 3.3% CAGR 2011-2021, 8% of GDP in 2021. 2) UK $79 billion in 2013, $136 billion in 2022, $150 billion in 2023, 12.7% share in 2021, 10.5% change 2020 - 2021, 6.6% CAGR 2011-2021, 5.7% of GDP in 2021. 3) Japan $68 billion in 2013, $134 billion in 2022, $141 billion in 2023, 11.9% share in 2021, 5.5% change 2020 - 2021, 7.6% CAGR 2011-2021, 5.4% of GDP in 2021. 4) Canada $17 billion in 2013, $83 billion in 2022, $82 billion in 2023, 6.9% share in 2021, -1.6% change 2020 - 2021, 17% CAGR 2011-2021, 3.1% of GDP in 2021. 5) China $23 billion in 2013, $47 billion in 2022, $47 billion in 2023, 3.9% share in 2021, -0.5% change 2020 - 2021, 7.1% CAGR 2011-2021, 1.8% of GDP in 2021. 6) Netherlands $30 billion in 2013, $60 billion in 2022, $46 billion in 2023, 3.9% share in 2021, -23.5% change 2020 - 2021, 4.4% CAGR 2011-2021, 1.7% of GDP in 2021. 7) Bermuda $10 billion in 2013, $46 billion in 2022, $45 billion in 2023, 3.9% share in 2021, -0.6% change 2020 - 2021, 16.3% CAGR 2011-2021, 1.7% of GDP in 2021. 8) Singapore $23 billion in 2013, $40 billion in 2022, $39 billion in 2023, 3.3% share in 2021, -1.8% change 2020 - 2021, 5.4% CAGR 2011-2021, 1.5% of GDP in 2021. 9) Germany $13 billion in 2013, $21 billion in 2022, $22 billion in 2023, 1.8% share in 2021, 2.6% change 2020 - 2021, 4.9% CAGR 2011-2021, 0.8% of GDP in 2021. 10) Virgin Islands, British value not presented, $22 billion in 2022, $22 billion in 2023, 1.8% share in 2021, -0.5% change 2020 - 2021, value not presented, 0.8% of GDP in 2021. 11) Hong Kong SAR $8 billion in 2013, $18 billion in 2022, $17 billion in 2023, 1.4% share in 2021, -5.8% change 2020 - 2021, 7.6% CAGR 2011-2021, 0.6% of GDP in 2021. 12) Malaysia $9 billion in 2013, $13 billion in 2022, $15 billion in 2023, 1.3% share in 2021, 14% change 2020 - 2021, 5.1% CAGR 2011-2021, 0.6% of GDP in 2021. 13) France $6 billion in 2013, $12 billion in 2022, $14 billion in 2023, 1.2% share in 2021, 21.2% change 2020 - 2021, 10.1% CAGR 2011-2021, 0.6% of GDP in 2021. 14) Switzerland $19 billion in 2013, $14 billion in 2022, $14 billion in 2023, 1.2% share in 2021, -0.6% change 2020 - 2021, -3% CAGR 2011-2021, 0.5% of GDP in 2021. 15) Sweden $1 billion in 2013, $7 billion in 2022, $8 billion in 2023, 0.7% share in 2021, 7.3% change 2020 - 2021, 19.1% CAGR 2011-2021, 0.3% of GDP in 2021. 16) Ireland $0 billion in 2013, $8 billion in 2022, $8 billion in 2023, 0.6% share in 2021, -8.1% change 2020 - 2021, 35.3% CAGR 2011-2021, 0.3% of GDP in 2021. Other economies $183 billion in 2013, $300 billion in 2022, $302 billion in 2023, 25.6% share in 2021, 0.7% change 2020 - 2021, 5.1% CAGR 2011-2021, 11.5% of GDP in 2021. FDI stock – all economies $643 billion in 2013, $1147 billion in 2022, $1180 billion in 2023, 100% share in 2021, 3% change 2020 - 2021, 6.3% CAGR 2011-2021, 45% of GDP in 2021. OECD $413 billion in 2013, $700 billion in 2022, $732 billion in 2023, 62% share in 2021, 4.5% change 2020 - 2021, 5.9% CAGR 2011-2021, 27.9% of GDP in 2021. APEC $312 billion in 2013, $542 billion in 2022, $571 billion in 2023, 48.4% share in 2021, 5.3% change 2020 - 2021, 6.2% CAGR 2011-2021, 21.8% of GDP in 2021. EU (excl. UK) $69 billion in 2013, $132 billion in 2022, $121 billion in 2023, 10.2% share in 2021, -8.8% change 2020 - 2021, 5.7% CAGR 2011-2021, 4.6% of GDP in 2021. ASEAN $37 billion in 2013, $59 billion in 2022, $61 billion in 2023, 5.1% share in 2021, 2.3% change 2020 - 2021, 5% CAGR 2011-2021, 2.3% of GDP in 2021. FDI stock as a percentage of GDP 40.9%in 2013, 46.2% in 2022, and 45.0%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57651" name="Picture 43" descr="The table shows Australia’s main sources of foreign direct investment stock.&#10;The information in the table is: 1) US $152 billion in 2013, $187 billion in 2022, $210 billion in 2023, 17.8% share in 2021, 12.5% change 2020 - 2021, 3.3% CAGR 2011-2021, 8% of GDP in 2021. 2) UK $79 billion in 2013, $136 billion in 2022, $150 billion in 2023, 12.7% share in 2021, 10.5% change 2020 - 2021, 6.6% CAGR 2011-2021, 5.7% of GDP in 2021. 3) Japan $68 billion in 2013, $134 billion in 2022, $141 billion in 2023, 11.9% share in 2021, 5.5% change 2020 - 2021, 7.6% CAGR 2011-2021, 5.4% of GDP in 2021. 4) Canada $17 billion in 2013, $83 billion in 2022, $82 billion in 2023, 6.9% share in 2021, -1.6% change 2020 - 2021, 17% CAGR 2011-2021, 3.1% of GDP in 2021. 5) China $23 billion in 2013, $47 billion in 2022, $47 billion in 2023, 3.9% share in 2021, -0.5% change 2020 - 2021, 7.1% CAGR 2011-2021, 1.8% of GDP in 2021. 6) Netherlands $30 billion in 2013, $60 billion in 2022, $46 billion in 2023, 3.9% share in 2021, -23.5% change 2020 - 2021, 4.4% CAGR 2011-2021, 1.7% of GDP in 2021. 7) Bermuda $10 billion in 2013, $46 billion in 2022, $45 billion in 2023, 3.9% share in 2021, -0.6% change 2020 - 2021, 16.3% CAGR 2011-2021, 1.7% of GDP in 2021. 8) Singapore $23 billion in 2013, $40 billion in 2022, $39 billion in 2023, 3.3% share in 2021, -1.8% change 2020 - 2021, 5.4% CAGR 2011-2021, 1.5% of GDP in 2021. 9) Germany $13 billion in 2013, $21 billion in 2022, $22 billion in 2023, 1.8% share in 2021, 2.6% change 2020 - 2021, 4.9% CAGR 2011-2021, 0.8% of GDP in 2021. 10) Virgin Islands, British value not presented, $22 billion in 2022, $22 billion in 2023, 1.8% share in 2021, -0.5% change 2020 - 2021, value not presented, 0.8% of GDP in 2021. 11) Hong Kong SAR $8 billion in 2013, $18 billion in 2022, $17 billion in 2023, 1.4% share in 2021, -5.8% change 2020 - 2021, 7.6% CAGR 2011-2021, 0.6% of GDP in 2021. 12) Malaysia $9 billion in 2013, $13 billion in 2022, $15 billion in 2023, 1.3% share in 2021, 14% change 2020 - 2021, 5.1% CAGR 2011-2021, 0.6% of GDP in 2021. 13) France $6 billion in 2013, $12 billion in 2022, $14 billion in 2023, 1.2% share in 2021, 21.2% change 2020 - 2021, 10.1% CAGR 2011-2021, 0.6% of GDP in 2021. 14) Switzerland $19 billion in 2013, $14 billion in 2022, $14 billion in 2023, 1.2% share in 2021, -0.6% change 2020 - 2021, -3% CAGR 2011-2021, 0.5% of GDP in 2021. 15) Sweden $1 billion in 2013, $7 billion in 2022, $8 billion in 2023, 0.7% share in 2021, 7.3% change 2020 - 2021, 19.1% CAGR 2011-2021, 0.3% of GDP in 2021. 16) Ireland $0 billion in 2013, $8 billion in 2022, $8 billion in 2023, 0.6% share in 2021, -8.1% change 2020 - 2021, 35.3% CAGR 2011-2021, 0.3% of GDP in 2021. Other economies $183 billion in 2013, $300 billion in 2022, $302 billion in 2023, 25.6% share in 2021, 0.7% change 2020 - 2021, 5.1% CAGR 2011-2021, 11.5% of GDP in 2021. FDI stock – all economies $643 billion in 2013, $1147 billion in 2022, $1180 billion in 2023, 100% share in 2021, 3% change 2020 - 2021, 6.3% CAGR 2011-2021, 45% of GDP in 2021. OECD $413 billion in 2013, $700 billion in 2022, $732 billion in 2023, 62% share in 2021, 4.5% change 2020 - 2021, 5.9% CAGR 2011-2021, 27.9% of GDP in 2021. APEC $312 billion in 2013, $542 billion in 2022, $571 billion in 2023, 48.4% share in 2021, 5.3% change 2020 - 2021, 6.2% CAGR 2011-2021, 21.8% of GDP in 2021. EU (excl. UK) $69 billion in 2013, $132 billion in 2022, $121 billion in 2023, 10.2% share in 2021, -8.8% change 2020 - 2021, 5.7% CAGR 2011-2021, 4.6% of GDP in 2021. ASEAN $37 billion in 2013, $59 billion in 2022, $61 billion in 2023, 5.1% share in 2021, 2.3% change 2020 - 2021, 5% CAGR 2011-2021, 2.3% of GDP in 2021. FDI stock as a percentage of GDP 40.9%in 2013, 46.2% in 2022, and 45.0% in 2023.&#10;"/>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6300000" cy="4700566"/>
                    </a:xfrm>
                    <a:prstGeom prst="rect">
                      <a:avLst/>
                    </a:prstGeom>
                    <a:ln>
                      <a:noFill/>
                    </a:ln>
                    <a:extLst>
                      <a:ext uri="{53640926-AAD7-44D8-BBD7-CCE9431645EC}">
                        <a14:shadowObscured xmlns:a14="http://schemas.microsoft.com/office/drawing/2010/main"/>
                      </a:ext>
                    </a:extLst>
                  </pic:spPr>
                </pic:pic>
              </a:graphicData>
            </a:graphic>
          </wp:inline>
        </w:drawing>
      </w:r>
    </w:p>
    <w:p w14:paraId="7180A015" w14:textId="77777777" w:rsidR="003259B5" w:rsidRPr="002322B7" w:rsidRDefault="003259B5" w:rsidP="003259B5">
      <w:pPr>
        <w:pStyle w:val="Sourcesandnotes"/>
      </w:pPr>
      <w:r w:rsidRPr="002322B7">
        <w:rPr>
          <w:b/>
          <w:bCs/>
        </w:rPr>
        <w:t>Notes: ASEAN =</w:t>
      </w:r>
      <w:r w:rsidRPr="002322B7">
        <w:t xml:space="preserve"> The Association of Southeast Asian Nations. </w:t>
      </w:r>
      <w:r w:rsidRPr="002322B7">
        <w:rPr>
          <w:b/>
          <w:bCs/>
        </w:rPr>
        <w:t>CAGR =</w:t>
      </w:r>
      <w:r w:rsidRPr="002322B7">
        <w:t xml:space="preserve"> compound annual growth rate. </w:t>
      </w:r>
      <w:r w:rsidRPr="002322B7">
        <w:rPr>
          <w:b/>
          <w:bCs/>
        </w:rPr>
        <w:t>SAR =</w:t>
      </w:r>
      <w:r w:rsidRPr="002322B7">
        <w:t xml:space="preserve"> Special administrative region of China. </w:t>
      </w:r>
    </w:p>
    <w:p w14:paraId="6E8A44DB" w14:textId="77777777" w:rsidR="003259B5" w:rsidRPr="002322B7" w:rsidRDefault="003259B5" w:rsidP="003259B5">
      <w:pPr>
        <w:pStyle w:val="Sourcesandnotes"/>
      </w:pPr>
      <w:r w:rsidRPr="002322B7">
        <w:rPr>
          <w:b/>
          <w:bCs/>
        </w:rPr>
        <w:t>Sources:</w:t>
      </w:r>
      <w:r w:rsidRPr="002322B7">
        <w:t xml:space="preserve"> Australian Bureau of Statistics (ABS), 2024, International Investment Position, Australia: Supplementary Statistics 2023, Table 2; ABS, 2024, Australian National Accounts: National Income, Expenditure and Product, Table 3; Austrade.</w:t>
      </w:r>
    </w:p>
    <w:p w14:paraId="557FDEF0" w14:textId="77777777" w:rsidR="001B7642" w:rsidRPr="002322B7" w:rsidRDefault="001B7642" w:rsidP="001B7642"/>
    <w:p w14:paraId="3654AF8B" w14:textId="77777777" w:rsidR="00F25F66" w:rsidRPr="002322B7" w:rsidRDefault="00F25F66" w:rsidP="00F25F66">
      <w:pPr>
        <w:pStyle w:val="Sourcesandnotes"/>
      </w:pPr>
    </w:p>
    <w:p w14:paraId="7FEA821A" w14:textId="77777777" w:rsidR="000E07C3" w:rsidRPr="002322B7" w:rsidRDefault="000E07C3" w:rsidP="000E07C3">
      <w:pPr>
        <w:pStyle w:val="Heading-level2"/>
      </w:pPr>
      <w:bookmarkStart w:id="153" w:name="_Toc165017480"/>
      <w:bookmarkStart w:id="154" w:name="_Toc171500345"/>
      <w:r w:rsidRPr="002322B7">
        <w:lastRenderedPageBreak/>
        <w:t xml:space="preserve">The trillion-dollar </w:t>
      </w:r>
      <w:bookmarkEnd w:id="153"/>
      <w:r w:rsidRPr="002322B7">
        <w:t>trading nation</w:t>
      </w:r>
      <w:bookmarkEnd w:id="154"/>
    </w:p>
    <w:p w14:paraId="628E0BDD" w14:textId="158757E6" w:rsidR="000E07C3" w:rsidRPr="002322B7" w:rsidRDefault="000E07C3" w:rsidP="003F1867">
      <w:pPr>
        <w:pStyle w:val="Body-copy"/>
        <w:rPr>
          <w:lang w:val="en-AU"/>
        </w:rPr>
      </w:pPr>
      <w:r w:rsidRPr="002322B7">
        <w:rPr>
          <w:lang w:val="en-AU"/>
        </w:rPr>
        <w:t>Australia has a globalised economy</w:t>
      </w:r>
      <w:r w:rsidR="00422E8A" w:rsidRPr="002322B7">
        <w:rPr>
          <w:lang w:val="en-AU"/>
        </w:rPr>
        <w:t xml:space="preserve">: </w:t>
      </w:r>
      <w:r w:rsidR="00054F33" w:rsidRPr="002322B7">
        <w:rPr>
          <w:lang w:val="en-AU"/>
        </w:rPr>
        <w:t xml:space="preserve">today, </w:t>
      </w:r>
      <w:r w:rsidR="00422E8A" w:rsidRPr="002322B7">
        <w:rPr>
          <w:lang w:val="en-AU"/>
        </w:rPr>
        <w:t xml:space="preserve">our </w:t>
      </w:r>
      <w:r w:rsidR="0025641E">
        <w:rPr>
          <w:lang w:val="en-AU"/>
        </w:rPr>
        <w:t>international</w:t>
      </w:r>
      <w:r w:rsidRPr="002322B7">
        <w:rPr>
          <w:lang w:val="en-AU"/>
        </w:rPr>
        <w:t xml:space="preserve"> trade </w:t>
      </w:r>
      <w:r w:rsidR="00422E8A" w:rsidRPr="002322B7">
        <w:rPr>
          <w:lang w:val="en-AU"/>
        </w:rPr>
        <w:t xml:space="preserve">is worth </w:t>
      </w:r>
      <w:r w:rsidRPr="002322B7">
        <w:rPr>
          <w:lang w:val="en-AU"/>
        </w:rPr>
        <w:t>a</w:t>
      </w:r>
      <w:r w:rsidR="00B40007" w:rsidRPr="002322B7">
        <w:rPr>
          <w:lang w:val="en-AU"/>
        </w:rPr>
        <w:t>lmost</w:t>
      </w:r>
      <w:r w:rsidRPr="002322B7">
        <w:rPr>
          <w:lang w:val="en-AU"/>
        </w:rPr>
        <w:t xml:space="preserve"> </w:t>
      </w:r>
      <w:r w:rsidR="00B40007" w:rsidRPr="002322B7">
        <w:rPr>
          <w:lang w:val="en-AU"/>
        </w:rPr>
        <w:t>half</w:t>
      </w:r>
      <w:r w:rsidRPr="002322B7">
        <w:rPr>
          <w:lang w:val="en-AU"/>
        </w:rPr>
        <w:t xml:space="preserve"> of Australia’s GDP. The Asia¹ and Oceania regions account for around three-quarters of Australia’s two-way trade in goods and services, and most regional trade benefits from bilateral and multilateral trade agreements. China accounts for 26% of Australia</w:t>
      </w:r>
      <w:r w:rsidR="004551D6" w:rsidRPr="002322B7">
        <w:rPr>
          <w:lang w:val="en-AU"/>
        </w:rPr>
        <w:t>’s</w:t>
      </w:r>
      <w:r w:rsidRPr="002322B7">
        <w:rPr>
          <w:lang w:val="en-AU"/>
        </w:rPr>
        <w:t xml:space="preserve"> bilateral trade, followed by Japan (12%), the US (8%) and Korea (6%), </w:t>
      </w:r>
      <w:r w:rsidR="00651754" w:rsidRPr="002322B7">
        <w:rPr>
          <w:lang w:val="en-AU"/>
        </w:rPr>
        <w:t>while</w:t>
      </w:r>
      <w:r w:rsidRPr="002322B7">
        <w:rPr>
          <w:lang w:val="en-AU"/>
        </w:rPr>
        <w:t xml:space="preserve"> 15% is with ASEAN countries. Australia </w:t>
      </w:r>
      <w:r w:rsidR="00A87EB6">
        <w:rPr>
          <w:lang w:val="en-AU"/>
        </w:rPr>
        <w:t>also</w:t>
      </w:r>
      <w:r w:rsidRPr="002322B7">
        <w:rPr>
          <w:lang w:val="en-AU"/>
        </w:rPr>
        <w:t xml:space="preserve"> nurtures trade relations with </w:t>
      </w:r>
      <w:r w:rsidR="000E2AB5">
        <w:rPr>
          <w:lang w:val="en-AU"/>
        </w:rPr>
        <w:t xml:space="preserve">other </w:t>
      </w:r>
      <w:r w:rsidRPr="002322B7">
        <w:rPr>
          <w:lang w:val="en-AU"/>
        </w:rPr>
        <w:t>traditional partners, with the EU and the UK representing 11% of our total trade.</w:t>
      </w:r>
    </w:p>
    <w:p w14:paraId="7E6A1731" w14:textId="256500DA" w:rsidR="000E07C3" w:rsidRDefault="000E07C3" w:rsidP="000E07C3">
      <w:pPr>
        <w:pStyle w:val="Caption"/>
      </w:pPr>
      <w:bookmarkStart w:id="155" w:name="_Toc164873543"/>
      <w:bookmarkStart w:id="156" w:name="_Toc171500390"/>
      <w:r w:rsidRPr="002322B7">
        <w:t xml:space="preserve">Figure </w:t>
      </w:r>
      <w:r w:rsidR="00CF16FA">
        <w:fldChar w:fldCharType="begin"/>
      </w:r>
      <w:r w:rsidR="00CF16FA">
        <w:instrText xml:space="preserve"> SEQ Figure \* ARABIC </w:instrText>
      </w:r>
      <w:r w:rsidR="00CF16FA">
        <w:fldChar w:fldCharType="separate"/>
      </w:r>
      <w:r w:rsidR="002459CF">
        <w:rPr>
          <w:noProof/>
        </w:rPr>
        <w:t>34</w:t>
      </w:r>
      <w:r w:rsidR="00CF16FA">
        <w:rPr>
          <w:noProof/>
        </w:rPr>
        <w:fldChar w:fldCharType="end"/>
      </w:r>
      <w:r w:rsidRPr="002322B7">
        <w:t xml:space="preserve"> – Australia’s exports and imports of goods and services</w:t>
      </w:r>
      <w:bookmarkEnd w:id="155"/>
      <w:bookmarkEnd w:id="156"/>
    </w:p>
    <w:p w14:paraId="1ED7AD50" w14:textId="136FB821" w:rsidR="00C54E2B" w:rsidRDefault="00C54E2B" w:rsidP="00C54E2B">
      <w:r>
        <w:rPr>
          <w:noProof/>
        </w:rPr>
        <w:drawing>
          <wp:inline distT="0" distB="0" distL="0" distR="0" wp14:anchorId="3FF78110" wp14:editId="19A016E4">
            <wp:extent cx="6300000" cy="4645759"/>
            <wp:effectExtent l="0" t="0" r="5715" b="2540"/>
            <wp:docPr id="1532709992" name="Picture 44" descr="The table show Australian exports and imports of goods and services by economy (or market). The information in the table is:1) China A$267 billion in 2020-21, A$283.4 billion in 2021-22, A$316.9 billion in 2022-23, represented 12.4% of GDP, represented 25.7% of total trade in 2022-23, grew at 10.2% 5-year CAGR.  2) Japan A$67 billion in 2020-21, A$117.3 billion in 2021-22, A$143.4 billion in 2022-23, represented 5.6% of GDP, represented 11.6% of total trade in 2022-23, grew at 13.1% 5-year CAGR.  3) US A$67.8 billion in 2020-21, A$76.4 billion in 2021-22, A$94.6 billion in 2022-23, represented 3.7% of GDP, represented 7.7% of total trade in 2022-23, grew at 6.3% 5-year CAGR.  4) Korea A$39.4 billion in 2020-21, A$68.6 billion in 2021-22, A$77.6 billion in 2022-23, represented 3% of GDP, represented 6.3% of total trade in 2022-23, grew at 8.2% 5-year CAGR.  5) Singapore A$28.6 billion in 2020-21, A$46.5 billion in 2021-22, A$50.9 billion in 2022-23, represented 2% of GDP, represented 4.1% of total trade in 2022-23, grew at 12.8% 5-year CAGR.  6) India A$27.1 billion in 2020-21, A$46.5 billion in 2021-22, A$45 billion in 2022-23, represented 1.8% of GDP, represented 3.6% of total trade in 2022-23, grew at 9.1% 5-year CAGR.  7) Taiwan A$17.1 billion in 2020-21, A$33.9 billion in 2021-22, A$41.5 billion in 2022-23, represented 1.6% of GDP, represented 3.4% of total trade in 2022-23, grew at 21.1% 5-year CAGR.  8) Malaysia A$21.2 billion in 2020-21, A$26.8 billion in 2021-22, A$35.3 billion in 2022-23, represented 1.4% of GDP, represented 2.9% of total trade in 2022-23, grew at 10.5% 5-year CAGR.  9) Germany A$23.7 billion in 2020-21, A$25.5 billion in 2021-22, A$34.3 billion in 2022-23, represented 1.3% of GDP, represented 2.8% of total trade in 2022-23, grew at 4% 5-year CAGR.  10) New Zealand A$20.9 billion in 2020-21, A$24.6 billion in 2021-22, A$30.8 billion in 2022-23, represented 1.2% of GDP, represented 2.5% of total trade in 2022-23, grew at 4.6% 5-year CAGR.  11) Thailand A$22.2 billion in 2020-21, A$26.4 billion in 2021-22, A$28.9 billion in 2022-23, represented 1.1% of GDP, represented 2.3% of total trade in 2022-23, grew at 5% 5-year CAGR.  12) Vietnam A$28.8 billion in 2020-21, A$22.2 billion in 2021-22, A$28.7 billion in 2022-23, represented 1.1% of GDP, represented 2.3% of total trade in 2022-23, grew at 0.6% 5-year CAGR.  13) UK A$14.1 billion in 2020-21, A$18.4 billion in 2021-22, A$26.2 billion in 2022-23, represented 1% of GDP, represented 2.1% of total trade in 2022-23, grew at 9.6% 5-year CAGR.  14) Indonesia A$15.8 billion in 2020-21, A$22 billion in 2021-22, A$25.7 billion in 2022-23, represented 1% of GDP, represented 2.1% of total trade in 2022-23, grew at 14.1% 5-year CAGR.  15) Hong Kong SAR A$11.2 billion in 2020-21, A$14 billion in 2021-22, A$13.5 billion in 2022-23, represented 0.5% of GDP, represented 1.1% of total trade in 2022-23, grew at -6.3% 5-year CAGR.  Other economies A$157.7 billion in 2020-21, A$200.6 billion in 2021-22, A$240.4 billion in 2022-23, represented 9.4% of GDP, represented 19.5% of total trade in 2022-23, grew at 8.6% 5-year CAGR.  Total all economies1 A$829.3 billion in 2020-21, A$1053.1 billion in 2021-22, A$1233.6 billion in 2022-23, represented 48.1% of GDP, represented 100% of total trade in 2022-23, grew at 9.1% 5-year CAGR.  APEC² A$618.2 billion in 2020-21, A$788.5 billion in 2021-22, A$928.7 billion in 2022-23, represented 36.2% of GDP, represented 75.3% of total trade in 2022-23, grew at 9.6% 5-year CAGR.  RCEP³ A$506.1 billion in 2020-21, A$645.5 billion in 2021-22, A$757.4 billion in 2022-23, represented 29.5% of GDP, represented 61.4% of total trade in 2022-23, grew at 10.3% 5-year CAGR.  ASEAN⁴ A$109.1 billion in 2020-21, A$150.6 billion in 2021-22, A$185.2 billion in 2022-23, represented 7.2% of GDP, represented 15% of total trade in 2022-23, grew at 11% 5-year CAGR.  EU plus UK A$106.7 billion in 2020-21, A$119 billion in 2021-22, A$137.2 billion in 2022-23, represented 5.4% of GDP, represented 11.1% of total trade in 2022-23, grew at 5.2% 5-year CAG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9992" name="Picture 44" descr="The table show Australian exports and imports of goods and services by economy (or market). The information in the table is:1) China A$267 billion in 2020-21, A$283.4 billion in 2021-22, A$316.9 billion in 2022-23, represented 12.4% of GDP, represented 25.7% of total trade in 2022-23, grew at 10.2% 5-year CAGR.  2) Japan A$67 billion in 2020-21, A$117.3 billion in 2021-22, A$143.4 billion in 2022-23, represented 5.6% of GDP, represented 11.6% of total trade in 2022-23, grew at 13.1% 5-year CAGR.  3) US A$67.8 billion in 2020-21, A$76.4 billion in 2021-22, A$94.6 billion in 2022-23, represented 3.7% of GDP, represented 7.7% of total trade in 2022-23, grew at 6.3% 5-year CAGR.  4) Korea A$39.4 billion in 2020-21, A$68.6 billion in 2021-22, A$77.6 billion in 2022-23, represented 3% of GDP, represented 6.3% of total trade in 2022-23, grew at 8.2% 5-year CAGR.  5) Singapore A$28.6 billion in 2020-21, A$46.5 billion in 2021-22, A$50.9 billion in 2022-23, represented 2% of GDP, represented 4.1% of total trade in 2022-23, grew at 12.8% 5-year CAGR.  6) India A$27.1 billion in 2020-21, A$46.5 billion in 2021-22, A$45 billion in 2022-23, represented 1.8% of GDP, represented 3.6% of total trade in 2022-23, grew at 9.1% 5-year CAGR.  7) Taiwan A$17.1 billion in 2020-21, A$33.9 billion in 2021-22, A$41.5 billion in 2022-23, represented 1.6% of GDP, represented 3.4% of total trade in 2022-23, grew at 21.1% 5-year CAGR.  8) Malaysia A$21.2 billion in 2020-21, A$26.8 billion in 2021-22, A$35.3 billion in 2022-23, represented 1.4% of GDP, represented 2.9% of total trade in 2022-23, grew at 10.5% 5-year CAGR.  9) Germany A$23.7 billion in 2020-21, A$25.5 billion in 2021-22, A$34.3 billion in 2022-23, represented 1.3% of GDP, represented 2.8% of total trade in 2022-23, grew at 4% 5-year CAGR.  10) New Zealand A$20.9 billion in 2020-21, A$24.6 billion in 2021-22, A$30.8 billion in 2022-23, represented 1.2% of GDP, represented 2.5% of total trade in 2022-23, grew at 4.6% 5-year CAGR.  11) Thailand A$22.2 billion in 2020-21, A$26.4 billion in 2021-22, A$28.9 billion in 2022-23, represented 1.1% of GDP, represented 2.3% of total trade in 2022-23, grew at 5% 5-year CAGR.  12) Vietnam A$28.8 billion in 2020-21, A$22.2 billion in 2021-22, A$28.7 billion in 2022-23, represented 1.1% of GDP, represented 2.3% of total trade in 2022-23, grew at 0.6% 5-year CAGR.  13) UK A$14.1 billion in 2020-21, A$18.4 billion in 2021-22, A$26.2 billion in 2022-23, represented 1% of GDP, represented 2.1% of total trade in 2022-23, grew at 9.6% 5-year CAGR.  14) Indonesia A$15.8 billion in 2020-21, A$22 billion in 2021-22, A$25.7 billion in 2022-23, represented 1% of GDP, represented 2.1% of total trade in 2022-23, grew at 14.1% 5-year CAGR.  15) Hong Kong SAR A$11.2 billion in 2020-21, A$14 billion in 2021-22, A$13.5 billion in 2022-23, represented 0.5% of GDP, represented 1.1% of total trade in 2022-23, grew at -6.3% 5-year CAGR.  Other economies A$157.7 billion in 2020-21, A$200.6 billion in 2021-22, A$240.4 billion in 2022-23, represented 9.4% of GDP, represented 19.5% of total trade in 2022-23, grew at 8.6% 5-year CAGR.  Total all economies1 A$829.3 billion in 2020-21, A$1053.1 billion in 2021-22, A$1233.6 billion in 2022-23, represented 48.1% of GDP, represented 100% of total trade in 2022-23, grew at 9.1% 5-year CAGR.  APEC² A$618.2 billion in 2020-21, A$788.5 billion in 2021-22, A$928.7 billion in 2022-23, represented 36.2% of GDP, represented 75.3% of total trade in 2022-23, grew at 9.6% 5-year CAGR.  RCEP³ A$506.1 billion in 2020-21, A$645.5 billion in 2021-22, A$757.4 billion in 2022-23, represented 29.5% of GDP, represented 61.4% of total trade in 2022-23, grew at 10.3% 5-year CAGR.  ASEAN⁴ A$109.1 billion in 2020-21, A$150.6 billion in 2021-22, A$185.2 billion in 2022-23, represented 7.2% of GDP, represented 15% of total trade in 2022-23, grew at 11% 5-year CAGR.  EU plus UK A$106.7 billion in 2020-21, A$119 billion in 2021-22, A$137.2 billion in 2022-23, represented 5.4% of GDP, represented 11.1% of total trade in 2022-23, grew at 5.2% 5-year CAGR. "/>
                    <pic:cNvPicPr/>
                  </pic:nvPicPr>
                  <pic:blipFill rotWithShape="1">
                    <a:blip r:embed="rId51" cstate="hqprint">
                      <a:extLst>
                        <a:ext uri="{28A0092B-C50C-407E-A947-70E740481C1C}">
                          <a14:useLocalDpi xmlns:a14="http://schemas.microsoft.com/office/drawing/2010/main"/>
                        </a:ext>
                      </a:extLst>
                    </a:blip>
                    <a:srcRect/>
                    <a:stretch/>
                  </pic:blipFill>
                  <pic:spPr bwMode="auto">
                    <a:xfrm>
                      <a:off x="0" y="0"/>
                      <a:ext cx="6300000" cy="4645759"/>
                    </a:xfrm>
                    <a:prstGeom prst="rect">
                      <a:avLst/>
                    </a:prstGeom>
                    <a:ln>
                      <a:noFill/>
                    </a:ln>
                    <a:extLst>
                      <a:ext uri="{53640926-AAD7-44D8-BBD7-CCE9431645EC}">
                        <a14:shadowObscured xmlns:a14="http://schemas.microsoft.com/office/drawing/2010/main"/>
                      </a:ext>
                    </a:extLst>
                  </pic:spPr>
                </pic:pic>
              </a:graphicData>
            </a:graphic>
          </wp:inline>
        </w:drawing>
      </w:r>
    </w:p>
    <w:p w14:paraId="31133E5B" w14:textId="2AF5D0A4" w:rsidR="000E07C3" w:rsidRPr="002322B7" w:rsidRDefault="000E07C3" w:rsidP="000E07C3">
      <w:pPr>
        <w:pStyle w:val="Sourcesandnotes"/>
      </w:pPr>
      <w:r w:rsidRPr="002322B7">
        <w:rPr>
          <w:b/>
          <w:bCs/>
        </w:rPr>
        <w:t xml:space="preserve">Notes: 1. </w:t>
      </w:r>
      <w:r w:rsidRPr="002322B7">
        <w:t xml:space="preserve">The region includes the Middle East region as defined by Australia’s Department for Foreign Affairs and Trade (DFAT). For more information visit their website (www.dfat.gov.au/trade/resources/trade-statistics/Pages/trade-time-series-data). </w:t>
      </w:r>
      <w:r w:rsidRPr="002322B7">
        <w:rPr>
          <w:b/>
          <w:bCs/>
        </w:rPr>
        <w:t xml:space="preserve">2. </w:t>
      </w:r>
      <w:r w:rsidRPr="002322B7">
        <w:t xml:space="preserve">Totals may not always add up exactly due to rounding. Refer to the DFAT website (www.dfat.gov.au/trade/Pages/trade-and-investment) for more information. </w:t>
      </w:r>
      <w:r w:rsidRPr="002322B7">
        <w:rPr>
          <w:b/>
          <w:bCs/>
        </w:rPr>
        <w:t>3.</w:t>
      </w:r>
      <w:r w:rsidRPr="002322B7">
        <w:t xml:space="preserve"> Asia Pacific Economic Cooperation. </w:t>
      </w:r>
      <w:r w:rsidRPr="002322B7">
        <w:rPr>
          <w:b/>
          <w:bCs/>
        </w:rPr>
        <w:t>4.</w:t>
      </w:r>
      <w:r w:rsidRPr="002322B7">
        <w:t xml:space="preserve"> Regional Comprehensive Economic Partnership, which is a free trade agreement with 14 Asia-Pacific countries. </w:t>
      </w:r>
      <w:r w:rsidRPr="002322B7">
        <w:rPr>
          <w:b/>
          <w:bCs/>
        </w:rPr>
        <w:t>5.</w:t>
      </w:r>
      <w:r w:rsidRPr="002322B7">
        <w:t xml:space="preserve"> Association of Southeast Asian Nations. </w:t>
      </w:r>
      <w:r w:rsidRPr="002322B7">
        <w:rPr>
          <w:b/>
          <w:bCs/>
        </w:rPr>
        <w:t>CAGR =</w:t>
      </w:r>
      <w:r w:rsidRPr="002322B7">
        <w:t xml:space="preserve"> compound annual growth rate. </w:t>
      </w:r>
      <w:r w:rsidRPr="002322B7">
        <w:rPr>
          <w:b/>
          <w:bCs/>
        </w:rPr>
        <w:t>SAR =</w:t>
      </w:r>
      <w:r w:rsidRPr="002322B7">
        <w:t xml:space="preserve"> Special administrative region of China. </w:t>
      </w:r>
    </w:p>
    <w:p w14:paraId="4A4BE5C0" w14:textId="77777777" w:rsidR="000E07C3" w:rsidRPr="002322B7" w:rsidRDefault="000E07C3" w:rsidP="000E07C3">
      <w:pPr>
        <w:pStyle w:val="Sourcesandnotes"/>
      </w:pPr>
      <w:r w:rsidRPr="002322B7">
        <w:rPr>
          <w:b/>
          <w:bCs/>
        </w:rPr>
        <w:t xml:space="preserve">Sources: </w:t>
      </w:r>
      <w:r w:rsidRPr="002322B7">
        <w:t>Department of Foreign Affairs and Trade, 2024, Trade time series data accessed 23 April 2024; Australian Bureau of Statistics, 2024, Australian National Accounts: National Income, Expenditure and Product, Table 3; Austrade.</w:t>
      </w:r>
    </w:p>
    <w:p w14:paraId="318A0B6A" w14:textId="77777777" w:rsidR="000108E0" w:rsidRPr="002322B7" w:rsidRDefault="000108E0" w:rsidP="000108E0">
      <w:pPr>
        <w:pStyle w:val="Heading-level2"/>
      </w:pPr>
      <w:bookmarkStart w:id="157" w:name="_Toc165079511"/>
      <w:bookmarkStart w:id="158" w:name="_Toc171500346"/>
      <w:r w:rsidRPr="002322B7">
        <w:lastRenderedPageBreak/>
        <w:t>An open trading economy for services</w:t>
      </w:r>
      <w:bookmarkEnd w:id="157"/>
      <w:bookmarkEnd w:id="158"/>
    </w:p>
    <w:p w14:paraId="17E4B162" w14:textId="51A0D305" w:rsidR="000108E0" w:rsidRPr="002322B7" w:rsidRDefault="000108E0" w:rsidP="003F1867">
      <w:pPr>
        <w:pStyle w:val="Body-copy"/>
        <w:rPr>
          <w:lang w:val="en-AU"/>
        </w:rPr>
      </w:pPr>
      <w:r w:rsidRPr="002322B7">
        <w:rPr>
          <w:lang w:val="en-AU"/>
        </w:rPr>
        <w:t xml:space="preserve">Australia is more open to trade in services than most wealthy economies. In 2022, the </w:t>
      </w:r>
      <w:r w:rsidR="00DE3B12" w:rsidRPr="00DE3B12">
        <w:rPr>
          <w:lang w:val="en-AU"/>
        </w:rPr>
        <w:t>OECD</w:t>
      </w:r>
      <w:r w:rsidRPr="002322B7">
        <w:rPr>
          <w:lang w:val="en-AU"/>
        </w:rPr>
        <w:t xml:space="preserve"> assessed Australia to be less restrictive in services trade </w:t>
      </w:r>
      <w:r w:rsidR="00990003">
        <w:rPr>
          <w:lang w:val="en-AU"/>
        </w:rPr>
        <w:t>when</w:t>
      </w:r>
      <w:r w:rsidRPr="002322B7">
        <w:rPr>
          <w:lang w:val="en-AU"/>
        </w:rPr>
        <w:t xml:space="preserve"> compared </w:t>
      </w:r>
      <w:r w:rsidR="00737917" w:rsidRPr="002322B7">
        <w:rPr>
          <w:lang w:val="en-AU"/>
        </w:rPr>
        <w:t>to the average among its</w:t>
      </w:r>
      <w:r w:rsidRPr="002322B7">
        <w:rPr>
          <w:lang w:val="en-AU"/>
        </w:rPr>
        <w:t xml:space="preserve"> 38 </w:t>
      </w:r>
      <w:r w:rsidR="00737917" w:rsidRPr="002322B7">
        <w:rPr>
          <w:lang w:val="en-AU"/>
        </w:rPr>
        <w:t>member</w:t>
      </w:r>
      <w:r w:rsidRPr="002322B7">
        <w:rPr>
          <w:lang w:val="en-AU"/>
        </w:rPr>
        <w:t xml:space="preserve"> countries. Australia has several standout s</w:t>
      </w:r>
      <w:r w:rsidR="00737917" w:rsidRPr="002322B7">
        <w:rPr>
          <w:lang w:val="en-AU"/>
        </w:rPr>
        <w:t>ervice s</w:t>
      </w:r>
      <w:r w:rsidRPr="002322B7">
        <w:rPr>
          <w:lang w:val="en-AU"/>
        </w:rPr>
        <w:t>ectors</w:t>
      </w:r>
      <w:r w:rsidR="0016659C">
        <w:rPr>
          <w:lang w:val="en-AU"/>
        </w:rPr>
        <w:t xml:space="preserve"> with o</w:t>
      </w:r>
      <w:r w:rsidRPr="002322B7">
        <w:rPr>
          <w:lang w:val="en-AU"/>
        </w:rPr>
        <w:t>ur freight transportation ranked 2</w:t>
      </w:r>
      <w:r w:rsidRPr="002322B7">
        <w:rPr>
          <w:vertAlign w:val="superscript"/>
          <w:lang w:val="en-AU"/>
        </w:rPr>
        <w:t>nd</w:t>
      </w:r>
      <w:r w:rsidRPr="002322B7">
        <w:rPr>
          <w:lang w:val="en-AU"/>
        </w:rPr>
        <w:t xml:space="preserve"> in openness and air transport ranked 5</w:t>
      </w:r>
      <w:r w:rsidRPr="002322B7">
        <w:rPr>
          <w:vertAlign w:val="superscript"/>
          <w:lang w:val="en-AU"/>
        </w:rPr>
        <w:t>th</w:t>
      </w:r>
      <w:r w:rsidR="00385D3D" w:rsidRPr="002322B7">
        <w:rPr>
          <w:lang w:val="en-AU"/>
        </w:rPr>
        <w:t>-</w:t>
      </w:r>
      <w:r w:rsidRPr="002322B7">
        <w:rPr>
          <w:lang w:val="en-AU"/>
        </w:rPr>
        <w:t xml:space="preserve">least restrictive. Openness is powering Australia’s recovery in two-way trade in services, which grew by 49% in 2022 and </w:t>
      </w:r>
      <w:r w:rsidR="00424E03">
        <w:rPr>
          <w:lang w:val="en-AU"/>
        </w:rPr>
        <w:t xml:space="preserve">by </w:t>
      </w:r>
      <w:r w:rsidRPr="002322B7">
        <w:rPr>
          <w:lang w:val="en-AU"/>
        </w:rPr>
        <w:t xml:space="preserve">32% in 2023 to reach A$226 billion.  </w:t>
      </w:r>
    </w:p>
    <w:p w14:paraId="3B75C834" w14:textId="47047834" w:rsidR="000108E0" w:rsidRDefault="000108E0" w:rsidP="000108E0">
      <w:pPr>
        <w:pStyle w:val="Caption"/>
      </w:pPr>
      <w:bookmarkStart w:id="159" w:name="_Toc171500391"/>
      <w:r w:rsidRPr="002322B7">
        <w:t xml:space="preserve">Figure </w:t>
      </w:r>
      <w:r w:rsidR="00CF16FA">
        <w:fldChar w:fldCharType="begin"/>
      </w:r>
      <w:r w:rsidR="00CF16FA">
        <w:instrText xml:space="preserve"> SEQ Figure \* ARABIC </w:instrText>
      </w:r>
      <w:r w:rsidR="00CF16FA">
        <w:fldChar w:fldCharType="separate"/>
      </w:r>
      <w:r w:rsidR="002459CF">
        <w:rPr>
          <w:noProof/>
        </w:rPr>
        <w:t>35</w:t>
      </w:r>
      <w:r w:rsidR="00CF16FA">
        <w:rPr>
          <w:noProof/>
        </w:rPr>
        <w:fldChar w:fldCharType="end"/>
      </w:r>
      <w:r w:rsidRPr="002322B7">
        <w:t xml:space="preserve"> – Services trade restrictiveness index¹ by sector, Australia vs OECD average in 2022²</w:t>
      </w:r>
      <w:bookmarkEnd w:id="159"/>
    </w:p>
    <w:p w14:paraId="57ED84D8" w14:textId="7CAE8699" w:rsidR="004C49A3" w:rsidRDefault="004C49A3" w:rsidP="004C49A3">
      <w:r>
        <w:rPr>
          <w:noProof/>
        </w:rPr>
        <w:drawing>
          <wp:inline distT="0" distB="0" distL="0" distR="0" wp14:anchorId="4E6E8501" wp14:editId="7AE0B581">
            <wp:extent cx="6336030" cy="4293870"/>
            <wp:effectExtent l="0" t="0" r="7620" b="0"/>
            <wp:docPr id="1318872253" name="Picture 45" descr="The graph plots the service trade restrictiveness index by sector for Australia and the average across OECD economies in 2022. The lower the index, the more open an economy is to trade. The information, including Australia’s ranking in brackets, is as follows: Air transport (Australia's rank #5) value 0.31 for Australia and 0.39 OECD. Maritime transport (Australia's rank #9) value 0.19 for Australia and 0.24 OECD. Commercial banking (Australia's rank #18) value 0.19 for Australia and 0.2 OECD. Accounting³ (Australia's rank #11) value 0.19 for Australia and 0.29 OECD. Logistics cargo-handling (Australia's rank #18) value 0.18 for Australia and 0.2 OECD. Telecom (Australia's rank #18) value 0.17 for Australia and 0.19 OECD. Logistics storage and warehouse (Australia's rank #15) value 0.17 for Australia and 0.2 OECD. Computer (Australia's rank #14) value 0.17 for Australia and 0.2 OECD. Legal (Australia's rank #8) value 0.16 for Australia and 0.33 OECD. Rail freight transport (Australia's rank #6) value 0.16 for Australia and 0.24 OECD. Engineering (Australia's rank #9) value 0.16 for Australia and 0.21 OECD. Distribution (Australia's rank #11) value 0.14 for Australia and 0.17 OECD. Road freight transport (Australia's rank #2) value 0.13 for Australia and 0.21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2253" name="Picture 45" descr="The graph plots the service trade restrictiveness index by sector for Australia and the average across OECD economies in 2022. The lower the index, the more open an economy is to trade. The information, including Australia’s ranking in brackets, is as follows: Air transport (Australia's rank #5) value 0.31 for Australia and 0.39 OECD. Maritime transport (Australia's rank #9) value 0.19 for Australia and 0.24 OECD. Commercial banking (Australia's rank #18) value 0.19 for Australia and 0.2 OECD. Accounting³ (Australia's rank #11) value 0.19 for Australia and 0.29 OECD. Logistics cargo-handling (Australia's rank #18) value 0.18 for Australia and 0.2 OECD. Telecom (Australia's rank #18) value 0.17 for Australia and 0.19 OECD. Logistics storage and warehouse (Australia's rank #15) value 0.17 for Australia and 0.2 OECD. Computer (Australia's rank #14) value 0.17 for Australia and 0.2 OECD. Legal (Australia's rank #8) value 0.16 for Australia and 0.33 OECD. Rail freight transport (Australia's rank #6) value 0.16 for Australia and 0.24 OECD. Engineering (Australia's rank #9) value 0.16 for Australia and 0.21 OECD. Distribution (Australia's rank #11) value 0.14 for Australia and 0.17 OECD. Road freight transport (Australia's rank #2) value 0.13 for Australia and 0.21 OECD."/>
                    <pic:cNvPicPr/>
                  </pic:nvPicPr>
                  <pic:blipFill rotWithShape="1">
                    <a:blip r:embed="rId52" cstate="hqprint">
                      <a:extLst>
                        <a:ext uri="{28A0092B-C50C-407E-A947-70E740481C1C}">
                          <a14:useLocalDpi xmlns:a14="http://schemas.microsoft.com/office/drawing/2010/main"/>
                        </a:ext>
                      </a:extLst>
                    </a:blip>
                    <a:srcRect/>
                    <a:stretch/>
                  </pic:blipFill>
                  <pic:spPr bwMode="auto">
                    <a:xfrm>
                      <a:off x="0" y="0"/>
                      <a:ext cx="6336030" cy="4293870"/>
                    </a:xfrm>
                    <a:prstGeom prst="rect">
                      <a:avLst/>
                    </a:prstGeom>
                    <a:ln>
                      <a:noFill/>
                    </a:ln>
                    <a:extLst>
                      <a:ext uri="{53640926-AAD7-44D8-BBD7-CCE9431645EC}">
                        <a14:shadowObscured xmlns:a14="http://schemas.microsoft.com/office/drawing/2010/main"/>
                      </a:ext>
                    </a:extLst>
                  </pic:spPr>
                </pic:pic>
              </a:graphicData>
            </a:graphic>
          </wp:inline>
        </w:drawing>
      </w:r>
    </w:p>
    <w:p w14:paraId="5FB7C15E" w14:textId="77777777" w:rsidR="000108E0" w:rsidRPr="002322B7" w:rsidRDefault="000108E0" w:rsidP="000108E0">
      <w:pPr>
        <w:pStyle w:val="Sourcesandnotes"/>
      </w:pPr>
      <w:r w:rsidRPr="002322B7">
        <w:rPr>
          <w:b/>
          <w:bCs/>
        </w:rPr>
        <w:t>Notes: 1.</w:t>
      </w:r>
      <w:r w:rsidRPr="002322B7">
        <w:t xml:space="preserve"> Unweighted STRI average of 38 OECD countries. </w:t>
      </w:r>
      <w:r w:rsidRPr="002322B7">
        <w:rPr>
          <w:b/>
          <w:bCs/>
        </w:rPr>
        <w:t>2.</w:t>
      </w:r>
      <w:r w:rsidRPr="002322B7">
        <w:t xml:space="preserve"> The number in brackets indicates Australia’s global ranking across 38 OECD countries. </w:t>
      </w:r>
      <w:r w:rsidRPr="002322B7">
        <w:rPr>
          <w:b/>
          <w:bCs/>
        </w:rPr>
        <w:t>3.</w:t>
      </w:r>
      <w:r w:rsidRPr="002322B7">
        <w:t xml:space="preserve"> Different countries have different accounting standards, making it challenging for businesses to comply with all regulatory environments. This complexity could potentially lead to increased costs or legal issues, thereby affecting trade.</w:t>
      </w:r>
    </w:p>
    <w:p w14:paraId="27822D49" w14:textId="77777777" w:rsidR="000108E0" w:rsidRPr="002322B7" w:rsidRDefault="000108E0" w:rsidP="000108E0">
      <w:pPr>
        <w:pStyle w:val="Sourcesandnotes"/>
      </w:pPr>
      <w:r w:rsidRPr="002322B7">
        <w:rPr>
          <w:b/>
          <w:bCs/>
        </w:rPr>
        <w:t>Sources:</w:t>
      </w:r>
      <w:r w:rsidRPr="002322B7">
        <w:t xml:space="preserve"> Australian Bureau of Statistics, 2024, Balance of Payments and International Investment Position; Austrade; Organisation for Economic Co-operation and Development, 2023, Services Trade Restrictiveness Index, accessed April 2024; Austrade.</w:t>
      </w:r>
    </w:p>
    <w:p w14:paraId="480FFFD8" w14:textId="77777777" w:rsidR="000108E0" w:rsidRPr="002322B7" w:rsidRDefault="000108E0" w:rsidP="000108E0">
      <w:pPr>
        <w:spacing w:before="0" w:after="160" w:line="259" w:lineRule="auto"/>
      </w:pPr>
    </w:p>
    <w:p w14:paraId="5F5EF7F3" w14:textId="3527801F" w:rsidR="00721D45" w:rsidRPr="002322B7" w:rsidRDefault="009C1203" w:rsidP="000E07C3">
      <w:pPr>
        <w:pStyle w:val="Heading-level2"/>
      </w:pPr>
      <w:bookmarkStart w:id="160" w:name="_Toc171500347"/>
      <w:r w:rsidRPr="002322B7">
        <w:lastRenderedPageBreak/>
        <w:t>Abundant</w:t>
      </w:r>
      <w:r w:rsidR="0088568B" w:rsidRPr="002322B7">
        <w:t xml:space="preserve"> energy and resources</w:t>
      </w:r>
      <w:bookmarkEnd w:id="160"/>
    </w:p>
    <w:p w14:paraId="28D6B956" w14:textId="59DB576F" w:rsidR="00E15C45" w:rsidRPr="002322B7" w:rsidRDefault="00E15C45" w:rsidP="003F1867">
      <w:pPr>
        <w:pStyle w:val="Body-copy"/>
        <w:rPr>
          <w:lang w:val="en-AU"/>
        </w:rPr>
      </w:pPr>
      <w:r w:rsidRPr="4FEBF9DC">
        <w:rPr>
          <w:lang w:val="en-AU"/>
        </w:rPr>
        <w:t xml:space="preserve">Australia </w:t>
      </w:r>
      <w:r w:rsidR="009C1203" w:rsidRPr="4FEBF9DC">
        <w:rPr>
          <w:lang w:val="en-AU"/>
        </w:rPr>
        <w:t>is</w:t>
      </w:r>
      <w:r w:rsidRPr="4FEBF9DC">
        <w:rPr>
          <w:lang w:val="en-AU"/>
        </w:rPr>
        <w:t xml:space="preserve"> the </w:t>
      </w:r>
      <w:r w:rsidR="007E18A4" w:rsidRPr="4FEBF9DC">
        <w:rPr>
          <w:lang w:val="en-AU"/>
        </w:rPr>
        <w:t>2</w:t>
      </w:r>
      <w:r w:rsidR="007E18A4" w:rsidRPr="4FEBF9DC">
        <w:rPr>
          <w:vertAlign w:val="superscript"/>
          <w:lang w:val="en-AU"/>
        </w:rPr>
        <w:t>nd</w:t>
      </w:r>
      <w:r w:rsidRPr="4FEBF9DC">
        <w:rPr>
          <w:lang w:val="en-AU"/>
        </w:rPr>
        <w:t xml:space="preserve">-largest exporter </w:t>
      </w:r>
      <w:r w:rsidR="009C1203" w:rsidRPr="4FEBF9DC">
        <w:rPr>
          <w:lang w:val="en-AU"/>
        </w:rPr>
        <w:t>of</w:t>
      </w:r>
      <w:r w:rsidRPr="4FEBF9DC">
        <w:rPr>
          <w:lang w:val="en-AU"/>
        </w:rPr>
        <w:t xml:space="preserve"> energy and resources </w:t>
      </w:r>
      <w:r w:rsidR="009C1203" w:rsidRPr="4FEBF9DC">
        <w:rPr>
          <w:lang w:val="en-AU"/>
        </w:rPr>
        <w:t>in the world</w:t>
      </w:r>
      <w:r w:rsidRPr="4FEBF9DC">
        <w:rPr>
          <w:lang w:val="en-AU"/>
        </w:rPr>
        <w:t xml:space="preserve">. </w:t>
      </w:r>
      <w:r w:rsidR="009C1203" w:rsidRPr="4FEBF9DC">
        <w:rPr>
          <w:lang w:val="en-AU"/>
        </w:rPr>
        <w:t>We</w:t>
      </w:r>
      <w:r w:rsidRPr="4FEBF9DC">
        <w:rPr>
          <w:lang w:val="en-AU"/>
        </w:rPr>
        <w:t xml:space="preserve"> lead the world in iron ore exports</w:t>
      </w:r>
      <w:r w:rsidR="00144AEE" w:rsidRPr="4FEBF9DC">
        <w:rPr>
          <w:lang w:val="en-AU"/>
        </w:rPr>
        <w:t>, which</w:t>
      </w:r>
      <w:r w:rsidR="00756C1E" w:rsidRPr="4FEBF9DC">
        <w:rPr>
          <w:lang w:val="en-AU"/>
        </w:rPr>
        <w:t xml:space="preserve"> are now worth ov</w:t>
      </w:r>
      <w:r w:rsidRPr="4FEBF9DC">
        <w:rPr>
          <w:lang w:val="en-AU"/>
        </w:rPr>
        <w:t xml:space="preserve">er US$90 billion </w:t>
      </w:r>
      <w:r w:rsidR="00756C1E" w:rsidRPr="4FEBF9DC">
        <w:rPr>
          <w:lang w:val="en-AU"/>
        </w:rPr>
        <w:t>and</w:t>
      </w:r>
      <w:r w:rsidRPr="4FEBF9DC">
        <w:rPr>
          <w:lang w:val="en-AU"/>
        </w:rPr>
        <w:t xml:space="preserve"> account for a remarkable 40% of </w:t>
      </w:r>
      <w:r w:rsidR="001610CD" w:rsidRPr="4FEBF9DC">
        <w:rPr>
          <w:lang w:val="en-AU"/>
        </w:rPr>
        <w:t xml:space="preserve">Australia’s goods </w:t>
      </w:r>
      <w:r w:rsidRPr="4FEBF9DC">
        <w:rPr>
          <w:lang w:val="en-AU"/>
        </w:rPr>
        <w:t>exports. With the largest identified reserves of iron ore</w:t>
      </w:r>
      <w:r w:rsidR="00724BA9" w:rsidRPr="4FEBF9DC">
        <w:rPr>
          <w:lang w:val="en-AU"/>
        </w:rPr>
        <w:t xml:space="preserve"> – including </w:t>
      </w:r>
      <w:r w:rsidRPr="4FEBF9DC">
        <w:rPr>
          <w:lang w:val="en-AU"/>
        </w:rPr>
        <w:t>magnetite and high-grade hematite</w:t>
      </w:r>
      <w:r w:rsidR="00724BA9" w:rsidRPr="4FEBF9DC">
        <w:rPr>
          <w:lang w:val="en-AU"/>
        </w:rPr>
        <w:t xml:space="preserve"> –</w:t>
      </w:r>
      <w:r w:rsidRPr="4FEBF9DC">
        <w:rPr>
          <w:lang w:val="en-AU"/>
        </w:rPr>
        <w:t xml:space="preserve"> Australia is perfectly positioned to drive the production of green steel.</w:t>
      </w:r>
      <w:r w:rsidR="00724BA9" w:rsidRPr="4FEBF9DC">
        <w:rPr>
          <w:lang w:val="en-AU"/>
        </w:rPr>
        <w:t xml:space="preserve"> </w:t>
      </w:r>
      <w:r w:rsidRPr="4FEBF9DC">
        <w:rPr>
          <w:lang w:val="en-AU"/>
        </w:rPr>
        <w:t xml:space="preserve">Australia is </w:t>
      </w:r>
      <w:r w:rsidR="00875805" w:rsidRPr="4FEBF9DC">
        <w:rPr>
          <w:lang w:val="en-AU"/>
        </w:rPr>
        <w:t>also</w:t>
      </w:r>
      <w:r w:rsidRPr="4FEBF9DC">
        <w:rPr>
          <w:lang w:val="en-AU"/>
        </w:rPr>
        <w:t xml:space="preserve"> the top exporter of </w:t>
      </w:r>
      <w:r w:rsidR="002B6DA3" w:rsidRPr="4FEBF9DC">
        <w:rPr>
          <w:lang w:val="en-AU"/>
        </w:rPr>
        <w:t>l</w:t>
      </w:r>
      <w:r w:rsidRPr="4FEBF9DC">
        <w:rPr>
          <w:lang w:val="en-AU"/>
        </w:rPr>
        <w:t>iqu</w:t>
      </w:r>
      <w:r w:rsidR="001D2FFC">
        <w:rPr>
          <w:lang w:val="en-AU"/>
        </w:rPr>
        <w:t>e</w:t>
      </w:r>
      <w:r w:rsidRPr="4FEBF9DC">
        <w:rPr>
          <w:lang w:val="en-AU"/>
        </w:rPr>
        <w:t xml:space="preserve">fied </w:t>
      </w:r>
      <w:r w:rsidR="002B6DA3" w:rsidRPr="4FEBF9DC">
        <w:rPr>
          <w:lang w:val="en-AU"/>
        </w:rPr>
        <w:t>n</w:t>
      </w:r>
      <w:r w:rsidRPr="4FEBF9DC">
        <w:rPr>
          <w:lang w:val="en-AU"/>
        </w:rPr>
        <w:t xml:space="preserve">atural </w:t>
      </w:r>
      <w:r w:rsidR="002B6DA3" w:rsidRPr="4FEBF9DC">
        <w:rPr>
          <w:lang w:val="en-AU"/>
        </w:rPr>
        <w:t>g</w:t>
      </w:r>
      <w:r w:rsidRPr="4FEBF9DC">
        <w:rPr>
          <w:lang w:val="en-AU"/>
        </w:rPr>
        <w:t>as (LNG), with US$50 billion</w:t>
      </w:r>
      <w:r w:rsidR="0027517F" w:rsidRPr="4FEBF9DC">
        <w:rPr>
          <w:lang w:val="en-AU"/>
        </w:rPr>
        <w:t xml:space="preserve"> </w:t>
      </w:r>
      <w:r w:rsidR="008F321F" w:rsidRPr="4FEBF9DC">
        <w:rPr>
          <w:lang w:val="en-AU"/>
        </w:rPr>
        <w:t xml:space="preserve">worth </w:t>
      </w:r>
      <w:r w:rsidR="0027517F" w:rsidRPr="4FEBF9DC">
        <w:rPr>
          <w:lang w:val="en-AU"/>
        </w:rPr>
        <w:t xml:space="preserve">of </w:t>
      </w:r>
      <w:r w:rsidRPr="4FEBF9DC">
        <w:rPr>
          <w:lang w:val="en-AU"/>
        </w:rPr>
        <w:t>exports</w:t>
      </w:r>
      <w:r w:rsidR="00746CEA" w:rsidRPr="4FEBF9DC">
        <w:rPr>
          <w:lang w:val="en-AU"/>
        </w:rPr>
        <w:t xml:space="preserve"> that</w:t>
      </w:r>
      <w:r w:rsidR="00FE39F0" w:rsidRPr="4FEBF9DC">
        <w:rPr>
          <w:lang w:val="en-AU"/>
        </w:rPr>
        <w:t xml:space="preserve"> account for </w:t>
      </w:r>
      <w:r w:rsidRPr="4FEBF9DC">
        <w:rPr>
          <w:lang w:val="en-AU"/>
        </w:rPr>
        <w:t xml:space="preserve">43% of global </w:t>
      </w:r>
      <w:r w:rsidR="00FE39F0" w:rsidRPr="4FEBF9DC">
        <w:rPr>
          <w:lang w:val="en-AU"/>
        </w:rPr>
        <w:t>trade in LNG. Australia’s</w:t>
      </w:r>
      <w:r w:rsidRPr="4FEBF9DC">
        <w:rPr>
          <w:lang w:val="en-AU"/>
        </w:rPr>
        <w:t xml:space="preserve"> abundant resources, advanced infrastructure, and commitment to sustainable practices make </w:t>
      </w:r>
      <w:r w:rsidR="00FE39F0" w:rsidRPr="4FEBF9DC">
        <w:rPr>
          <w:lang w:val="en-AU"/>
        </w:rPr>
        <w:t xml:space="preserve">us </w:t>
      </w:r>
      <w:r w:rsidRPr="4FEBF9DC">
        <w:rPr>
          <w:lang w:val="en-AU"/>
        </w:rPr>
        <w:t>an ideal destination for investment in energy and resources.</w:t>
      </w:r>
    </w:p>
    <w:p w14:paraId="2A967AC5" w14:textId="645FD448" w:rsidR="000A2D39" w:rsidRPr="002322B7" w:rsidRDefault="000A2D39" w:rsidP="000A2D39">
      <w:pPr>
        <w:pStyle w:val="Caption"/>
      </w:pPr>
      <w:bookmarkStart w:id="161" w:name="_Toc171500392"/>
      <w:r w:rsidRPr="002322B7">
        <w:t xml:space="preserve">Figure </w:t>
      </w:r>
      <w:r w:rsidR="00CF16FA">
        <w:fldChar w:fldCharType="begin"/>
      </w:r>
      <w:r w:rsidR="00CF16FA">
        <w:instrText xml:space="preserve"> SEQ Figure \* ARABIC </w:instrText>
      </w:r>
      <w:r w:rsidR="00CF16FA">
        <w:fldChar w:fldCharType="separate"/>
      </w:r>
      <w:r w:rsidR="002459CF">
        <w:rPr>
          <w:noProof/>
        </w:rPr>
        <w:t>36</w:t>
      </w:r>
      <w:r w:rsidR="00CF16FA">
        <w:rPr>
          <w:noProof/>
        </w:rPr>
        <w:fldChar w:fldCharType="end"/>
      </w:r>
      <w:r w:rsidRPr="002322B7">
        <w:t xml:space="preserve"> – </w:t>
      </w:r>
      <w:r w:rsidR="00443903" w:rsidRPr="002322B7">
        <w:t>E</w:t>
      </w:r>
      <w:r w:rsidR="00025F05" w:rsidRPr="002322B7">
        <w:t xml:space="preserve">nergy and resources </w:t>
      </w:r>
      <w:r w:rsidR="000A6A3F" w:rsidRPr="002322B7">
        <w:t>exports</w:t>
      </w:r>
      <w:r w:rsidR="00025F05" w:rsidRPr="002322B7">
        <w:t xml:space="preserve"> by </w:t>
      </w:r>
      <w:r w:rsidR="000D12C3" w:rsidRPr="002322B7">
        <w:t>economy</w:t>
      </w:r>
      <w:r w:rsidR="00D25F82" w:rsidRPr="002322B7">
        <w:t xml:space="preserve"> in</w:t>
      </w:r>
      <w:r w:rsidR="00025F05" w:rsidRPr="002322B7">
        <w:t xml:space="preserve"> 2023</w:t>
      </w:r>
      <w:bookmarkEnd w:id="161"/>
    </w:p>
    <w:p w14:paraId="3F459879" w14:textId="1B769A20" w:rsidR="000A2D39" w:rsidRPr="002322B7" w:rsidRDefault="00554C22" w:rsidP="000A2D39">
      <w:r>
        <w:rPr>
          <w:noProof/>
        </w:rPr>
        <w:drawing>
          <wp:inline distT="0" distB="0" distL="0" distR="0" wp14:anchorId="30037C0B" wp14:editId="1857C9AD">
            <wp:extent cx="6336030" cy="4449445"/>
            <wp:effectExtent l="0" t="0" r="7620" b="8255"/>
            <wp:docPr id="1834557032" name="Picture 46" descr="The graph presents the Energy and resources exports by economy in 2023. The information presents is as follows: &#10;US (ranked #1) US$400 billion; Australia (ranked #2) US$251 billion; China (ranked #3) US$220 billion; Canada (ranked #4) US$194 billion; Netherlands (ranked #5) US$163 billion; Norway (ranked #6) US$131 billion; Germany (ranked #7) US$123 billion; India (ranked #8) US$120 billion; Brazil (ranked #9) US$112 billion; Belgium (ranked #10) US$81 billion; Malaysia (ranked #11) US$71 billion; Japan (ranked #12) US$70 billion; France (ranked #13) US$68 billion; Kazakhstan (ranked #14) US$65 billion; and UK (ranked #15) US$64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7032" name="Picture 46" descr="The graph presents the Energy and resources exports by economy in 2023. The information presents is as follows: &#10;US (ranked #1) US$400 billion; Australia (ranked #2) US$251 billion; China (ranked #3) US$220 billion; Canada (ranked #4) US$194 billion; Netherlands (ranked #5) US$163 billion; Norway (ranked #6) US$131 billion; Germany (ranked #7) US$123 billion; India (ranked #8) US$120 billion; Brazil (ranked #9) US$112 billion; Belgium (ranked #10) US$81 billion; Malaysia (ranked #11) US$71 billion; Japan (ranked #12) US$70 billion; France (ranked #13) US$68 billion; Kazakhstan (ranked #14) US$65 billion; and UK (ranked #15) US$64 billion."/>
                    <pic:cNvPicPr/>
                  </pic:nvPicPr>
                  <pic:blipFill rotWithShape="1">
                    <a:blip r:embed="rId53" cstate="hqprint">
                      <a:extLst>
                        <a:ext uri="{28A0092B-C50C-407E-A947-70E740481C1C}">
                          <a14:useLocalDpi xmlns:a14="http://schemas.microsoft.com/office/drawing/2010/main"/>
                        </a:ext>
                      </a:extLst>
                    </a:blip>
                    <a:srcRect/>
                    <a:stretch/>
                  </pic:blipFill>
                  <pic:spPr bwMode="auto">
                    <a:xfrm>
                      <a:off x="0" y="0"/>
                      <a:ext cx="6336030" cy="4449445"/>
                    </a:xfrm>
                    <a:prstGeom prst="rect">
                      <a:avLst/>
                    </a:prstGeom>
                    <a:ln>
                      <a:noFill/>
                    </a:ln>
                    <a:extLst>
                      <a:ext uri="{53640926-AAD7-44D8-BBD7-CCE9431645EC}">
                        <a14:shadowObscured xmlns:a14="http://schemas.microsoft.com/office/drawing/2010/main"/>
                      </a:ext>
                    </a:extLst>
                  </pic:spPr>
                </pic:pic>
              </a:graphicData>
            </a:graphic>
          </wp:inline>
        </w:drawing>
      </w:r>
    </w:p>
    <w:p w14:paraId="7CADD5E4" w14:textId="23F216B2" w:rsidR="00A55E81" w:rsidRPr="002322B7" w:rsidRDefault="005436B6" w:rsidP="00D53D03">
      <w:pPr>
        <w:pStyle w:val="Sourcesandnotes"/>
      </w:pPr>
      <w:r w:rsidRPr="002322B7">
        <w:rPr>
          <w:b/>
          <w:bCs/>
        </w:rPr>
        <w:t xml:space="preserve">Notes: </w:t>
      </w:r>
      <w:r w:rsidR="00301C88" w:rsidRPr="002322B7">
        <w:rPr>
          <w:b/>
          <w:bCs/>
        </w:rPr>
        <w:t>1.</w:t>
      </w:r>
      <w:r w:rsidR="00301C88" w:rsidRPr="002322B7">
        <w:t xml:space="preserve">  </w:t>
      </w:r>
      <w:r w:rsidR="00D53D03" w:rsidRPr="002322B7">
        <w:t xml:space="preserve">The energy and resources sector </w:t>
      </w:r>
      <w:r w:rsidR="00323E50" w:rsidRPr="002322B7">
        <w:t>include</w:t>
      </w:r>
      <w:r w:rsidR="00D53D03" w:rsidRPr="002322B7">
        <w:t xml:space="preserve"> the following codes from the UN Harmoni</w:t>
      </w:r>
      <w:r w:rsidR="0009323B" w:rsidRPr="002322B7">
        <w:t>s</w:t>
      </w:r>
      <w:r w:rsidR="00D53D03" w:rsidRPr="002322B7">
        <w:t xml:space="preserve">ed Commodity Classification: 26, 27, 28, 72, 74, 75, 76, 78, 79, 80, and 81. </w:t>
      </w:r>
      <w:r w:rsidR="00D53D03" w:rsidRPr="002322B7">
        <w:rPr>
          <w:b/>
          <w:bCs/>
        </w:rPr>
        <w:t xml:space="preserve">2. </w:t>
      </w:r>
      <w:r w:rsidR="00D53D03" w:rsidRPr="002322B7">
        <w:t xml:space="preserve">The number in brackets shows </w:t>
      </w:r>
      <w:r w:rsidR="007B0004" w:rsidRPr="002322B7">
        <w:t>the region</w:t>
      </w:r>
      <w:r w:rsidR="00D53D03" w:rsidRPr="002322B7">
        <w:t xml:space="preserve"> rank among</w:t>
      </w:r>
      <w:r w:rsidR="007B0004" w:rsidRPr="002322B7">
        <w:t>st</w:t>
      </w:r>
      <w:r w:rsidR="00D53D03" w:rsidRPr="002322B7">
        <w:t xml:space="preserve"> 95 </w:t>
      </w:r>
      <w:r w:rsidR="007B0004" w:rsidRPr="002322B7">
        <w:t>economies</w:t>
      </w:r>
      <w:r w:rsidR="00D53D03" w:rsidRPr="002322B7">
        <w:t>.</w:t>
      </w:r>
      <w:r w:rsidR="00977408" w:rsidRPr="002322B7">
        <w:t xml:space="preserve"> </w:t>
      </w:r>
      <w:r w:rsidR="00D53D03" w:rsidRPr="002322B7">
        <w:rPr>
          <w:b/>
          <w:bCs/>
        </w:rPr>
        <w:t>3.</w:t>
      </w:r>
      <w:r w:rsidR="00D53D03" w:rsidRPr="002322B7">
        <w:t xml:space="preserve"> Values are reported by the exporting country.</w:t>
      </w:r>
    </w:p>
    <w:p w14:paraId="1E5D3DAC" w14:textId="6EFD7089" w:rsidR="005436B6" w:rsidRPr="002322B7" w:rsidRDefault="005436B6" w:rsidP="00BF4146">
      <w:pPr>
        <w:pStyle w:val="Sourcesandnotes"/>
      </w:pPr>
      <w:r w:rsidRPr="002322B7">
        <w:rPr>
          <w:b/>
          <w:bCs/>
        </w:rPr>
        <w:t xml:space="preserve">Sources: </w:t>
      </w:r>
      <w:r w:rsidR="00A55E81" w:rsidRPr="002322B7">
        <w:t>United Nations</w:t>
      </w:r>
      <w:r w:rsidRPr="002322B7">
        <w:t>, 2024,</w:t>
      </w:r>
      <w:r w:rsidR="00A55E81" w:rsidRPr="002322B7">
        <w:t xml:space="preserve"> UN Comtrade </w:t>
      </w:r>
      <w:r w:rsidRPr="002322B7">
        <w:t xml:space="preserve">Trade </w:t>
      </w:r>
      <w:r w:rsidR="00625909" w:rsidRPr="002322B7">
        <w:t xml:space="preserve">Database, </w:t>
      </w:r>
      <w:r w:rsidRPr="002322B7">
        <w:t xml:space="preserve">data accessed </w:t>
      </w:r>
      <w:r w:rsidR="00625909" w:rsidRPr="002322B7">
        <w:t>4</w:t>
      </w:r>
      <w:r w:rsidRPr="002322B7">
        <w:t xml:space="preserve"> </w:t>
      </w:r>
      <w:r w:rsidR="00625909" w:rsidRPr="002322B7">
        <w:t>June</w:t>
      </w:r>
      <w:r w:rsidRPr="002322B7">
        <w:t xml:space="preserve"> 2024; </w:t>
      </w:r>
      <w:r w:rsidR="00A42F2F" w:rsidRPr="002322B7">
        <w:t xml:space="preserve">US Department of the Interior, 2024, Mineral Commodity Summaries; </w:t>
      </w:r>
      <w:r w:rsidRPr="002322B7">
        <w:t>Austrade.</w:t>
      </w:r>
    </w:p>
    <w:p w14:paraId="74CF0AB0" w14:textId="77777777" w:rsidR="00BF4146" w:rsidRPr="002322B7" w:rsidRDefault="00BF4146" w:rsidP="00BF4146">
      <w:pPr>
        <w:pStyle w:val="Sourcesandnotes"/>
      </w:pPr>
    </w:p>
    <w:p w14:paraId="5CB9D588" w14:textId="6A23180F" w:rsidR="000E07C3" w:rsidRPr="002322B7" w:rsidRDefault="000E07C3" w:rsidP="000E07C3">
      <w:pPr>
        <w:pStyle w:val="Heading-level2"/>
      </w:pPr>
      <w:bookmarkStart w:id="162" w:name="_Toc171500348"/>
      <w:r w:rsidRPr="002322B7">
        <w:lastRenderedPageBreak/>
        <w:t>Agrifood exports grow in global and premium markets</w:t>
      </w:r>
      <w:bookmarkEnd w:id="162"/>
    </w:p>
    <w:p w14:paraId="6041B9FD" w14:textId="25AA8CAB" w:rsidR="000E07C3" w:rsidRPr="002322B7" w:rsidRDefault="000E07C3" w:rsidP="003F1867">
      <w:pPr>
        <w:pStyle w:val="Body-copy"/>
        <w:rPr>
          <w:lang w:val="en-AU"/>
        </w:rPr>
      </w:pPr>
      <w:r w:rsidRPr="002322B7">
        <w:rPr>
          <w:lang w:val="en-AU"/>
        </w:rPr>
        <w:t>There is strong global demand for Australian produce</w:t>
      </w:r>
      <w:r w:rsidR="009472C4" w:rsidRPr="002322B7">
        <w:rPr>
          <w:lang w:val="en-AU"/>
        </w:rPr>
        <w:t xml:space="preserve">. The </w:t>
      </w:r>
      <w:r w:rsidRPr="002322B7">
        <w:rPr>
          <w:lang w:val="en-AU"/>
        </w:rPr>
        <w:t xml:space="preserve">value of our agrifood exports </w:t>
      </w:r>
      <w:r w:rsidR="009472C4" w:rsidRPr="002322B7">
        <w:rPr>
          <w:lang w:val="en-AU"/>
        </w:rPr>
        <w:t xml:space="preserve">is </w:t>
      </w:r>
      <w:r w:rsidRPr="002322B7">
        <w:rPr>
          <w:lang w:val="en-AU"/>
        </w:rPr>
        <w:t>forecast to reach A$72 billion in 2023-24</w:t>
      </w:r>
      <w:r w:rsidR="00D20BDF">
        <w:rPr>
          <w:lang w:val="en-AU"/>
        </w:rPr>
        <w:t xml:space="preserve"> with g</w:t>
      </w:r>
      <w:r w:rsidR="009472C4" w:rsidRPr="002322B7">
        <w:rPr>
          <w:lang w:val="en-AU"/>
        </w:rPr>
        <w:t xml:space="preserve">rowth </w:t>
      </w:r>
      <w:r w:rsidR="00994A02">
        <w:rPr>
          <w:lang w:val="en-AU"/>
        </w:rPr>
        <w:t>being</w:t>
      </w:r>
      <w:r w:rsidRPr="002322B7">
        <w:rPr>
          <w:lang w:val="en-AU"/>
        </w:rPr>
        <w:t xml:space="preserve"> supported by Australia’s efficient and tech-friendly farming industry. Around three-quarters of our agriculture exports come from a combination of beef </w:t>
      </w:r>
      <w:r w:rsidR="00947D9D" w:rsidRPr="002322B7">
        <w:rPr>
          <w:lang w:val="en-AU"/>
        </w:rPr>
        <w:t>(</w:t>
      </w:r>
      <w:r w:rsidRPr="002322B7">
        <w:rPr>
          <w:lang w:val="en-AU"/>
        </w:rPr>
        <w:t>which will likely top A$11.3 billion in 2023-24</w:t>
      </w:r>
      <w:r w:rsidR="00947D9D" w:rsidRPr="002322B7">
        <w:rPr>
          <w:lang w:val="en-AU"/>
        </w:rPr>
        <w:t>)</w:t>
      </w:r>
      <w:r w:rsidR="00372232">
        <w:rPr>
          <w:lang w:val="en-AU"/>
        </w:rPr>
        <w:t>,</w:t>
      </w:r>
      <w:r w:rsidRPr="002322B7">
        <w:rPr>
          <w:lang w:val="en-AU"/>
        </w:rPr>
        <w:t xml:space="preserve"> wheat, cotton, canola, sheep meat, sugar, barley, wool, forest products, wine, fruit, lentils, tree nuts, grain sorghum and cheese. Australia’s agrifood exports </w:t>
      </w:r>
      <w:r w:rsidR="00947D9D" w:rsidRPr="002322B7">
        <w:rPr>
          <w:lang w:val="en-AU"/>
        </w:rPr>
        <w:t>will</w:t>
      </w:r>
      <w:r w:rsidRPr="002322B7">
        <w:rPr>
          <w:lang w:val="en-AU"/>
        </w:rPr>
        <w:t xml:space="preserve"> continue </w:t>
      </w:r>
      <w:r w:rsidR="00947D9D" w:rsidRPr="002322B7">
        <w:rPr>
          <w:lang w:val="en-AU"/>
        </w:rPr>
        <w:t xml:space="preserve">to </w:t>
      </w:r>
      <w:r w:rsidRPr="002322B7">
        <w:rPr>
          <w:lang w:val="en-AU"/>
        </w:rPr>
        <w:t>benefit from</w:t>
      </w:r>
      <w:r w:rsidR="00947D9D" w:rsidRPr="002322B7">
        <w:rPr>
          <w:lang w:val="en-AU"/>
        </w:rPr>
        <w:t xml:space="preserve"> </w:t>
      </w:r>
      <w:r w:rsidRPr="002322B7">
        <w:rPr>
          <w:lang w:val="en-AU"/>
        </w:rPr>
        <w:t xml:space="preserve">growing middle class populations in </w:t>
      </w:r>
      <w:r w:rsidR="00843AE1" w:rsidRPr="002322B7">
        <w:rPr>
          <w:lang w:val="en-AU"/>
        </w:rPr>
        <w:t xml:space="preserve">Asia, including </w:t>
      </w:r>
      <w:r w:rsidRPr="002322B7">
        <w:rPr>
          <w:lang w:val="en-AU"/>
        </w:rPr>
        <w:t>Southeast Asia</w:t>
      </w:r>
      <w:r w:rsidR="00EB525C" w:rsidRPr="002322B7">
        <w:rPr>
          <w:lang w:val="en-AU"/>
        </w:rPr>
        <w:t xml:space="preserve">. </w:t>
      </w:r>
      <w:r w:rsidR="000A38CF">
        <w:rPr>
          <w:lang w:val="en-AU"/>
        </w:rPr>
        <w:t>C</w:t>
      </w:r>
      <w:r w:rsidR="00EB525C" w:rsidRPr="002322B7">
        <w:rPr>
          <w:lang w:val="en-AU"/>
        </w:rPr>
        <w:t xml:space="preserve">onsumers in these markets </w:t>
      </w:r>
      <w:r w:rsidR="00A03919">
        <w:rPr>
          <w:lang w:val="en-AU"/>
        </w:rPr>
        <w:t>will be increasingly</w:t>
      </w:r>
      <w:r w:rsidR="00EB525C" w:rsidRPr="002322B7">
        <w:rPr>
          <w:lang w:val="en-AU"/>
        </w:rPr>
        <w:t xml:space="preserve"> w</w:t>
      </w:r>
      <w:r w:rsidRPr="002322B7">
        <w:rPr>
          <w:lang w:val="en-AU"/>
        </w:rPr>
        <w:t xml:space="preserve">illing to pay a premium for </w:t>
      </w:r>
      <w:r w:rsidR="00EB525C" w:rsidRPr="002322B7">
        <w:rPr>
          <w:lang w:val="en-AU"/>
        </w:rPr>
        <w:t xml:space="preserve">Australia’s </w:t>
      </w:r>
      <w:r w:rsidRPr="002322B7">
        <w:rPr>
          <w:lang w:val="en-AU"/>
        </w:rPr>
        <w:t xml:space="preserve">high agricultural standards and clean, green produce. </w:t>
      </w:r>
    </w:p>
    <w:p w14:paraId="54891B37" w14:textId="0A2B9B4A" w:rsidR="000E07C3" w:rsidRDefault="000E07C3" w:rsidP="000E07C3">
      <w:pPr>
        <w:pStyle w:val="Caption"/>
        <w:rPr>
          <w:vertAlign w:val="superscript"/>
        </w:rPr>
      </w:pPr>
      <w:bookmarkStart w:id="163" w:name="_Toc171500393"/>
      <w:r w:rsidRPr="002322B7">
        <w:t xml:space="preserve">Figure </w:t>
      </w:r>
      <w:r w:rsidR="00CF16FA">
        <w:fldChar w:fldCharType="begin"/>
      </w:r>
      <w:r w:rsidR="00CF16FA">
        <w:instrText xml:space="preserve"> SEQ Figure \* ARABIC </w:instrText>
      </w:r>
      <w:r w:rsidR="00CF16FA">
        <w:fldChar w:fldCharType="separate"/>
      </w:r>
      <w:r w:rsidR="002459CF">
        <w:rPr>
          <w:noProof/>
        </w:rPr>
        <w:t>37</w:t>
      </w:r>
      <w:r w:rsidR="00CF16FA">
        <w:rPr>
          <w:noProof/>
        </w:rPr>
        <w:fldChar w:fldCharType="end"/>
      </w:r>
      <w:r w:rsidRPr="002322B7">
        <w:t xml:space="preserve"> – Australia’s major agricultural products, 2023–24</w:t>
      </w:r>
      <w:r w:rsidRPr="002322B7">
        <w:rPr>
          <w:vertAlign w:val="superscript"/>
        </w:rPr>
        <w:t>E</w:t>
      </w:r>
      <w:bookmarkEnd w:id="163"/>
    </w:p>
    <w:p w14:paraId="2AE5F3EF" w14:textId="328666A2" w:rsidR="000E07C3" w:rsidRPr="002322B7" w:rsidRDefault="00636CBA" w:rsidP="000E07C3">
      <w:r>
        <w:rPr>
          <w:noProof/>
        </w:rPr>
        <w:drawing>
          <wp:inline distT="0" distB="0" distL="0" distR="0" wp14:anchorId="74A021A9" wp14:editId="740C564D">
            <wp:extent cx="6336030" cy="4557395"/>
            <wp:effectExtent l="0" t="0" r="7620" b="0"/>
            <wp:docPr id="1222464549" name="Picture 47" descr="The figure has one graph and one table. &#10;The table shows Australia agrifood production in 2023-24 by commodity, while the graph plots Australian major agricultural exports by commodity.&#10;The table’s information (production) is: Cattle and calves² A$11.6 billion; Wheat A$10.1 billion; Fruit and nuts A$6.5 billion; Milk³ A$6.0 billion; Vegetables A$5.8 billion; Canola A$3.9 billion; Poultry A$3.8 billion; Nursery A$3.5 billion; Barley A$3.4 billion; Cotton lint⁴ A$3.0 billion; Lambs⁵ A$3.0 billion; Wool⁶ A$2.9 billion; Forestry products A$2.3 billion; Sugar⁷ A$2.2 billion; Pigs⁵ A$1.7 billion;  Total farm, fisheries and forestry products A$85.9 billion.&#10;The information in the graph ( exports) is: Beef A$11.3 billion; Wheat  A$9.7 billion; Cotton¹ A$4.5 billion; Canola A$3.8 billion; Sheep Meat A$3.3 billion; Sugar A$3.2 billion; Barley  A$3.0 billion; Wool A$3.0 billion; Forest exports A$2.9 billion; Wine A$1.9 billion; Fruit A$1.8 billion; Lentils A$1.5 billion; Tree nuts A$0.9 billion; Grain sorghum A$0.9 billion; and Cheese A$0.9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64549" name="Picture 47" descr="The figure has one graph and one table. &#10;The table shows Australia agrifood production in 2023-24 by commodity, while the graph plots Australian major agricultural exports by commodity.&#10;The table’s information (production) is: Cattle and calves² A$11.6 billion; Wheat A$10.1 billion; Fruit and nuts A$6.5 billion; Milk³ A$6.0 billion; Vegetables A$5.8 billion; Canola A$3.9 billion; Poultry A$3.8 billion; Nursery A$3.5 billion; Barley A$3.4 billion; Cotton lint⁴ A$3.0 billion; Lambs⁵ A$3.0 billion; Wool⁶ A$2.9 billion; Forestry products A$2.3 billion; Sugar⁷ A$2.2 billion; Pigs⁵ A$1.7 billion;  Total farm, fisheries and forestry products A$85.9 billion.&#10;The information in the graph ( exports) is: Beef A$11.3 billion; Wheat  A$9.7 billion; Cotton¹ A$4.5 billion; Canola A$3.8 billion; Sheep Meat A$3.3 billion; Sugar A$3.2 billion; Barley  A$3.0 billion; Wool A$3.0 billion; Forest exports A$2.9 billion; Wine A$1.9 billion; Fruit A$1.8 billion; Lentils A$1.5 billion; Tree nuts A$0.9 billion; Grain sorghum A$0.9 billion; and Cheese A$0.9 billion. "/>
                    <pic:cNvPicPr/>
                  </pic:nvPicPr>
                  <pic:blipFill rotWithShape="1">
                    <a:blip r:embed="rId54" cstate="hqprint">
                      <a:extLst>
                        <a:ext uri="{28A0092B-C50C-407E-A947-70E740481C1C}">
                          <a14:useLocalDpi xmlns:a14="http://schemas.microsoft.com/office/drawing/2010/main"/>
                        </a:ext>
                      </a:extLst>
                    </a:blip>
                    <a:srcRect/>
                    <a:stretch/>
                  </pic:blipFill>
                  <pic:spPr bwMode="auto">
                    <a:xfrm>
                      <a:off x="0" y="0"/>
                      <a:ext cx="6336030" cy="4557395"/>
                    </a:xfrm>
                    <a:prstGeom prst="rect">
                      <a:avLst/>
                    </a:prstGeom>
                    <a:ln>
                      <a:noFill/>
                    </a:ln>
                    <a:extLst>
                      <a:ext uri="{53640926-AAD7-44D8-BBD7-CCE9431645EC}">
                        <a14:shadowObscured xmlns:a14="http://schemas.microsoft.com/office/drawing/2010/main"/>
                      </a:ext>
                    </a:extLst>
                  </pic:spPr>
                </pic:pic>
              </a:graphicData>
            </a:graphic>
          </wp:inline>
        </w:drawing>
      </w:r>
    </w:p>
    <w:p w14:paraId="52CBE154" w14:textId="77777777" w:rsidR="000E07C3" w:rsidRPr="002322B7" w:rsidRDefault="000E07C3" w:rsidP="000E07C3">
      <w:pPr>
        <w:pStyle w:val="Sourcesandnotes"/>
      </w:pPr>
      <w:r w:rsidRPr="002322B7">
        <w:rPr>
          <w:b/>
          <w:bCs/>
        </w:rPr>
        <w:t xml:space="preserve">Notes: 1. </w:t>
      </w:r>
      <w:r w:rsidRPr="002322B7">
        <w:t xml:space="preserve">Excludes cotton waste and linters. </w:t>
      </w:r>
      <w:r w:rsidRPr="002322B7">
        <w:rPr>
          <w:b/>
          <w:bCs/>
        </w:rPr>
        <w:t xml:space="preserve">2. </w:t>
      </w:r>
      <w:r w:rsidRPr="002322B7">
        <w:t xml:space="preserve">Includes dairy cattle. Excludes skin and hide values. </w:t>
      </w:r>
      <w:r w:rsidRPr="002322B7">
        <w:rPr>
          <w:b/>
          <w:bCs/>
        </w:rPr>
        <w:t xml:space="preserve">3. </w:t>
      </w:r>
      <w:r w:rsidRPr="002322B7">
        <w:t xml:space="preserve">Milk intake by factories and valued at the farm gate. </w:t>
      </w:r>
      <w:r w:rsidRPr="002322B7">
        <w:rPr>
          <w:b/>
          <w:bCs/>
        </w:rPr>
        <w:t xml:space="preserve">4. </w:t>
      </w:r>
      <w:r w:rsidRPr="002322B7">
        <w:t xml:space="preserve">Value delivered to gin. </w:t>
      </w:r>
      <w:r w:rsidRPr="002322B7">
        <w:rPr>
          <w:b/>
          <w:bCs/>
        </w:rPr>
        <w:t>5.</w:t>
      </w:r>
      <w:r w:rsidRPr="002322B7">
        <w:t xml:space="preserve"> Excludes skin and hide values. </w:t>
      </w:r>
      <w:r w:rsidRPr="002322B7">
        <w:rPr>
          <w:b/>
          <w:bCs/>
        </w:rPr>
        <w:t xml:space="preserve">6. </w:t>
      </w:r>
      <w:r w:rsidRPr="002322B7">
        <w:t xml:space="preserve">Shorn, dead and fellmongered wool, and wool exported on skins. </w:t>
      </w:r>
      <w:r w:rsidRPr="002322B7">
        <w:rPr>
          <w:b/>
          <w:bCs/>
        </w:rPr>
        <w:t xml:space="preserve">7. </w:t>
      </w:r>
      <w:r w:rsidRPr="002322B7">
        <w:t>Cut for crushing.</w:t>
      </w:r>
    </w:p>
    <w:p w14:paraId="7290349F" w14:textId="77777777" w:rsidR="000E07C3" w:rsidRPr="002322B7" w:rsidRDefault="000E07C3" w:rsidP="000E07C3">
      <w:pPr>
        <w:pStyle w:val="Sourcesandnotes"/>
      </w:pPr>
      <w:r w:rsidRPr="002322B7">
        <w:rPr>
          <w:b/>
          <w:bCs/>
        </w:rPr>
        <w:t xml:space="preserve">E </w:t>
      </w:r>
      <w:r w:rsidRPr="002322B7">
        <w:t xml:space="preserve">= ABARES estimate. </w:t>
      </w:r>
    </w:p>
    <w:p w14:paraId="213FA130" w14:textId="77777777" w:rsidR="000E07C3" w:rsidRPr="002322B7" w:rsidRDefault="000E07C3" w:rsidP="000E07C3">
      <w:pPr>
        <w:pStyle w:val="Sourcesandnotes"/>
      </w:pPr>
      <w:r w:rsidRPr="002322B7">
        <w:rPr>
          <w:b/>
          <w:bCs/>
        </w:rPr>
        <w:t xml:space="preserve">Sources: </w:t>
      </w:r>
      <w:r w:rsidRPr="002322B7">
        <w:t xml:space="preserve">Australian Bureau of Agricultural and Resource Economics and Sciences, 2024, Agricultural commodities – Statistical Tables 13 and 17; Austrade. </w:t>
      </w:r>
    </w:p>
    <w:p w14:paraId="7C60F7AC" w14:textId="77777777" w:rsidR="000E07C3" w:rsidRPr="002322B7" w:rsidRDefault="000E07C3" w:rsidP="000E07C3"/>
    <w:p w14:paraId="2F0A7061" w14:textId="77777777" w:rsidR="000E07C3" w:rsidRPr="002322B7" w:rsidRDefault="000E07C3" w:rsidP="000E07C3">
      <w:pPr>
        <w:pStyle w:val="Heading-level2"/>
      </w:pPr>
      <w:bookmarkStart w:id="164" w:name="_Toc171500349"/>
      <w:r w:rsidRPr="002322B7">
        <w:lastRenderedPageBreak/>
        <w:t>A growth market for international travellers</w:t>
      </w:r>
      <w:bookmarkEnd w:id="164"/>
    </w:p>
    <w:p w14:paraId="20E6E533" w14:textId="0E5A9563" w:rsidR="000E07C3" w:rsidRPr="002322B7" w:rsidRDefault="000E07C3" w:rsidP="003F1867">
      <w:pPr>
        <w:pStyle w:val="Body-copy"/>
        <w:rPr>
          <w:lang w:val="en-AU"/>
        </w:rPr>
      </w:pPr>
      <w:r w:rsidRPr="002322B7">
        <w:rPr>
          <w:lang w:val="en-AU"/>
        </w:rPr>
        <w:t>Australia offers unique and diverse tourism experiences</w:t>
      </w:r>
      <w:r w:rsidR="00B34907" w:rsidRPr="002322B7">
        <w:rPr>
          <w:lang w:val="en-AU"/>
        </w:rPr>
        <w:t xml:space="preserve">. </w:t>
      </w:r>
      <w:r w:rsidRPr="7C1EEDFB">
        <w:rPr>
          <w:lang w:val="en-AU"/>
        </w:rPr>
        <w:t>G</w:t>
      </w:r>
      <w:r w:rsidR="00B34907" w:rsidRPr="7C1EEDFB">
        <w:rPr>
          <w:lang w:val="en-AU"/>
        </w:rPr>
        <w:t>lobal</w:t>
      </w:r>
      <w:r w:rsidR="00B34907" w:rsidRPr="002322B7">
        <w:rPr>
          <w:lang w:val="en-AU"/>
        </w:rPr>
        <w:t xml:space="preserve"> travellers come to Australia to</w:t>
      </w:r>
      <w:r w:rsidRPr="002322B7">
        <w:rPr>
          <w:lang w:val="en-AU"/>
        </w:rPr>
        <w:t xml:space="preserve"> div</w:t>
      </w:r>
      <w:r w:rsidR="00B34907" w:rsidRPr="002322B7">
        <w:rPr>
          <w:lang w:val="en-AU"/>
        </w:rPr>
        <w:t>e</w:t>
      </w:r>
      <w:r w:rsidRPr="002322B7">
        <w:rPr>
          <w:lang w:val="en-AU"/>
        </w:rPr>
        <w:t xml:space="preserve"> on the Great Barrier Reef</w:t>
      </w:r>
      <w:r w:rsidR="1A0BAF93" w:rsidRPr="1B97CB81">
        <w:rPr>
          <w:lang w:val="en-AU"/>
        </w:rPr>
        <w:t>,</w:t>
      </w:r>
      <w:r w:rsidRPr="002322B7">
        <w:rPr>
          <w:lang w:val="en-AU"/>
        </w:rPr>
        <w:t xml:space="preserve"> explor</w:t>
      </w:r>
      <w:r w:rsidR="00B34907" w:rsidRPr="002322B7">
        <w:rPr>
          <w:lang w:val="en-AU"/>
        </w:rPr>
        <w:t>e</w:t>
      </w:r>
      <w:r w:rsidRPr="002322B7">
        <w:rPr>
          <w:lang w:val="en-AU"/>
        </w:rPr>
        <w:t xml:space="preserve"> remote areas</w:t>
      </w:r>
      <w:r w:rsidR="00C447CF" w:rsidRPr="002322B7">
        <w:rPr>
          <w:lang w:val="en-AU"/>
        </w:rPr>
        <w:t xml:space="preserve">, </w:t>
      </w:r>
      <w:r w:rsidR="25C469EE" w:rsidRPr="1B97CB81">
        <w:rPr>
          <w:lang w:val="en-AU"/>
        </w:rPr>
        <w:t xml:space="preserve">and </w:t>
      </w:r>
      <w:r w:rsidR="25C469EE" w:rsidRPr="73C61BB2">
        <w:rPr>
          <w:lang w:val="en-AU"/>
        </w:rPr>
        <w:t xml:space="preserve">interact with </w:t>
      </w:r>
      <w:r w:rsidR="44EEB6C7" w:rsidRPr="73C61BB2">
        <w:rPr>
          <w:lang w:val="en-AU"/>
        </w:rPr>
        <w:t xml:space="preserve">one </w:t>
      </w:r>
      <w:r w:rsidRPr="002322B7">
        <w:rPr>
          <w:lang w:val="en-AU"/>
        </w:rPr>
        <w:t xml:space="preserve">of the world's oldest </w:t>
      </w:r>
      <w:r w:rsidRPr="74754265">
        <w:rPr>
          <w:lang w:val="en-AU"/>
        </w:rPr>
        <w:t>continu</w:t>
      </w:r>
      <w:r w:rsidR="39DEF2D9" w:rsidRPr="74754265">
        <w:rPr>
          <w:lang w:val="en-AU"/>
        </w:rPr>
        <w:t>ing</w:t>
      </w:r>
      <w:r w:rsidRPr="002322B7">
        <w:rPr>
          <w:lang w:val="en-AU"/>
        </w:rPr>
        <w:t xml:space="preserve"> cultures.</w:t>
      </w:r>
      <w:r w:rsidR="00C447CF" w:rsidRPr="002322B7">
        <w:rPr>
          <w:lang w:val="en-AU"/>
        </w:rPr>
        <w:t xml:space="preserve"> </w:t>
      </w:r>
      <w:r w:rsidRPr="00112689">
        <w:rPr>
          <w:lang w:val="en-AU"/>
        </w:rPr>
        <w:t>Tourism Research Australia (TRA)¹ predicts international visitor spending will return to pre-COVID levels by 2024. Total visitor spending</w:t>
      </w:r>
      <w:r w:rsidR="00C447CF" w:rsidRPr="00112689">
        <w:rPr>
          <w:lang w:val="en-AU"/>
        </w:rPr>
        <w:t xml:space="preserve"> –</w:t>
      </w:r>
      <w:r w:rsidRPr="00112689">
        <w:rPr>
          <w:lang w:val="en-AU"/>
        </w:rPr>
        <w:t xml:space="preserve"> which includes domestic tourism</w:t>
      </w:r>
      <w:r w:rsidR="00C447CF" w:rsidRPr="00112689">
        <w:rPr>
          <w:lang w:val="en-AU"/>
        </w:rPr>
        <w:t xml:space="preserve"> –</w:t>
      </w:r>
      <w:r w:rsidRPr="00112689">
        <w:rPr>
          <w:lang w:val="en-AU"/>
        </w:rPr>
        <w:t xml:space="preserve"> is expected to grow by an average rate of 6% per year to reach A$223 billion by 2028.</w:t>
      </w:r>
      <w:r w:rsidR="00C447CF" w:rsidRPr="00112689">
        <w:rPr>
          <w:lang w:val="en-AU"/>
        </w:rPr>
        <w:t xml:space="preserve"> </w:t>
      </w:r>
      <w:r w:rsidR="358AC807" w:rsidRPr="718FFD6D">
        <w:rPr>
          <w:lang w:val="en-AU"/>
        </w:rPr>
        <w:t>C</w:t>
      </w:r>
      <w:r w:rsidRPr="718FFD6D">
        <w:rPr>
          <w:lang w:val="en-AU"/>
        </w:rPr>
        <w:t>onfidence</w:t>
      </w:r>
      <w:r w:rsidRPr="00112689">
        <w:rPr>
          <w:lang w:val="en-AU"/>
        </w:rPr>
        <w:t xml:space="preserve"> in </w:t>
      </w:r>
      <w:r w:rsidR="0FE1949C" w:rsidRPr="718FFD6D">
        <w:rPr>
          <w:lang w:val="en-AU"/>
        </w:rPr>
        <w:t xml:space="preserve">the future of </w:t>
      </w:r>
      <w:r w:rsidRPr="00112689">
        <w:rPr>
          <w:lang w:val="en-AU"/>
        </w:rPr>
        <w:t>Australian tourism remains strong. TRA reports that the tourism investment pipeline</w:t>
      </w:r>
      <w:r w:rsidR="00697FFA">
        <w:rPr>
          <w:lang w:val="en-AU"/>
        </w:rPr>
        <w:t>²</w:t>
      </w:r>
      <w:r w:rsidRPr="00112689">
        <w:rPr>
          <w:lang w:val="en-AU"/>
        </w:rPr>
        <w:t xml:space="preserve"> exceeded A$56 billion in 2022-23</w:t>
      </w:r>
      <w:r w:rsidR="00F26BBB" w:rsidRPr="00112689">
        <w:rPr>
          <w:lang w:val="en-AU"/>
        </w:rPr>
        <w:t>,</w:t>
      </w:r>
      <w:r w:rsidRPr="00112689">
        <w:rPr>
          <w:lang w:val="en-AU"/>
        </w:rPr>
        <w:t xml:space="preserve"> marking a 27% increase from the previous year.</w:t>
      </w:r>
      <w:r w:rsidR="00697FFA">
        <w:rPr>
          <w:lang w:val="en-AU"/>
        </w:rPr>
        <w:t>³</w:t>
      </w:r>
    </w:p>
    <w:p w14:paraId="54F3A925" w14:textId="49077A07" w:rsidR="000E07C3" w:rsidRPr="002322B7" w:rsidRDefault="000E07C3" w:rsidP="000E07C3">
      <w:pPr>
        <w:pStyle w:val="Caption"/>
      </w:pPr>
      <w:bookmarkStart w:id="165" w:name="_Toc171500394"/>
      <w:r w:rsidRPr="002322B7">
        <w:t xml:space="preserve">Figure </w:t>
      </w:r>
      <w:r w:rsidR="00CF16FA">
        <w:fldChar w:fldCharType="begin"/>
      </w:r>
      <w:r w:rsidR="00CF16FA">
        <w:instrText xml:space="preserve"> SEQ Figure \* ARABIC </w:instrText>
      </w:r>
      <w:r w:rsidR="00CF16FA">
        <w:fldChar w:fldCharType="separate"/>
      </w:r>
      <w:r w:rsidR="002459CF">
        <w:rPr>
          <w:noProof/>
        </w:rPr>
        <w:t>38</w:t>
      </w:r>
      <w:r w:rsidR="00CF16FA">
        <w:rPr>
          <w:noProof/>
        </w:rPr>
        <w:fldChar w:fldCharType="end"/>
      </w:r>
      <w:r w:rsidRPr="002322B7">
        <w:t xml:space="preserve"> – Tourism investment pipeline</w:t>
      </w:r>
      <w:r w:rsidR="00514053" w:rsidRPr="002322B7">
        <w:t>²</w:t>
      </w:r>
      <w:r w:rsidRPr="002322B7">
        <w:t xml:space="preserve"> in Australia by sector and financial year</w:t>
      </w:r>
      <w:r w:rsidR="00514053">
        <w:t>³</w:t>
      </w:r>
      <w:bookmarkEnd w:id="165"/>
    </w:p>
    <w:p w14:paraId="22ACE58E" w14:textId="284A10F2" w:rsidR="000E07C3" w:rsidRPr="002322B7" w:rsidRDefault="007005D4" w:rsidP="000E07C3">
      <w:r>
        <w:rPr>
          <w:noProof/>
        </w:rPr>
        <w:drawing>
          <wp:inline distT="0" distB="0" distL="0" distR="0" wp14:anchorId="3C78D4E1" wp14:editId="6CAE414F">
            <wp:extent cx="6336030" cy="2885440"/>
            <wp:effectExtent l="0" t="0" r="7620" b="0"/>
            <wp:docPr id="1688354080" name="Picture 48" descr="The graph plots Tourism investment pipeline in Australia by sector and financial year.&#10;In 2021-22, the investment was A$16.7 billion in the aviation sector, $16.1 billion in the arts, recreational and business services and $11.5 billion for accomodation, a total of $44.3 billion. &#10;In 2022-23, the investment was A$18.8 billion in the aviation sector, $25.1 billion in the arts, recreational and business services and $12.2 billion for accommodation, a total of $56.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80" name="Picture 48" descr="The graph plots Tourism investment pipeline in Australia by sector and financial year.&#10;In 2021-22, the investment was A$16.7 billion in the aviation sector, $16.1 billion in the arts, recreational and business services and $11.5 billion for accomodation, a total of $44.3 billion. &#10;In 2022-23, the investment was A$18.8 billion in the aviation sector, $25.1 billion in the arts, recreational and business services and $12.2 billion for accommodation, a total of $56.1 billion. "/>
                    <pic:cNvPicPr/>
                  </pic:nvPicPr>
                  <pic:blipFill rotWithShape="1">
                    <a:blip r:embed="rId55" cstate="hqprint">
                      <a:extLst>
                        <a:ext uri="{28A0092B-C50C-407E-A947-70E740481C1C}">
                          <a14:useLocalDpi xmlns:a14="http://schemas.microsoft.com/office/drawing/2010/main"/>
                        </a:ext>
                      </a:extLst>
                    </a:blip>
                    <a:srcRect/>
                    <a:stretch/>
                  </pic:blipFill>
                  <pic:spPr bwMode="auto">
                    <a:xfrm>
                      <a:off x="0" y="0"/>
                      <a:ext cx="6336030" cy="2885440"/>
                    </a:xfrm>
                    <a:prstGeom prst="rect">
                      <a:avLst/>
                    </a:prstGeom>
                    <a:ln>
                      <a:noFill/>
                    </a:ln>
                    <a:extLst>
                      <a:ext uri="{53640926-AAD7-44D8-BBD7-CCE9431645EC}">
                        <a14:shadowObscured xmlns:a14="http://schemas.microsoft.com/office/drawing/2010/main"/>
                      </a:ext>
                    </a:extLst>
                  </pic:spPr>
                </pic:pic>
              </a:graphicData>
            </a:graphic>
          </wp:inline>
        </w:drawing>
      </w:r>
    </w:p>
    <w:p w14:paraId="5DEF4EC1" w14:textId="431A8933" w:rsidR="000E07C3" w:rsidRPr="002322B7" w:rsidRDefault="000E07C3" w:rsidP="000E07C3">
      <w:pPr>
        <w:pStyle w:val="Sourcesandnotes"/>
      </w:pPr>
      <w:r w:rsidRPr="002322B7">
        <w:rPr>
          <w:b/>
          <w:bCs/>
        </w:rPr>
        <w:t xml:space="preserve">Notes: 1. </w:t>
      </w:r>
      <w:r w:rsidRPr="002322B7">
        <w:t xml:space="preserve">Tourism Research Australia (TRA) is Australia’s official provider of tourism statistics. </w:t>
      </w:r>
      <w:r w:rsidRPr="002322B7">
        <w:rPr>
          <w:b/>
          <w:bCs/>
        </w:rPr>
        <w:t>2.</w:t>
      </w:r>
      <w:r w:rsidRPr="002322B7">
        <w:t xml:space="preserve"> </w:t>
      </w:r>
      <w:r w:rsidR="00281932">
        <w:t>Includes domestic and foreign investment</w:t>
      </w:r>
      <w:r w:rsidR="000F7E65">
        <w:t>.</w:t>
      </w:r>
      <w:r w:rsidR="00EB2FF3">
        <w:t xml:space="preserve"> </w:t>
      </w:r>
      <w:r w:rsidR="00514053" w:rsidRPr="00514053">
        <w:rPr>
          <w:b/>
          <w:bCs/>
        </w:rPr>
        <w:t>3.</w:t>
      </w:r>
      <w:r w:rsidR="00514053">
        <w:t xml:space="preserve"> </w:t>
      </w:r>
      <w:r w:rsidRPr="002322B7">
        <w:t>The financial year starts in July and ends in June.</w:t>
      </w:r>
    </w:p>
    <w:p w14:paraId="40AD179B" w14:textId="77777777" w:rsidR="000E07C3" w:rsidRPr="002322B7" w:rsidRDefault="000E07C3" w:rsidP="000E07C3">
      <w:pPr>
        <w:pStyle w:val="Sourcesandnotes"/>
      </w:pPr>
      <w:r w:rsidRPr="002322B7">
        <w:rPr>
          <w:b/>
          <w:bCs/>
        </w:rPr>
        <w:t>Source:</w:t>
      </w:r>
      <w:r w:rsidRPr="002322B7">
        <w:t xml:space="preserve"> Tourism Research Australia, 2024, Tourism Investment Monitor 2022–23.</w:t>
      </w:r>
    </w:p>
    <w:p w14:paraId="4B6F78D0" w14:textId="77777777" w:rsidR="000E07C3" w:rsidRPr="002322B7" w:rsidRDefault="000E07C3" w:rsidP="000E07C3"/>
    <w:p w14:paraId="1B780F1F" w14:textId="1CE53F98" w:rsidR="00FD46E2" w:rsidRPr="002322B7" w:rsidRDefault="00FD46E2">
      <w:pPr>
        <w:spacing w:before="0" w:after="160" w:line="259" w:lineRule="auto"/>
      </w:pPr>
      <w:r w:rsidRPr="002322B7">
        <w:br w:type="page"/>
      </w:r>
    </w:p>
    <w:p w14:paraId="2FFBD423" w14:textId="6FCADE20" w:rsidR="00E7720E" w:rsidRPr="002322B7" w:rsidRDefault="00D17F07" w:rsidP="00D17F07">
      <w:pPr>
        <w:pStyle w:val="Heading-level1"/>
      </w:pPr>
      <w:bookmarkStart w:id="166" w:name="_Toc171500350"/>
      <w:r w:rsidRPr="002322B7">
        <w:lastRenderedPageBreak/>
        <w:t xml:space="preserve">Chapter </w:t>
      </w:r>
      <w:r w:rsidR="00B166AB" w:rsidRPr="002322B7">
        <w:t>5</w:t>
      </w:r>
      <w:r w:rsidRPr="002322B7">
        <w:t xml:space="preserve"> – </w:t>
      </w:r>
      <w:r w:rsidR="00EA759A" w:rsidRPr="002322B7">
        <w:t>High</w:t>
      </w:r>
      <w:r w:rsidR="00640EA4" w:rsidRPr="002322B7">
        <w:t xml:space="preserve"> </w:t>
      </w:r>
      <w:r w:rsidR="00EA759A" w:rsidRPr="002322B7">
        <w:t>quality of life</w:t>
      </w:r>
      <w:bookmarkEnd w:id="166"/>
    </w:p>
    <w:p w14:paraId="6CD0B5CF" w14:textId="2B33120F" w:rsidR="00FD46E2" w:rsidRPr="002322B7" w:rsidRDefault="00E7720E" w:rsidP="00E7720E">
      <w:pPr>
        <w:pStyle w:val="Heading-level3"/>
      </w:pPr>
      <w:bookmarkStart w:id="167" w:name="_Toc170769082"/>
      <w:bookmarkStart w:id="168" w:name="_Toc171500351"/>
      <w:r w:rsidRPr="002322B7">
        <w:t>A</w:t>
      </w:r>
      <w:r w:rsidR="009D498E" w:rsidRPr="002322B7">
        <w:t>n attractive</w:t>
      </w:r>
      <w:r w:rsidR="00EA759A" w:rsidRPr="002322B7">
        <w:t xml:space="preserve"> place to live </w:t>
      </w:r>
      <w:r w:rsidRPr="002322B7">
        <w:t>and</w:t>
      </w:r>
      <w:r w:rsidR="00EA759A" w:rsidRPr="002322B7">
        <w:t xml:space="preserve"> work</w:t>
      </w:r>
      <w:bookmarkEnd w:id="167"/>
      <w:bookmarkEnd w:id="168"/>
    </w:p>
    <w:p w14:paraId="379D6EAA" w14:textId="4581680A" w:rsidR="005B4733" w:rsidRPr="002322B7" w:rsidRDefault="005B4733" w:rsidP="003F1867">
      <w:pPr>
        <w:pStyle w:val="Body-copy"/>
        <w:rPr>
          <w:lang w:val="en-AU"/>
        </w:rPr>
      </w:pPr>
      <w:r w:rsidRPr="002322B7">
        <w:rPr>
          <w:lang w:val="en-AU"/>
        </w:rPr>
        <w:t>Our cities are not only well-organi</w:t>
      </w:r>
      <w:r w:rsidR="00053944" w:rsidRPr="002322B7">
        <w:rPr>
          <w:lang w:val="en-AU"/>
        </w:rPr>
        <w:t>s</w:t>
      </w:r>
      <w:r w:rsidRPr="002322B7">
        <w:rPr>
          <w:lang w:val="en-AU"/>
        </w:rPr>
        <w:t xml:space="preserve">ed but also </w:t>
      </w:r>
      <w:r w:rsidR="00DA0AFC">
        <w:rPr>
          <w:lang w:val="en-AU"/>
        </w:rPr>
        <w:t>compare favourably</w:t>
      </w:r>
      <w:r w:rsidR="0005200E">
        <w:rPr>
          <w:lang w:val="en-AU"/>
        </w:rPr>
        <w:t xml:space="preserve"> with major cities in the Asian region</w:t>
      </w:r>
      <w:r w:rsidR="00937978">
        <w:rPr>
          <w:lang w:val="en-AU"/>
        </w:rPr>
        <w:t xml:space="preserve"> on costs</w:t>
      </w:r>
      <w:r w:rsidR="0002131A">
        <w:rPr>
          <w:lang w:val="en-AU"/>
        </w:rPr>
        <w:t>,</w:t>
      </w:r>
      <w:r w:rsidR="0005200E">
        <w:rPr>
          <w:lang w:val="en-AU"/>
        </w:rPr>
        <w:t xml:space="preserve"> </w:t>
      </w:r>
      <w:r w:rsidR="0098040C">
        <w:rPr>
          <w:lang w:val="en-AU"/>
        </w:rPr>
        <w:t>according to</w:t>
      </w:r>
      <w:r w:rsidRPr="002322B7">
        <w:rPr>
          <w:lang w:val="en-AU"/>
        </w:rPr>
        <w:t xml:space="preserve"> Mercer's 2022 Cost of Living Index. </w:t>
      </w:r>
    </w:p>
    <w:p w14:paraId="7CC32506" w14:textId="630715A6" w:rsidR="005B4733" w:rsidRPr="002322B7" w:rsidRDefault="005B4733" w:rsidP="003F1867">
      <w:pPr>
        <w:pStyle w:val="Body-copy"/>
        <w:rPr>
          <w:lang w:val="en-AU"/>
        </w:rPr>
      </w:pPr>
      <w:r w:rsidRPr="4FEBF9DC">
        <w:rPr>
          <w:lang w:val="en-AU"/>
        </w:rPr>
        <w:t xml:space="preserve">Australia is a </w:t>
      </w:r>
      <w:r w:rsidR="00BA1F05" w:rsidRPr="4FEBF9DC">
        <w:rPr>
          <w:lang w:val="en-AU"/>
        </w:rPr>
        <w:t>prosper</w:t>
      </w:r>
      <w:r w:rsidR="0055080F" w:rsidRPr="4FEBF9DC">
        <w:rPr>
          <w:lang w:val="en-AU"/>
        </w:rPr>
        <w:t>ous</w:t>
      </w:r>
      <w:r w:rsidRPr="4FEBF9DC">
        <w:rPr>
          <w:lang w:val="en-AU"/>
        </w:rPr>
        <w:t xml:space="preserve"> society </w:t>
      </w:r>
      <w:r w:rsidR="00942B18" w:rsidRPr="4FEBF9DC">
        <w:rPr>
          <w:lang w:val="en-AU"/>
        </w:rPr>
        <w:t xml:space="preserve">where wealth is </w:t>
      </w:r>
      <w:r w:rsidR="00010CDC" w:rsidRPr="4FEBF9DC">
        <w:rPr>
          <w:lang w:val="en-AU"/>
        </w:rPr>
        <w:t xml:space="preserve">more </w:t>
      </w:r>
      <w:r w:rsidRPr="4FEBF9DC">
        <w:rPr>
          <w:lang w:val="en-AU"/>
        </w:rPr>
        <w:t>evenly distributed</w:t>
      </w:r>
      <w:r w:rsidR="005E73F6" w:rsidRPr="4FEBF9DC">
        <w:rPr>
          <w:lang w:val="en-AU"/>
        </w:rPr>
        <w:t xml:space="preserve"> when compared with our peers</w:t>
      </w:r>
      <w:r w:rsidRPr="4FEBF9DC">
        <w:rPr>
          <w:lang w:val="en-AU"/>
        </w:rPr>
        <w:t>. We have one of the highest levels of median wealth globally, with nearly 6 million households earning annual incomes exceeding US$75,000 from a population nearing 27 million. This number is expected to rise to 7 million by 2030 as our economy outpace</w:t>
      </w:r>
      <w:r w:rsidR="00FF5BC9" w:rsidRPr="4FEBF9DC">
        <w:rPr>
          <w:lang w:val="en-AU"/>
        </w:rPr>
        <w:t>s</w:t>
      </w:r>
      <w:r w:rsidRPr="4FEBF9DC">
        <w:rPr>
          <w:lang w:val="en-AU"/>
        </w:rPr>
        <w:t xml:space="preserve"> our peers.</w:t>
      </w:r>
    </w:p>
    <w:p w14:paraId="67BDEF3B" w14:textId="00F254A7" w:rsidR="005B4733" w:rsidRPr="002322B7" w:rsidRDefault="005B4733" w:rsidP="003F1867">
      <w:pPr>
        <w:pStyle w:val="Body-copy"/>
        <w:rPr>
          <w:lang w:val="en-AU"/>
        </w:rPr>
      </w:pPr>
      <w:r w:rsidRPr="4FEBF9DC">
        <w:rPr>
          <w:lang w:val="en-AU"/>
        </w:rPr>
        <w:t>Australia's top-notch healthcare system is renowned for excellent public and private hospitals, world-class medical professionals</w:t>
      </w:r>
      <w:r w:rsidR="003352AB" w:rsidRPr="4FEBF9DC">
        <w:rPr>
          <w:lang w:val="en-AU"/>
        </w:rPr>
        <w:t>, and effective public health programs</w:t>
      </w:r>
      <w:r w:rsidRPr="4FEBF9DC">
        <w:rPr>
          <w:lang w:val="en-AU"/>
        </w:rPr>
        <w:t>. Government spending on healthcare reached US$131 billion in 2023</w:t>
      </w:r>
      <w:r w:rsidR="00D74004" w:rsidRPr="4FEBF9DC">
        <w:rPr>
          <w:lang w:val="en-AU"/>
        </w:rPr>
        <w:t xml:space="preserve">. This places </w:t>
      </w:r>
      <w:r w:rsidRPr="4FEBF9DC">
        <w:rPr>
          <w:lang w:val="en-AU"/>
        </w:rPr>
        <w:t xml:space="preserve">Australia </w:t>
      </w:r>
      <w:r w:rsidR="00C74021" w:rsidRPr="4FEBF9DC">
        <w:rPr>
          <w:lang w:val="en-AU"/>
        </w:rPr>
        <w:t>as</w:t>
      </w:r>
      <w:r w:rsidR="00D74004" w:rsidRPr="4FEBF9DC">
        <w:rPr>
          <w:lang w:val="en-AU"/>
        </w:rPr>
        <w:t xml:space="preserve"> the </w:t>
      </w:r>
      <w:r w:rsidR="00815147" w:rsidRPr="4FEBF9DC">
        <w:rPr>
          <w:lang w:val="en-AU"/>
        </w:rPr>
        <w:t>5</w:t>
      </w:r>
      <w:r w:rsidR="00C74021" w:rsidRPr="4FEBF9DC">
        <w:rPr>
          <w:vertAlign w:val="superscript"/>
          <w:lang w:val="en-AU"/>
        </w:rPr>
        <w:t>th</w:t>
      </w:r>
      <w:r w:rsidR="00C74021" w:rsidRPr="4FEBF9DC">
        <w:rPr>
          <w:lang w:val="en-AU"/>
        </w:rPr>
        <w:t>-highest</w:t>
      </w:r>
      <w:r w:rsidR="00D74004" w:rsidRPr="4FEBF9DC">
        <w:rPr>
          <w:lang w:val="en-AU"/>
        </w:rPr>
        <w:t xml:space="preserve"> globally in terms of healthcare spending per person</w:t>
      </w:r>
      <w:r w:rsidR="00C74021" w:rsidRPr="4FEBF9DC">
        <w:rPr>
          <w:lang w:val="en-AU"/>
        </w:rPr>
        <w:t>,</w:t>
      </w:r>
      <w:r w:rsidR="006A4E32" w:rsidRPr="4FEBF9DC">
        <w:rPr>
          <w:lang w:val="en-AU"/>
        </w:rPr>
        <w:t xml:space="preserve"> and 6</w:t>
      </w:r>
      <w:r w:rsidR="00C74021" w:rsidRPr="4FEBF9DC">
        <w:rPr>
          <w:vertAlign w:val="superscript"/>
          <w:lang w:val="en-AU"/>
        </w:rPr>
        <w:t>th</w:t>
      </w:r>
      <w:r w:rsidRPr="4FEBF9DC">
        <w:rPr>
          <w:lang w:val="en-AU"/>
        </w:rPr>
        <w:t>-</w:t>
      </w:r>
      <w:r w:rsidR="00C74021" w:rsidRPr="4FEBF9DC">
        <w:rPr>
          <w:lang w:val="en-AU"/>
        </w:rPr>
        <w:t>highest</w:t>
      </w:r>
      <w:r w:rsidR="006A4E32" w:rsidRPr="4FEBF9DC">
        <w:rPr>
          <w:lang w:val="en-AU"/>
        </w:rPr>
        <w:t xml:space="preserve"> in absolute terms</w:t>
      </w:r>
      <w:r w:rsidR="00D74004" w:rsidRPr="4FEBF9DC">
        <w:rPr>
          <w:lang w:val="en-AU"/>
        </w:rPr>
        <w:t xml:space="preserve">. </w:t>
      </w:r>
    </w:p>
    <w:p w14:paraId="055F9365" w14:textId="474E000F" w:rsidR="005E4A57" w:rsidRPr="002322B7" w:rsidRDefault="0079522A" w:rsidP="003F1867">
      <w:pPr>
        <w:pStyle w:val="Body-copy"/>
        <w:rPr>
          <w:lang w:val="en-AU"/>
        </w:rPr>
      </w:pPr>
      <w:r w:rsidRPr="002322B7">
        <w:rPr>
          <w:lang w:val="en-AU"/>
        </w:rPr>
        <w:t>Above</w:t>
      </w:r>
      <w:r w:rsidR="00E21BF7" w:rsidRPr="002322B7">
        <w:rPr>
          <w:lang w:val="en-AU"/>
        </w:rPr>
        <w:t xml:space="preserve"> all, Australians are happy people. In 2023, the World Happiness Index ranked Australia as the happiest country in the Asia and Oceania regions. Many believe that the Happiness Index is a more comprehensive indicator than traditional economic measurements like GDP. This is because it takes a holistic approach to measur</w:t>
      </w:r>
      <w:r w:rsidR="00AE15C7" w:rsidRPr="002322B7">
        <w:rPr>
          <w:lang w:val="en-AU"/>
        </w:rPr>
        <w:t>ing</w:t>
      </w:r>
      <w:r w:rsidR="00E21BF7" w:rsidRPr="002322B7">
        <w:rPr>
          <w:lang w:val="en-AU"/>
        </w:rPr>
        <w:t xml:space="preserve"> well-being</w:t>
      </w:r>
      <w:r w:rsidR="00AE15C7" w:rsidRPr="002322B7">
        <w:rPr>
          <w:lang w:val="en-AU"/>
        </w:rPr>
        <w:t>. This Happiness Index</w:t>
      </w:r>
      <w:r w:rsidR="00E21BF7" w:rsidRPr="002322B7">
        <w:rPr>
          <w:lang w:val="en-AU"/>
        </w:rPr>
        <w:t xml:space="preserve"> </w:t>
      </w:r>
      <w:r w:rsidR="00C92047" w:rsidRPr="002322B7">
        <w:rPr>
          <w:lang w:val="en-AU"/>
        </w:rPr>
        <w:t>is affected by</w:t>
      </w:r>
      <w:r w:rsidR="00E21BF7" w:rsidRPr="002322B7">
        <w:rPr>
          <w:lang w:val="en-AU"/>
        </w:rPr>
        <w:t xml:space="preserve"> factors such as mental and physical health, social connections, income inequality and environmental quality. </w:t>
      </w:r>
    </w:p>
    <w:p w14:paraId="6B01B2C6" w14:textId="67736A21" w:rsidR="005B4733" w:rsidRPr="002322B7" w:rsidRDefault="005E4A57" w:rsidP="003F1867">
      <w:pPr>
        <w:pStyle w:val="Body-copy"/>
        <w:rPr>
          <w:lang w:val="en-AU"/>
        </w:rPr>
      </w:pPr>
      <w:r w:rsidRPr="002322B7">
        <w:rPr>
          <w:lang w:val="en-AU"/>
        </w:rPr>
        <w:t xml:space="preserve">Today, </w:t>
      </w:r>
      <w:r w:rsidR="00E21BF7" w:rsidRPr="002322B7">
        <w:rPr>
          <w:lang w:val="en-AU"/>
        </w:rPr>
        <w:t>Australia's lifestyle, attitudes</w:t>
      </w:r>
      <w:r w:rsidR="00314616" w:rsidRPr="002322B7">
        <w:rPr>
          <w:lang w:val="en-AU"/>
        </w:rPr>
        <w:t xml:space="preserve"> and</w:t>
      </w:r>
      <w:r w:rsidR="00E21BF7" w:rsidRPr="002322B7">
        <w:rPr>
          <w:lang w:val="en-AU"/>
        </w:rPr>
        <w:t xml:space="preserve"> values</w:t>
      </w:r>
      <w:r w:rsidR="00314616" w:rsidRPr="002322B7">
        <w:rPr>
          <w:lang w:val="en-AU"/>
        </w:rPr>
        <w:t xml:space="preserve"> </w:t>
      </w:r>
      <w:r w:rsidR="00E21BF7" w:rsidRPr="002322B7">
        <w:rPr>
          <w:lang w:val="en-AU"/>
        </w:rPr>
        <w:t xml:space="preserve">make </w:t>
      </w:r>
      <w:r w:rsidR="00314616" w:rsidRPr="002322B7">
        <w:rPr>
          <w:lang w:val="en-AU"/>
        </w:rPr>
        <w:t>us</w:t>
      </w:r>
      <w:r w:rsidR="00E21BF7" w:rsidRPr="002322B7">
        <w:rPr>
          <w:lang w:val="en-AU"/>
        </w:rPr>
        <w:t xml:space="preserve"> an</w:t>
      </w:r>
      <w:r w:rsidRPr="002322B7">
        <w:rPr>
          <w:lang w:val="en-AU"/>
        </w:rPr>
        <w:t xml:space="preserve"> </w:t>
      </w:r>
      <w:r w:rsidR="00E21BF7" w:rsidRPr="002322B7">
        <w:rPr>
          <w:lang w:val="en-AU"/>
        </w:rPr>
        <w:t xml:space="preserve">attractive destination for global companies </w:t>
      </w:r>
      <w:r w:rsidR="00314616" w:rsidRPr="002322B7">
        <w:rPr>
          <w:lang w:val="en-AU"/>
        </w:rPr>
        <w:t>that want to</w:t>
      </w:r>
      <w:r w:rsidR="00E21BF7" w:rsidRPr="002322B7">
        <w:rPr>
          <w:lang w:val="en-AU"/>
        </w:rPr>
        <w:t xml:space="preserve"> relocate employees and their families to the Asia-Pacific region.</w:t>
      </w:r>
    </w:p>
    <w:p w14:paraId="76D0CA63" w14:textId="77777777" w:rsidR="000460F4" w:rsidRPr="002322B7" w:rsidRDefault="000460F4" w:rsidP="000460F4">
      <w:pPr>
        <w:pStyle w:val="Heading-level2"/>
      </w:pPr>
      <w:bookmarkStart w:id="169" w:name="_Toc171500352"/>
      <w:bookmarkStart w:id="170" w:name="_Toc165471175"/>
      <w:r w:rsidRPr="002322B7">
        <w:lastRenderedPageBreak/>
        <w:t>Top marks for talent attraction</w:t>
      </w:r>
      <w:bookmarkEnd w:id="169"/>
    </w:p>
    <w:p w14:paraId="42F140EF" w14:textId="40F79632" w:rsidR="000460F4" w:rsidRPr="002322B7" w:rsidRDefault="000460F4" w:rsidP="003F1867">
      <w:pPr>
        <w:pStyle w:val="Body-copy"/>
        <w:rPr>
          <w:lang w:val="en-AU"/>
        </w:rPr>
      </w:pPr>
      <w:r w:rsidRPr="002322B7">
        <w:rPr>
          <w:lang w:val="en-AU"/>
        </w:rPr>
        <w:t xml:space="preserve">Australia is a magnet for talented workers. The </w:t>
      </w:r>
      <w:r w:rsidR="00DE3B12" w:rsidRPr="00DE3B12">
        <w:rPr>
          <w:lang w:val="en-AU"/>
        </w:rPr>
        <w:t>OECD</w:t>
      </w:r>
      <w:r w:rsidRPr="002322B7">
        <w:rPr>
          <w:lang w:val="en-AU"/>
        </w:rPr>
        <w:t xml:space="preserve"> ranks Australia 4</w:t>
      </w:r>
      <w:r w:rsidRPr="002322B7">
        <w:rPr>
          <w:vertAlign w:val="superscript"/>
          <w:lang w:val="en-AU"/>
        </w:rPr>
        <w:t>th</w:t>
      </w:r>
      <w:r w:rsidRPr="002322B7">
        <w:rPr>
          <w:lang w:val="en-AU"/>
        </w:rPr>
        <w:t xml:space="preserve"> out of 38 countries when it comes to talent attractiveness</w:t>
      </w:r>
      <w:r w:rsidR="00C35ECC">
        <w:rPr>
          <w:lang w:val="en-AU"/>
        </w:rPr>
        <w:t>.</w:t>
      </w:r>
      <w:r w:rsidR="00F92A03">
        <w:rPr>
          <w:lang w:val="en-AU"/>
        </w:rPr>
        <w:t xml:space="preserve"> </w:t>
      </w:r>
      <w:r w:rsidR="00C35ECC">
        <w:rPr>
          <w:lang w:val="en-AU"/>
        </w:rPr>
        <w:t>Th</w:t>
      </w:r>
      <w:r w:rsidR="003E3A4A">
        <w:rPr>
          <w:lang w:val="en-AU"/>
        </w:rPr>
        <w:t>is</w:t>
      </w:r>
      <w:r w:rsidR="00C35ECC">
        <w:rPr>
          <w:lang w:val="en-AU"/>
        </w:rPr>
        <w:t xml:space="preserve"> index </w:t>
      </w:r>
      <w:r w:rsidR="00F92A03">
        <w:rPr>
          <w:lang w:val="en-AU"/>
        </w:rPr>
        <w:t>takes into account</w:t>
      </w:r>
      <w:r w:rsidRPr="002322B7">
        <w:rPr>
          <w:lang w:val="en-AU"/>
        </w:rPr>
        <w:t xml:space="preserve"> variables such as career opportunities, income, tax structure, skills development prospects, inclusivity and quality of life. These </w:t>
      </w:r>
      <w:r w:rsidR="00D41A6E" w:rsidRPr="002322B7">
        <w:rPr>
          <w:lang w:val="en-AU"/>
        </w:rPr>
        <w:t>qualities set Australia apart</w:t>
      </w:r>
      <w:r w:rsidR="006261E9">
        <w:rPr>
          <w:lang w:val="en-AU"/>
        </w:rPr>
        <w:t xml:space="preserve">, </w:t>
      </w:r>
      <w:r w:rsidRPr="002322B7">
        <w:rPr>
          <w:lang w:val="en-AU"/>
        </w:rPr>
        <w:t>mak</w:t>
      </w:r>
      <w:r w:rsidR="006261E9">
        <w:rPr>
          <w:lang w:val="en-AU"/>
        </w:rPr>
        <w:t>ing</w:t>
      </w:r>
      <w:r w:rsidRPr="002322B7">
        <w:rPr>
          <w:lang w:val="en-AU"/>
        </w:rPr>
        <w:t xml:space="preserve"> it easy for investors to attract and retain the best global professionals</w:t>
      </w:r>
      <w:r w:rsidR="00766F36" w:rsidRPr="002322B7">
        <w:rPr>
          <w:lang w:val="en-AU"/>
        </w:rPr>
        <w:t xml:space="preserve"> and </w:t>
      </w:r>
      <w:r w:rsidRPr="002322B7">
        <w:rPr>
          <w:lang w:val="en-AU"/>
        </w:rPr>
        <w:t>ensur</w:t>
      </w:r>
      <w:r w:rsidR="00766F36" w:rsidRPr="002322B7">
        <w:rPr>
          <w:lang w:val="en-AU"/>
        </w:rPr>
        <w:t>e</w:t>
      </w:r>
      <w:r w:rsidRPr="002322B7">
        <w:rPr>
          <w:lang w:val="en-AU"/>
        </w:rPr>
        <w:t xml:space="preserve"> strong support for investment plan</w:t>
      </w:r>
      <w:r w:rsidR="00182941">
        <w:rPr>
          <w:lang w:val="en-AU"/>
        </w:rPr>
        <w:t>s</w:t>
      </w:r>
      <w:r w:rsidRPr="002322B7">
        <w:rPr>
          <w:lang w:val="en-AU"/>
        </w:rPr>
        <w:t xml:space="preserve"> in Australia.</w:t>
      </w:r>
    </w:p>
    <w:p w14:paraId="3C54EC2A" w14:textId="251805F5" w:rsidR="000460F4" w:rsidRDefault="000460F4" w:rsidP="000460F4">
      <w:pPr>
        <w:pStyle w:val="Caption"/>
      </w:pPr>
      <w:bookmarkStart w:id="171" w:name="_Toc171500395"/>
      <w:r w:rsidRPr="002322B7">
        <w:t xml:space="preserve">Figure </w:t>
      </w:r>
      <w:r w:rsidR="00CF16FA">
        <w:fldChar w:fldCharType="begin"/>
      </w:r>
      <w:r w:rsidR="00CF16FA">
        <w:instrText xml:space="preserve"> SEQ Figure \* ARABIC </w:instrText>
      </w:r>
      <w:r w:rsidR="00CF16FA">
        <w:fldChar w:fldCharType="separate"/>
      </w:r>
      <w:r w:rsidR="002459CF">
        <w:rPr>
          <w:noProof/>
        </w:rPr>
        <w:t>39</w:t>
      </w:r>
      <w:r w:rsidR="00CF16FA">
        <w:rPr>
          <w:noProof/>
        </w:rPr>
        <w:fldChar w:fldCharType="end"/>
      </w:r>
      <w:r w:rsidRPr="002322B7">
        <w:t xml:space="preserve"> – Talent attractiveness</w:t>
      </w:r>
      <w:bookmarkEnd w:id="171"/>
    </w:p>
    <w:p w14:paraId="2D5D1E21" w14:textId="66F114AF" w:rsidR="00B276D6" w:rsidRDefault="00B276D6" w:rsidP="00B276D6">
      <w:r>
        <w:rPr>
          <w:noProof/>
        </w:rPr>
        <w:drawing>
          <wp:inline distT="0" distB="0" distL="0" distR="0" wp14:anchorId="49B36653" wp14:editId="594950D1">
            <wp:extent cx="6336030" cy="4284345"/>
            <wp:effectExtent l="0" t="0" r="7620" b="1905"/>
            <wp:docPr id="1605593908" name="Picture 49" descr="The bar chart shows the Talent Attractiveness Index in 2023. The chart shows the economy, its global ranking, and its talent attractiveness value according to the index. The figures are:&#10;New Zealand (ranked #1) index value 0.64; Sweden (ranked #2) index value 0.62; Switzerland (ranked #3) index value 0.62; Australia (ranked #4) index value 0.62; Norway (ranked #5) index value 0.61; Luxembourg (ranked #6) index value 0.59; UK (ranked #7) index value 0.59; US (ranked #8) index value 0.58; Netherlands (ranked #9) index value 0.57; Canada (ranked #10) index value 0.57; Finland (ranked #14) index value 0.55; Germany (ranked #15) index value 0.55; France (ranked #17) index value 0.54; Japan (ranked #22) index value 0.5; Spain (ranked #23) index value 0.5; Korea (ranked #25) index value 0.5; Italy (ranked #31) index value 0.44; Mexico (ranked #36) index value 0.36; Türkiye (ranked #37) index value 0.33; and Costa Rica (ranked #38) index value 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3908" name="Picture 49" descr="The bar chart shows the Talent Attractiveness Index in 2023. The chart shows the economy, its global ranking, and its talent attractiveness value according to the index. The figures are:&#10;New Zealand (ranked #1) index value 0.64; Sweden (ranked #2) index value 0.62; Switzerland (ranked #3) index value 0.62; Australia (ranked #4) index value 0.62; Norway (ranked #5) index value 0.61; Luxembourg (ranked #6) index value 0.59; UK (ranked #7) index value 0.59; US (ranked #8) index value 0.58; Netherlands (ranked #9) index value 0.57; Canada (ranked #10) index value 0.57; Finland (ranked #14) index value 0.55; Germany (ranked #15) index value 0.55; France (ranked #17) index value 0.54; Japan (ranked #22) index value 0.5; Spain (ranked #23) index value 0.5; Korea (ranked #25) index value 0.5; Italy (ranked #31) index value 0.44; Mexico (ranked #36) index value 0.36; Türkiye (ranked #37) index value 0.33; and Costa Rica (ranked #38) index value 0.32.&#10;"/>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6336030" cy="4284345"/>
                    </a:xfrm>
                    <a:prstGeom prst="rect">
                      <a:avLst/>
                    </a:prstGeom>
                    <a:ln>
                      <a:noFill/>
                    </a:ln>
                    <a:extLst>
                      <a:ext uri="{53640926-AAD7-44D8-BBD7-CCE9431645EC}">
                        <a14:shadowObscured xmlns:a14="http://schemas.microsoft.com/office/drawing/2010/main"/>
                      </a:ext>
                    </a:extLst>
                  </pic:spPr>
                </pic:pic>
              </a:graphicData>
            </a:graphic>
          </wp:inline>
        </w:drawing>
      </w:r>
    </w:p>
    <w:p w14:paraId="6A169429" w14:textId="77777777" w:rsidR="000460F4" w:rsidRPr="002322B7" w:rsidRDefault="000460F4" w:rsidP="000460F4">
      <w:pPr>
        <w:pStyle w:val="Sourcesandnotes"/>
      </w:pPr>
      <w:r w:rsidRPr="002322B7">
        <w:rPr>
          <w:b/>
          <w:bCs/>
        </w:rPr>
        <w:t xml:space="preserve">Note: </w:t>
      </w:r>
      <w:r w:rsidRPr="002322B7">
        <w:t>The number in brackets indicates the economy’s ranking across 38 economies.</w:t>
      </w:r>
    </w:p>
    <w:p w14:paraId="7F3EE4F9" w14:textId="46D71CBD" w:rsidR="000460F4" w:rsidRPr="002322B7" w:rsidRDefault="000460F4" w:rsidP="000460F4">
      <w:pPr>
        <w:pStyle w:val="Sourcesandnotes"/>
      </w:pPr>
      <w:r w:rsidRPr="002322B7">
        <w:rPr>
          <w:b/>
          <w:bCs/>
        </w:rPr>
        <w:t xml:space="preserve">Sources: </w:t>
      </w:r>
      <w:r w:rsidR="00DE3B12" w:rsidRPr="00DE3B12">
        <w:t xml:space="preserve"> Organisation for Economic Co-operation and Development</w:t>
      </w:r>
      <w:r w:rsidRPr="002322B7">
        <w:t xml:space="preserve">, 2024, </w:t>
      </w:r>
      <w:r w:rsidR="009958B8" w:rsidRPr="002322B7">
        <w:t>d</w:t>
      </w:r>
      <w:r w:rsidRPr="002322B7">
        <w:t>ata provided by the International Migration Division of the OECD; Austrade.</w:t>
      </w:r>
    </w:p>
    <w:p w14:paraId="2AE31CDE" w14:textId="77777777" w:rsidR="000460F4" w:rsidRPr="002322B7" w:rsidRDefault="000460F4" w:rsidP="000460F4">
      <w:pPr>
        <w:pStyle w:val="Sourcesandnotes"/>
      </w:pPr>
    </w:p>
    <w:p w14:paraId="207C8733" w14:textId="77777777" w:rsidR="00F54396" w:rsidRPr="002322B7" w:rsidRDefault="00F54396" w:rsidP="00F54396">
      <w:pPr>
        <w:pStyle w:val="Heading-level2"/>
      </w:pPr>
      <w:bookmarkStart w:id="172" w:name="_Toc171500353"/>
      <w:r w:rsidRPr="002322B7">
        <w:lastRenderedPageBreak/>
        <w:t>Australia's dynamic cities</w:t>
      </w:r>
      <w:bookmarkEnd w:id="170"/>
      <w:bookmarkEnd w:id="172"/>
    </w:p>
    <w:p w14:paraId="645B6AF2" w14:textId="4D63ED9A" w:rsidR="00F54396" w:rsidRPr="002322B7" w:rsidRDefault="00F54396" w:rsidP="003F1867">
      <w:pPr>
        <w:pStyle w:val="Body-copy"/>
        <w:rPr>
          <w:lang w:val="en-AU"/>
        </w:rPr>
      </w:pPr>
      <w:bookmarkStart w:id="173" w:name="_Hlk164834304"/>
      <w:r w:rsidRPr="002322B7">
        <w:rPr>
          <w:lang w:val="en-AU"/>
        </w:rPr>
        <w:t>Australia</w:t>
      </w:r>
      <w:r w:rsidR="000D2F44" w:rsidRPr="002322B7">
        <w:rPr>
          <w:lang w:val="en-AU"/>
        </w:rPr>
        <w:t>’s</w:t>
      </w:r>
      <w:r w:rsidRPr="002322B7">
        <w:rPr>
          <w:lang w:val="en-AU"/>
        </w:rPr>
        <w:t xml:space="preserve"> lifestyle cities</w:t>
      </w:r>
      <w:r w:rsidR="000D2F44" w:rsidRPr="002322B7">
        <w:rPr>
          <w:lang w:val="en-AU"/>
        </w:rPr>
        <w:t xml:space="preserve"> are a </w:t>
      </w:r>
      <w:r w:rsidR="00E930A1" w:rsidRPr="002322B7">
        <w:rPr>
          <w:lang w:val="en-AU"/>
        </w:rPr>
        <w:t>source of competitive advantage among investment destinations</w:t>
      </w:r>
      <w:r w:rsidRPr="002322B7">
        <w:rPr>
          <w:lang w:val="en-AU"/>
        </w:rPr>
        <w:t xml:space="preserve">. Our </w:t>
      </w:r>
      <w:r w:rsidR="00A15149" w:rsidRPr="002322B7">
        <w:rPr>
          <w:lang w:val="en-AU"/>
        </w:rPr>
        <w:t>clean, safe and well organised</w:t>
      </w:r>
      <w:r w:rsidR="00A15149">
        <w:rPr>
          <w:lang w:val="en-AU"/>
        </w:rPr>
        <w:t xml:space="preserve"> </w:t>
      </w:r>
      <w:r w:rsidRPr="002322B7">
        <w:rPr>
          <w:lang w:val="en-AU"/>
        </w:rPr>
        <w:t>urban centres</w:t>
      </w:r>
      <w:r w:rsidR="00A15149">
        <w:rPr>
          <w:lang w:val="en-AU"/>
        </w:rPr>
        <w:t>, as well as our</w:t>
      </w:r>
      <w:r w:rsidRPr="002322B7">
        <w:rPr>
          <w:lang w:val="en-AU"/>
        </w:rPr>
        <w:t xml:space="preserve"> </w:t>
      </w:r>
      <w:r w:rsidR="00A15149" w:rsidRPr="002322B7">
        <w:rPr>
          <w:lang w:val="en-AU"/>
        </w:rPr>
        <w:t>relaxed, outdoor lifestyle</w:t>
      </w:r>
      <w:r w:rsidRPr="002322B7">
        <w:rPr>
          <w:lang w:val="en-AU"/>
        </w:rPr>
        <w:t xml:space="preserve"> are</w:t>
      </w:r>
      <w:r w:rsidR="00A15149">
        <w:rPr>
          <w:lang w:val="en-AU"/>
        </w:rPr>
        <w:t xml:space="preserve"> </w:t>
      </w:r>
      <w:r w:rsidR="00784328">
        <w:rPr>
          <w:lang w:val="en-AU"/>
        </w:rPr>
        <w:t>ideal for</w:t>
      </w:r>
      <w:r w:rsidRPr="002322B7">
        <w:rPr>
          <w:lang w:val="en-AU"/>
        </w:rPr>
        <w:t xml:space="preserve"> </w:t>
      </w:r>
      <w:r w:rsidR="00A15149">
        <w:rPr>
          <w:lang w:val="en-AU"/>
        </w:rPr>
        <w:t xml:space="preserve">solo migrants and </w:t>
      </w:r>
      <w:r w:rsidRPr="002322B7">
        <w:rPr>
          <w:lang w:val="en-AU"/>
        </w:rPr>
        <w:t>executives who bring their families to Australia</w:t>
      </w:r>
      <w:bookmarkEnd w:id="173"/>
      <w:r w:rsidRPr="002322B7">
        <w:rPr>
          <w:lang w:val="en-AU"/>
        </w:rPr>
        <w:t>. Best of all, our prosperity delivers a high</w:t>
      </w:r>
      <w:r w:rsidR="008E0DE2" w:rsidRPr="002322B7">
        <w:rPr>
          <w:lang w:val="en-AU"/>
        </w:rPr>
        <w:t xml:space="preserve"> </w:t>
      </w:r>
      <w:r w:rsidRPr="002322B7">
        <w:rPr>
          <w:lang w:val="en-AU"/>
        </w:rPr>
        <w:t>standard of livin</w:t>
      </w:r>
      <w:r w:rsidR="00D03C2C" w:rsidRPr="002322B7">
        <w:rPr>
          <w:lang w:val="en-AU"/>
        </w:rPr>
        <w:t>g – without</w:t>
      </w:r>
      <w:r w:rsidRPr="002322B7">
        <w:rPr>
          <w:lang w:val="en-AU"/>
        </w:rPr>
        <w:t xml:space="preserve"> making us a high-cost country. Mercer's 2022 Cost of Living Index reports that Australia’s state capitals are generally more affordable than major cities in the Asia region. The fact that our cities are family-friendly and affordable makes Australia a top choice when investors are looking </w:t>
      </w:r>
      <w:r w:rsidR="00FA2CE7" w:rsidRPr="002322B7">
        <w:rPr>
          <w:lang w:val="en-AU"/>
        </w:rPr>
        <w:t xml:space="preserve">to relocate </w:t>
      </w:r>
      <w:r w:rsidRPr="002322B7">
        <w:rPr>
          <w:lang w:val="en-AU"/>
        </w:rPr>
        <w:t xml:space="preserve">employees. </w:t>
      </w:r>
    </w:p>
    <w:p w14:paraId="2222B855" w14:textId="4F9C1F37" w:rsidR="00F54396" w:rsidRDefault="00F54396" w:rsidP="00F54396">
      <w:pPr>
        <w:pStyle w:val="Caption"/>
      </w:pPr>
      <w:bookmarkStart w:id="174" w:name="_Toc165471226"/>
      <w:bookmarkStart w:id="175" w:name="_Toc171500396"/>
      <w:r w:rsidRPr="002322B7">
        <w:t xml:space="preserve">Figure </w:t>
      </w:r>
      <w:r w:rsidR="00CF16FA">
        <w:fldChar w:fldCharType="begin"/>
      </w:r>
      <w:r w:rsidR="00CF16FA">
        <w:instrText xml:space="preserve"> SEQ Figure \* ARABIC </w:instrText>
      </w:r>
      <w:r w:rsidR="00CF16FA">
        <w:fldChar w:fldCharType="separate"/>
      </w:r>
      <w:r w:rsidR="002459CF">
        <w:rPr>
          <w:noProof/>
        </w:rPr>
        <w:t>40</w:t>
      </w:r>
      <w:r w:rsidR="00CF16FA">
        <w:rPr>
          <w:noProof/>
        </w:rPr>
        <w:fldChar w:fldCharType="end"/>
      </w:r>
      <w:r w:rsidRPr="002322B7">
        <w:t xml:space="preserve"> – Cost of living: Global </w:t>
      </w:r>
      <w:r w:rsidR="00ED6064">
        <w:t>c</w:t>
      </w:r>
      <w:r w:rsidRPr="002322B7">
        <w:t>ity rankings, 2023</w:t>
      </w:r>
      <w:bookmarkEnd w:id="174"/>
      <w:bookmarkEnd w:id="175"/>
    </w:p>
    <w:p w14:paraId="2906565E" w14:textId="77777777" w:rsidR="00F54396" w:rsidRPr="002322B7" w:rsidRDefault="00F54396" w:rsidP="00F54396">
      <w:r w:rsidRPr="002322B7">
        <w:rPr>
          <w:noProof/>
        </w:rPr>
        <w:drawing>
          <wp:inline distT="0" distB="0" distL="0" distR="0" wp14:anchorId="6C756D0B" wp14:editId="0548EA18">
            <wp:extent cx="6299200" cy="3783330"/>
            <wp:effectExtent l="0" t="0" r="6350" b="7620"/>
            <wp:docPr id="2014778593" name="Picture 1" descr="The image has a map and a table, both showing the cost of living in selected cities. The image is based on the 2023 global rankings in the Mercer cost of living index. &#10;The map shows the Asian region. It contains the following information (city then rank): Hong Kong SAR # 1; Singapore # 2; Tokyo # 19; Beijing # 13; Shanghai # 12; Shenzhen # 20; Seoul # 16; Taipei # 57; Dubai # 18; Sydney # 56; Melbourne # 71; Brisbane # 82; Perth # 107; Dhaka # 154; Adelaide # 106; Canberra # 94; Bangkok # 105; Manila # 133; Mumbai # 147; Hanoi # 156; and New Delhi # 169.&#10;The table contain other global rankings, which are located outside the region shown in the map: Zurich, Switzerland ranked #3; New York City, US ranked #6; Los Angeles, US ranked #11; San Francisco, US ranked #14; London, UK ranked #17; Dubai, UAE ranked #18; Paris, France ranked #35; Munich, Germany ranked #38; Buenos Aires, Argentina ranked #45; Lagos, Nigeria ranked #47; Milan, Italy ranked #49; and Toronto, Canada ranke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8593" name="Picture 1" descr="The image has a map and a table, both showing the cost of living in selected cities. The image is based on the 2023 global rankings in the Mercer cost of living index. &#10;The map shows the Asian region. It contains the following information (city then rank): Hong Kong SAR # 1; Singapore # 2; Tokyo # 19; Beijing # 13; Shanghai # 12; Shenzhen # 20; Seoul # 16; Taipei # 57; Dubai # 18; Sydney # 56; Melbourne # 71; Brisbane # 82; Perth # 107; Dhaka # 154; Adelaide # 106; Canberra # 94; Bangkok # 105; Manila # 133; Mumbai # 147; Hanoi # 156; and New Delhi # 169.&#10;The table contain other global rankings, which are located outside the region shown in the map: Zurich, Switzerland ranked #3; New York City, US ranked #6; Los Angeles, US ranked #11; San Francisco, US ranked #14; London, UK ranked #17; Dubai, UAE ranked #18; Paris, France ranked #35; Munich, Germany ranked #38; Buenos Aires, Argentina ranked #45; Lagos, Nigeria ranked #47; Milan, Italy ranked #49; and Toronto, Canada ranked #90."/>
                    <pic:cNvPicPr/>
                  </pic:nvPicPr>
                  <pic:blipFill rotWithShape="1">
                    <a:blip r:embed="rId57" cstate="hqprint">
                      <a:extLst>
                        <a:ext uri="{28A0092B-C50C-407E-A947-70E740481C1C}">
                          <a14:useLocalDpi xmlns:a14="http://schemas.microsoft.com/office/drawing/2010/main"/>
                        </a:ext>
                      </a:extLst>
                    </a:blip>
                    <a:srcRect/>
                    <a:stretch/>
                  </pic:blipFill>
                  <pic:spPr bwMode="auto">
                    <a:xfrm>
                      <a:off x="0" y="0"/>
                      <a:ext cx="6299200" cy="3783330"/>
                    </a:xfrm>
                    <a:prstGeom prst="rect">
                      <a:avLst/>
                    </a:prstGeom>
                    <a:ln>
                      <a:noFill/>
                    </a:ln>
                    <a:extLst>
                      <a:ext uri="{53640926-AAD7-44D8-BBD7-CCE9431645EC}">
                        <a14:shadowObscured xmlns:a14="http://schemas.microsoft.com/office/drawing/2010/main"/>
                      </a:ext>
                    </a:extLst>
                  </pic:spPr>
                </pic:pic>
              </a:graphicData>
            </a:graphic>
          </wp:inline>
        </w:drawing>
      </w:r>
    </w:p>
    <w:p w14:paraId="732C248B" w14:textId="77777777" w:rsidR="00F54396" w:rsidRPr="002322B7" w:rsidRDefault="00F54396" w:rsidP="00F54396">
      <w:pPr>
        <w:pStyle w:val="Sourcesandnotes"/>
      </w:pPr>
      <w:r w:rsidRPr="002322B7">
        <w:rPr>
          <w:b/>
          <w:bCs/>
        </w:rPr>
        <w:t>Notes: 1.</w:t>
      </w:r>
      <w:r w:rsidRPr="002322B7">
        <w:t xml:space="preserve"> The Mercer Cost of Living Index measures the cost of sending an employee overseas. The index covers more than 200 goods and services, in addition to currency fluctuations, cost inflation and accommodation instability. If a country lacks infrastructure or public services, the index reflects the costs of additional compensation a company may need to provide to their employees. This includes the cost of providing security. Australian cities are cost-effective for expatriates owing to high quality infrastructure and public services. </w:t>
      </w:r>
      <w:r w:rsidRPr="002322B7">
        <w:rPr>
          <w:b/>
          <w:bCs/>
        </w:rPr>
        <w:t>2.</w:t>
      </w:r>
      <w:r w:rsidRPr="002322B7">
        <w:t xml:space="preserve"> A higher ranking means a higher cost of living. For example, Hong Kong has the highest cost of living across the 227 cities. </w:t>
      </w:r>
    </w:p>
    <w:p w14:paraId="7F82E4E0" w14:textId="77777777" w:rsidR="00F54396" w:rsidRPr="002322B7" w:rsidRDefault="00F54396" w:rsidP="00F54396">
      <w:pPr>
        <w:pStyle w:val="Sourcesandnotes"/>
      </w:pPr>
      <w:r w:rsidRPr="002322B7">
        <w:rPr>
          <w:b/>
          <w:bCs/>
        </w:rPr>
        <w:t>Sources:</w:t>
      </w:r>
      <w:r w:rsidRPr="002322B7">
        <w:t xml:space="preserve"> Mercer, 2024, Cost of Living Index; Austrade.</w:t>
      </w:r>
    </w:p>
    <w:p w14:paraId="5B93534B" w14:textId="77777777" w:rsidR="00F54396" w:rsidRPr="002322B7" w:rsidRDefault="00F54396" w:rsidP="00F54396"/>
    <w:p w14:paraId="291FBF6E" w14:textId="77777777" w:rsidR="003C30ED" w:rsidRPr="002322B7" w:rsidRDefault="003C30ED" w:rsidP="003C30ED"/>
    <w:p w14:paraId="41FFAF6F" w14:textId="1EF979E9" w:rsidR="003C30ED" w:rsidRPr="002322B7" w:rsidRDefault="003C30ED" w:rsidP="003C30ED">
      <w:pPr>
        <w:pStyle w:val="Heading-level2"/>
      </w:pPr>
      <w:bookmarkStart w:id="176" w:name="_Toc165471170"/>
      <w:bookmarkStart w:id="177" w:name="_Toc171500354"/>
      <w:r w:rsidRPr="002322B7">
        <w:lastRenderedPageBreak/>
        <w:t>A nation of high-income households</w:t>
      </w:r>
      <w:bookmarkEnd w:id="176"/>
      <w:bookmarkEnd w:id="177"/>
    </w:p>
    <w:p w14:paraId="08FA1250" w14:textId="41A0235A" w:rsidR="003C30ED" w:rsidRPr="002322B7" w:rsidRDefault="003C30ED" w:rsidP="003F1867">
      <w:pPr>
        <w:pStyle w:val="Body-copy"/>
        <w:rPr>
          <w:lang w:val="en-AU"/>
        </w:rPr>
      </w:pPr>
      <w:r w:rsidRPr="4FEBF9DC">
        <w:rPr>
          <w:lang w:val="en-AU"/>
        </w:rPr>
        <w:t>Australian households have a high level of disposable income</w:t>
      </w:r>
      <w:r w:rsidR="00F46C1B" w:rsidRPr="4FEBF9DC">
        <w:rPr>
          <w:lang w:val="en-AU"/>
        </w:rPr>
        <w:t xml:space="preserve">. The </w:t>
      </w:r>
      <w:r w:rsidRPr="4FEBF9DC">
        <w:rPr>
          <w:lang w:val="en-AU"/>
        </w:rPr>
        <w:t>Economist Intelligence Unit (EIU) estimat</w:t>
      </w:r>
      <w:r w:rsidR="00F46C1B" w:rsidRPr="4FEBF9DC">
        <w:rPr>
          <w:lang w:val="en-AU"/>
        </w:rPr>
        <w:t>es</w:t>
      </w:r>
      <w:r w:rsidRPr="4FEBF9DC">
        <w:rPr>
          <w:lang w:val="en-AU"/>
        </w:rPr>
        <w:t xml:space="preserve"> that nearly 6 million Australian households have an annual income that exceeds US$75,000</w:t>
      </w:r>
      <w:r w:rsidR="00F46C1B" w:rsidRPr="4FEBF9DC">
        <w:rPr>
          <w:lang w:val="en-AU"/>
        </w:rPr>
        <w:t xml:space="preserve">, which </w:t>
      </w:r>
      <w:bookmarkStart w:id="178" w:name="_Hlk169694551"/>
      <w:r w:rsidR="00F46C1B" w:rsidRPr="4FEBF9DC">
        <w:rPr>
          <w:lang w:val="en-AU"/>
        </w:rPr>
        <w:t>is</w:t>
      </w:r>
      <w:r w:rsidRPr="4FEBF9DC">
        <w:rPr>
          <w:lang w:val="en-AU"/>
        </w:rPr>
        <w:t xml:space="preserve"> the 6</w:t>
      </w:r>
      <w:r w:rsidRPr="4FEBF9DC">
        <w:rPr>
          <w:vertAlign w:val="superscript"/>
          <w:lang w:val="en-AU"/>
        </w:rPr>
        <w:t>th</w:t>
      </w:r>
      <w:r w:rsidR="00F46C1B" w:rsidRPr="4FEBF9DC">
        <w:rPr>
          <w:lang w:val="en-AU"/>
        </w:rPr>
        <w:t>-</w:t>
      </w:r>
      <w:r w:rsidRPr="4FEBF9DC">
        <w:rPr>
          <w:lang w:val="en-AU"/>
        </w:rPr>
        <w:t>highest globally</w:t>
      </w:r>
      <w:bookmarkEnd w:id="178"/>
      <w:r w:rsidRPr="4FEBF9DC">
        <w:rPr>
          <w:lang w:val="en-AU"/>
        </w:rPr>
        <w:t xml:space="preserve">. </w:t>
      </w:r>
      <w:r w:rsidR="003F7E51" w:rsidRPr="4FEBF9DC">
        <w:rPr>
          <w:lang w:val="en-AU"/>
        </w:rPr>
        <w:t>And t</w:t>
      </w:r>
      <w:r w:rsidRPr="4FEBF9DC">
        <w:rPr>
          <w:lang w:val="en-AU"/>
        </w:rPr>
        <w:t>he EIU predicts a bright future for Australia</w:t>
      </w:r>
      <w:r w:rsidR="002B6741" w:rsidRPr="4FEBF9DC">
        <w:rPr>
          <w:lang w:val="en-AU"/>
        </w:rPr>
        <w:t xml:space="preserve">, </w:t>
      </w:r>
      <w:r w:rsidR="000A53CC" w:rsidRPr="4FEBF9DC">
        <w:rPr>
          <w:lang w:val="en-AU"/>
        </w:rPr>
        <w:t>forecast</w:t>
      </w:r>
      <w:r w:rsidR="002B6741" w:rsidRPr="4FEBF9DC">
        <w:rPr>
          <w:lang w:val="en-AU"/>
        </w:rPr>
        <w:t>ing</w:t>
      </w:r>
      <w:r w:rsidR="000A53CC" w:rsidRPr="4FEBF9DC">
        <w:rPr>
          <w:lang w:val="en-AU"/>
        </w:rPr>
        <w:t xml:space="preserve"> </w:t>
      </w:r>
      <w:r w:rsidRPr="4FEBF9DC">
        <w:rPr>
          <w:lang w:val="en-AU"/>
        </w:rPr>
        <w:t>more than 7 million high-income households</w:t>
      </w:r>
      <w:r w:rsidR="00850210" w:rsidRPr="4FEBF9DC">
        <w:rPr>
          <w:lang w:val="en-AU"/>
        </w:rPr>
        <w:t xml:space="preserve"> </w:t>
      </w:r>
      <w:r w:rsidRPr="4FEBF9DC">
        <w:rPr>
          <w:lang w:val="en-AU"/>
        </w:rPr>
        <w:t xml:space="preserve">by 2030 as Australia’s consumer economy continues to expand. </w:t>
      </w:r>
    </w:p>
    <w:p w14:paraId="7C9D4A7F" w14:textId="0AF0C9CD" w:rsidR="003C30ED" w:rsidRPr="002322B7" w:rsidRDefault="00674A48" w:rsidP="003C30ED">
      <w:pPr>
        <w:pStyle w:val="Caption"/>
      </w:pPr>
      <w:bookmarkStart w:id="179" w:name="_Toc165471221"/>
      <w:bookmarkStart w:id="180" w:name="_Toc171500397"/>
      <w:r w:rsidRPr="002322B7">
        <w:t xml:space="preserve">Figure </w:t>
      </w:r>
      <w:r w:rsidR="00CF16FA">
        <w:fldChar w:fldCharType="begin"/>
      </w:r>
      <w:r w:rsidR="00CF16FA">
        <w:instrText xml:space="preserve"> SEQ Figure \* ARABIC </w:instrText>
      </w:r>
      <w:r w:rsidR="00CF16FA">
        <w:fldChar w:fldCharType="separate"/>
      </w:r>
      <w:r w:rsidR="002459CF">
        <w:rPr>
          <w:noProof/>
        </w:rPr>
        <w:t>41</w:t>
      </w:r>
      <w:r w:rsidR="00CF16FA">
        <w:rPr>
          <w:noProof/>
        </w:rPr>
        <w:fldChar w:fldCharType="end"/>
      </w:r>
      <w:r w:rsidRPr="002322B7">
        <w:t xml:space="preserve"> – </w:t>
      </w:r>
      <w:r w:rsidR="003C30ED" w:rsidRPr="002322B7">
        <w:t>Number of households with disposable income of more than US$75,000 per annum (selected economies)¹</w:t>
      </w:r>
      <w:bookmarkEnd w:id="179"/>
      <w:bookmarkEnd w:id="180"/>
    </w:p>
    <w:p w14:paraId="1FB1F35F" w14:textId="038BB9F9" w:rsidR="005101E5" w:rsidRDefault="005101E5" w:rsidP="003C30ED">
      <w:pPr>
        <w:pStyle w:val="Sourcesandnotes"/>
        <w:rPr>
          <w:b/>
          <w:bCs/>
        </w:rPr>
      </w:pPr>
      <w:r>
        <w:rPr>
          <w:b/>
          <w:bCs/>
          <w:noProof/>
        </w:rPr>
        <w:drawing>
          <wp:inline distT="0" distB="0" distL="0" distR="0" wp14:anchorId="226A44D9" wp14:editId="555A53AD">
            <wp:extent cx="6120000" cy="4965545"/>
            <wp:effectExtent l="0" t="0" r="0" b="6985"/>
            <wp:docPr id="713215272" name="Picture 51" descr="The image shows the number of households with disposable income of more than US$75,000 per annum. The image displays the economy (the country), the economy's ranking in 2023, and the estimated number of households in 2023 and 2030 respectively. The figures are: US (1) 85.49 million in 2023 and 101.42 million in 2030; Germany (3) 9.686 million in 2023 and 18.97 million in 2030; Japan (7) 5.117 million in 2023 and 15.49 million in 2030; China (37) 0.466 million in 2023 and 7.185 million in 2030; Australia (6) 5.759 million in 2023 and 7.003 million in 2030; Sweden (28) 0.7995 million in 2023 and 2.872 million in 2030; Hong Kong SAR (18) 1.366 million in 2023 and 1.835 million in 2030; Singapore (20) 1.232 million in 2023 and 1.6 million in 2030; New Zealand (32) 0.688 million in 2023 and 1.072 million in 2030; ASEAN-6 2.7197 million in 2023 and 6.066 million in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15272" name="Picture 51" descr="The image shows the number of households with disposable income of more than US$75,000 per annum. The image displays the economy (the country), the economy's ranking in 2023, and the estimated number of households in 2023 and 2030 respectively. The figures are: US (1) 85.49 million in 2023 and 101.42 million in 2030; Germany (3) 9.686 million in 2023 and 18.97 million in 2030; Japan (7) 5.117 million in 2023 and 15.49 million in 2030; China (37) 0.466 million in 2023 and 7.185 million in 2030; Australia (6) 5.759 million in 2023 and 7.003 million in 2030; Sweden (28) 0.7995 million in 2023 and 2.872 million in 2030; Hong Kong SAR (18) 1.366 million in 2023 and 1.835 million in 2030; Singapore (20) 1.232 million in 2023 and 1.6 million in 2030; New Zealand (32) 0.688 million in 2023 and 1.072 million in 2030; ASEAN-6 2.7197 million in 2023 and 6.066 million in 2030. "/>
                    <pic:cNvPicPr/>
                  </pic:nvPicPr>
                  <pic:blipFill rotWithShape="1">
                    <a:blip r:embed="rId58" cstate="hqprint">
                      <a:extLst>
                        <a:ext uri="{28A0092B-C50C-407E-A947-70E740481C1C}">
                          <a14:useLocalDpi xmlns:a14="http://schemas.microsoft.com/office/drawing/2010/main"/>
                        </a:ext>
                      </a:extLst>
                    </a:blip>
                    <a:srcRect/>
                    <a:stretch/>
                  </pic:blipFill>
                  <pic:spPr bwMode="auto">
                    <a:xfrm>
                      <a:off x="0" y="0"/>
                      <a:ext cx="6120000" cy="4965545"/>
                    </a:xfrm>
                    <a:prstGeom prst="rect">
                      <a:avLst/>
                    </a:prstGeom>
                    <a:ln>
                      <a:noFill/>
                    </a:ln>
                    <a:extLst>
                      <a:ext uri="{53640926-AAD7-44D8-BBD7-CCE9431645EC}">
                        <a14:shadowObscured xmlns:a14="http://schemas.microsoft.com/office/drawing/2010/main"/>
                      </a:ext>
                    </a:extLst>
                  </pic:spPr>
                </pic:pic>
              </a:graphicData>
            </a:graphic>
          </wp:inline>
        </w:drawing>
      </w:r>
    </w:p>
    <w:p w14:paraId="393FD642" w14:textId="3D0FBC27" w:rsidR="003C30ED" w:rsidRPr="002322B7" w:rsidRDefault="003C30ED" w:rsidP="003C30ED">
      <w:pPr>
        <w:pStyle w:val="Sourcesandnotes"/>
      </w:pPr>
      <w:r w:rsidRPr="002322B7">
        <w:rPr>
          <w:b/>
          <w:bCs/>
        </w:rPr>
        <w:t>Notes: 1.</w:t>
      </w:r>
      <w:r w:rsidRPr="002322B7">
        <w:t xml:space="preserve"> The number in brackets indicates the economy’s ranking in 2023 among 59 economies. </w:t>
      </w:r>
      <w:r w:rsidRPr="002322B7">
        <w:rPr>
          <w:b/>
          <w:bCs/>
        </w:rPr>
        <w:t>2.</w:t>
      </w:r>
      <w:r w:rsidRPr="002322B7">
        <w:t xml:space="preserve"> Association of Southeast Asian Nations (ASEAN). The forecast includes Indonesia, Malaysia, Philippines, Singapore, Thailand and Vietnam. </w:t>
      </w:r>
    </w:p>
    <w:p w14:paraId="610B8003" w14:textId="77777777" w:rsidR="003C30ED" w:rsidRPr="002322B7" w:rsidRDefault="003C30ED" w:rsidP="003C30ED">
      <w:pPr>
        <w:pStyle w:val="Sourcesandnotes"/>
      </w:pPr>
      <w:r w:rsidRPr="002322B7">
        <w:rPr>
          <w:b/>
          <w:bCs/>
        </w:rPr>
        <w:t>Sources:</w:t>
      </w:r>
      <w:r w:rsidRPr="002322B7">
        <w:t xml:space="preserve"> Economist Intelligence Unit, 2024, Number of households with disposable income of more than US$75,000 per annum, accessed during March 2024; Austrade.</w:t>
      </w:r>
    </w:p>
    <w:p w14:paraId="47841D77" w14:textId="77777777" w:rsidR="00F54396" w:rsidRPr="002322B7" w:rsidRDefault="00F54396" w:rsidP="00F54396">
      <w:pPr>
        <w:pStyle w:val="Sourcesandnotes"/>
      </w:pPr>
    </w:p>
    <w:p w14:paraId="326B2CC2" w14:textId="77777777" w:rsidR="00F54396" w:rsidRPr="002322B7" w:rsidRDefault="00F54396" w:rsidP="00F54396">
      <w:pPr>
        <w:pStyle w:val="Heading-level2"/>
      </w:pPr>
      <w:bookmarkStart w:id="181" w:name="_Toc165471188"/>
      <w:bookmarkStart w:id="182" w:name="_Toc171500355"/>
      <w:r w:rsidRPr="002322B7">
        <w:lastRenderedPageBreak/>
        <w:t>No worries, we’re happy!</w:t>
      </w:r>
      <w:bookmarkEnd w:id="181"/>
      <w:bookmarkEnd w:id="182"/>
    </w:p>
    <w:p w14:paraId="54A0CFBD" w14:textId="04986C20" w:rsidR="00F54396" w:rsidRPr="002322B7" w:rsidRDefault="00F54396" w:rsidP="003F1867">
      <w:pPr>
        <w:pStyle w:val="Body-copy"/>
        <w:rPr>
          <w:lang w:val="en-AU"/>
        </w:rPr>
      </w:pPr>
      <w:r w:rsidRPr="002322B7">
        <w:rPr>
          <w:lang w:val="en-AU"/>
        </w:rPr>
        <w:t>Australia was the happiest country in the Asia and Oceania regions</w:t>
      </w:r>
      <w:r w:rsidR="00E15F52">
        <w:rPr>
          <w:lang w:val="en-AU"/>
        </w:rPr>
        <w:t xml:space="preserve"> and the 9</w:t>
      </w:r>
      <w:r w:rsidR="00E15F52" w:rsidRPr="00E15F52">
        <w:rPr>
          <w:vertAlign w:val="superscript"/>
          <w:lang w:val="en-AU"/>
        </w:rPr>
        <w:t>th</w:t>
      </w:r>
      <w:r w:rsidR="00E15F52">
        <w:rPr>
          <w:lang w:val="en-AU"/>
        </w:rPr>
        <w:t xml:space="preserve"> globally</w:t>
      </w:r>
      <w:r w:rsidRPr="002322B7">
        <w:rPr>
          <w:lang w:val="en-AU"/>
        </w:rPr>
        <w:t xml:space="preserve"> in 2023, according to a World Happiness Index. This is </w:t>
      </w:r>
      <w:r w:rsidR="005A4BB0" w:rsidRPr="002322B7">
        <w:rPr>
          <w:lang w:val="en-AU"/>
        </w:rPr>
        <w:t>due to multiple</w:t>
      </w:r>
      <w:r w:rsidRPr="002322B7">
        <w:rPr>
          <w:lang w:val="en-AU"/>
        </w:rPr>
        <w:t xml:space="preserve"> factors</w:t>
      </w:r>
      <w:r w:rsidR="005A4BB0" w:rsidRPr="002322B7">
        <w:rPr>
          <w:lang w:val="en-AU"/>
        </w:rPr>
        <w:t xml:space="preserve">: </w:t>
      </w:r>
      <w:r w:rsidRPr="002322B7">
        <w:rPr>
          <w:lang w:val="en-AU"/>
        </w:rPr>
        <w:t>high incomes, a sense of personal freedom, our spirit of generosity, trust in institutions and income equality. Australia’s lifestyle</w:t>
      </w:r>
      <w:r w:rsidR="007632A6" w:rsidRPr="002322B7">
        <w:rPr>
          <w:lang w:val="en-AU"/>
        </w:rPr>
        <w:t>,</w:t>
      </w:r>
      <w:r w:rsidRPr="002322B7">
        <w:rPr>
          <w:lang w:val="en-AU"/>
        </w:rPr>
        <w:t xml:space="preserve"> attitudes</w:t>
      </w:r>
      <w:r w:rsidR="007632A6" w:rsidRPr="002322B7">
        <w:rPr>
          <w:lang w:val="en-AU"/>
        </w:rPr>
        <w:t xml:space="preserve"> and </w:t>
      </w:r>
      <w:r w:rsidRPr="002322B7">
        <w:rPr>
          <w:lang w:val="en-AU"/>
        </w:rPr>
        <w:t xml:space="preserve">values can be </w:t>
      </w:r>
      <w:r w:rsidR="007632A6" w:rsidRPr="002322B7">
        <w:rPr>
          <w:lang w:val="en-AU"/>
        </w:rPr>
        <w:t>core</w:t>
      </w:r>
      <w:r w:rsidRPr="002322B7">
        <w:rPr>
          <w:lang w:val="en-AU"/>
        </w:rPr>
        <w:t xml:space="preserve"> considerations for global companies </w:t>
      </w:r>
      <w:r w:rsidR="00762841" w:rsidRPr="002322B7">
        <w:rPr>
          <w:lang w:val="en-AU"/>
        </w:rPr>
        <w:t>that</w:t>
      </w:r>
      <w:r w:rsidRPr="002322B7">
        <w:rPr>
          <w:lang w:val="en-AU"/>
        </w:rPr>
        <w:t xml:space="preserve"> want to relocate employees and families into the Asia-Pacific region. </w:t>
      </w:r>
    </w:p>
    <w:p w14:paraId="384E6784" w14:textId="05FA7F6E" w:rsidR="00F54396" w:rsidRDefault="00674A48" w:rsidP="00F54396">
      <w:pPr>
        <w:pStyle w:val="Caption"/>
      </w:pPr>
      <w:bookmarkStart w:id="183" w:name="_Toc165471237"/>
      <w:bookmarkStart w:id="184" w:name="_Toc171500398"/>
      <w:r w:rsidRPr="002322B7">
        <w:t xml:space="preserve">Figure </w:t>
      </w:r>
      <w:r w:rsidR="00CF16FA">
        <w:fldChar w:fldCharType="begin"/>
      </w:r>
      <w:r w:rsidR="00CF16FA">
        <w:instrText xml:space="preserve"> SEQ Figure \* ARABIC </w:instrText>
      </w:r>
      <w:r w:rsidR="00CF16FA">
        <w:fldChar w:fldCharType="separate"/>
      </w:r>
      <w:r w:rsidR="002459CF">
        <w:rPr>
          <w:noProof/>
        </w:rPr>
        <w:t>42</w:t>
      </w:r>
      <w:r w:rsidR="00CF16FA">
        <w:rPr>
          <w:noProof/>
        </w:rPr>
        <w:fldChar w:fldCharType="end"/>
      </w:r>
      <w:r w:rsidRPr="002322B7">
        <w:t xml:space="preserve"> – </w:t>
      </w:r>
      <w:r w:rsidR="00F54396" w:rsidRPr="002322B7">
        <w:t>Happiness Index and GDP per capita, 2023</w:t>
      </w:r>
      <w:bookmarkEnd w:id="183"/>
      <w:bookmarkEnd w:id="184"/>
    </w:p>
    <w:p w14:paraId="03FB0D2E" w14:textId="2206B621" w:rsidR="000C7891" w:rsidRDefault="000C7891" w:rsidP="000C7891">
      <w:r>
        <w:rPr>
          <w:noProof/>
        </w:rPr>
        <w:drawing>
          <wp:inline distT="0" distB="0" distL="0" distR="0" wp14:anchorId="7685DC1D" wp14:editId="1B98FE2C">
            <wp:extent cx="6336030" cy="4295140"/>
            <wp:effectExtent l="0" t="0" r="7620" b="0"/>
            <wp:docPr id="116727914" name="Picture 52" descr="The image has a table and a graph. The table’s columns are the economy, the happiness index in 2023, the world ranking and the Asia-Pacific ranking. &#10;The information in the table is: Finland index = 7.7 world rank =1 regional rank =na; Denmark index = 7.5 world rank =3 regional rank =na; Australia index = 7 world rank =9 regional rank =1; Luxembourg index = 7 world rank =10 regional rank =na; New Zealand index = 7 world rank =12 regional rank =2; Canada index = 6.8 world rank =17 regional rank =na; United Kingdom index = 6.7 world rank =26 regional rank =na; Singapore index = 6.7 world rank =28 regional rank =5; United States index = 6.5 world rank =34 regional rank =na; Vietnam index = 6.3 world rank =44 regional rank =7; and Korea index = 6.1 world rank =55 regional rank =12.&#10;The graph plots the happiness index against the GDP per capita on a logarithmic scale. A straight line displays the relationship, the greater the GDP per capita, the greater the happiness. The information (country, happiness, GDP) is:  Afghanistan index = 1.4 GDP per capita log = 7.3; Australia index = 7 GDP per capita log = 10.8; Bangladesh index = 4.1 GDP per capita log = 8.8; Brazil index = 6.6 GDP per capita log = 9.6; Canada index = 6.8 GDP per capita log = 10.8; China index = 6.1 GDP per capita log = 9.9; Ethiopia index = 4.1 GDP per capita log = 7.8; Finland index = 7.7 GDP per capita log = 10.8; Gambia index = 4.7 GDP per capita log = 7.7; Germany index = 6.8 GDP per capita log = 10.9; Honduras index = 5.9 GDP per capita log = 8.7; Hong Kong SAR index = 5.3 GDP per capita log = 11; India index = 4.7 GDP per capita log = 8.9; Indonesia index = 5.7 GDP per capita log = 9.5; Iran index = 5 GDP per capita log = 9.7; Ireland index = 6.8 GDP per capita log = 11.7; Japan index = 5.9 GDP per capita log = 10.7; Lebanon index = 3.6 GDP per capita log = 9.5; Lux. index = 7 GDP per capita log = 11.6; Mexico index = 7 GDP per capita log = 9.9; Mozambique index = 5.7 GDP per capita log = 7.1; Nepal index = 5.4 GDP per capita log = 8.3; New Zealand index = 7 GDP per capita log = 10.7; Nigeria index = 4.9 GDP per capita log = 8.5; Rwanda index = 3.3 GDP per capita log = 7.7; Sierra Leone index = 3.5 GDP per capita log = 7.4; Singapore index = 6.7 GDP per capita log = 11.6; South Africa index = 5.1 GDP per capita log = 9.5; Korea index = 6.1 GDP per capita log = 10.7; Sri Lanka index = 3.6 GDP per capita log = 9.4; Switzerland index = 7 GDP per capita log = 11.2; Tanzania index = 4 GDP per capita log = 7.9; Thailand index = 6.3 GDP per capita log = 9.8; Türkiye index = 5.5 GDP per capita log = 10.4; UAE index = 6.7 GDP per capita log = 11.2; UK index = 6.7 GDP per capita log = 10.8; US index = 6.5 GDP per capita log = 11.1; Vietnam index = 6.3 GDP per capita log = 9.4; Zambia index = 3.7 GDP per capita log = 8.1; Zimbabwe index = 3.6 GDP per capita log =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7914" name="Picture 52" descr="The image has a table and a graph. The table’s columns are the economy, the happiness index in 2023, the world ranking and the Asia-Pacific ranking. &#10;The information in the table is: Finland index = 7.7 world rank =1 regional rank =na; Denmark index = 7.5 world rank =3 regional rank =na; Australia index = 7 world rank =9 regional rank =1; Luxembourg index = 7 world rank =10 regional rank =na; New Zealand index = 7 world rank =12 regional rank =2; Canada index = 6.8 world rank =17 regional rank =na; United Kingdom index = 6.7 world rank =26 regional rank =na; Singapore index = 6.7 world rank =28 regional rank =5; United States index = 6.5 world rank =34 regional rank =na; Vietnam index = 6.3 world rank =44 regional rank =7; and Korea index = 6.1 world rank =55 regional rank =12.&#10;The graph plots the happiness index against the GDP per capita on a logarithmic scale. A straight line displays the relationship, the greater the GDP per capita, the greater the happiness. The information (country, happiness, GDP) is:  Afghanistan index = 1.4 GDP per capita log = 7.3; Australia index = 7 GDP per capita log = 10.8; Bangladesh index = 4.1 GDP per capita log = 8.8; Brazil index = 6.6 GDP per capita log = 9.6; Canada index = 6.8 GDP per capita log = 10.8; China index = 6.1 GDP per capita log = 9.9; Ethiopia index = 4.1 GDP per capita log = 7.8; Finland index = 7.7 GDP per capita log = 10.8; Gambia index = 4.7 GDP per capita log = 7.7; Germany index = 6.8 GDP per capita log = 10.9; Honduras index = 5.9 GDP per capita log = 8.7; Hong Kong SAR index = 5.3 GDP per capita log = 11; India index = 4.7 GDP per capita log = 8.9; Indonesia index = 5.7 GDP per capita log = 9.5; Iran index = 5 GDP per capita log = 9.7; Ireland index = 6.8 GDP per capita log = 11.7; Japan index = 5.9 GDP per capita log = 10.7; Lebanon index = 3.6 GDP per capita log = 9.5; Lux. index = 7 GDP per capita log = 11.6; Mexico index = 7 GDP per capita log = 9.9; Mozambique index = 5.7 GDP per capita log = 7.1; Nepal index = 5.4 GDP per capita log = 8.3; New Zealand index = 7 GDP per capita log = 10.7; Nigeria index = 4.9 GDP per capita log = 8.5; Rwanda index = 3.3 GDP per capita log = 7.7; Sierra Leone index = 3.5 GDP per capita log = 7.4; Singapore index = 6.7 GDP per capita log = 11.6; South Africa index = 5.1 GDP per capita log = 9.5; Korea index = 6.1 GDP per capita log = 10.7; Sri Lanka index = 3.6 GDP per capita log = 9.4; Switzerland index = 7 GDP per capita log = 11.2; Tanzania index = 4 GDP per capita log = 7.9; Thailand index = 6.3 GDP per capita log = 9.8; Türkiye index = 5.5 GDP per capita log = 10.4; UAE index = 6.7 GDP per capita log = 11.2; UK index = 6.7 GDP per capita log = 10.8; US index = 6.5 GDP per capita log = 11.1; Vietnam index = 6.3 GDP per capita log = 9.4; Zambia index = 3.7 GDP per capita log = 8.1; Zimbabwe index = 3.6 GDP per capita log = 7.7.&#10;"/>
                    <pic:cNvPicPr/>
                  </pic:nvPicPr>
                  <pic:blipFill rotWithShape="1">
                    <a:blip r:embed="rId59" cstate="hqprint">
                      <a:extLst>
                        <a:ext uri="{28A0092B-C50C-407E-A947-70E740481C1C}">
                          <a14:useLocalDpi xmlns:a14="http://schemas.microsoft.com/office/drawing/2010/main"/>
                        </a:ext>
                      </a:extLst>
                    </a:blip>
                    <a:srcRect/>
                    <a:stretch/>
                  </pic:blipFill>
                  <pic:spPr bwMode="auto">
                    <a:xfrm>
                      <a:off x="0" y="0"/>
                      <a:ext cx="6336030" cy="4295140"/>
                    </a:xfrm>
                    <a:prstGeom prst="rect">
                      <a:avLst/>
                    </a:prstGeom>
                    <a:ln>
                      <a:noFill/>
                    </a:ln>
                    <a:extLst>
                      <a:ext uri="{53640926-AAD7-44D8-BBD7-CCE9431645EC}">
                        <a14:shadowObscured xmlns:a14="http://schemas.microsoft.com/office/drawing/2010/main"/>
                      </a:ext>
                    </a:extLst>
                  </pic:spPr>
                </pic:pic>
              </a:graphicData>
            </a:graphic>
          </wp:inline>
        </w:drawing>
      </w:r>
    </w:p>
    <w:p w14:paraId="3FCD4AAD" w14:textId="7631D941" w:rsidR="00F54396" w:rsidRPr="002322B7" w:rsidRDefault="00F54396" w:rsidP="00F54396">
      <w:pPr>
        <w:pStyle w:val="Sourcesandnotes"/>
      </w:pPr>
      <w:r w:rsidRPr="002322B7">
        <w:rPr>
          <w:b/>
          <w:bCs/>
        </w:rPr>
        <w:t xml:space="preserve">Notes: 1. </w:t>
      </w:r>
      <w:r w:rsidRPr="002322B7">
        <w:t xml:space="preserve">The scale is in natural logarithm, while the GDP per capita is in terms of purchasing power parity (PPP) adjusted to constant 2017 international dollars. </w:t>
      </w:r>
      <w:r w:rsidRPr="002322B7">
        <w:rPr>
          <w:b/>
          <w:bCs/>
        </w:rPr>
        <w:t>2.</w:t>
      </w:r>
      <w:r w:rsidRPr="002322B7">
        <w:t xml:space="preserve"> </w:t>
      </w:r>
      <w:r w:rsidR="00762841" w:rsidRPr="002322B7">
        <w:t>E</w:t>
      </w:r>
      <w:r w:rsidRPr="002322B7">
        <w:t>xcludes the Middle East region.</w:t>
      </w:r>
    </w:p>
    <w:p w14:paraId="41B69ECC" w14:textId="71688327" w:rsidR="00F54396" w:rsidRPr="002322B7" w:rsidRDefault="00F54396" w:rsidP="00F54396">
      <w:pPr>
        <w:pStyle w:val="Sourcesandnotes"/>
      </w:pPr>
      <w:r w:rsidRPr="002322B7">
        <w:rPr>
          <w:b/>
          <w:bCs/>
        </w:rPr>
        <w:t>Sources:</w:t>
      </w:r>
      <w:r w:rsidRPr="002322B7">
        <w:t xml:space="preserve"> Helliwell, J. F., Layard, R., Sachs, J. D., De Neve, J.-E., Aknin, L. B., &amp; Wang, S. Eds. 2024, World Happiness Report 2024, accessed April 2024;</w:t>
      </w:r>
      <w:r w:rsidR="00762841" w:rsidRPr="002322B7">
        <w:t xml:space="preserve"> </w:t>
      </w:r>
      <w:r w:rsidRPr="002322B7">
        <w:t>Austrade.</w:t>
      </w:r>
    </w:p>
    <w:p w14:paraId="5CD5E369" w14:textId="77777777" w:rsidR="006F0B4D" w:rsidRPr="002322B7" w:rsidRDefault="006F0B4D" w:rsidP="00F54396">
      <w:pPr>
        <w:pStyle w:val="Sourcesandnotes"/>
      </w:pPr>
    </w:p>
    <w:p w14:paraId="15F6CAAF" w14:textId="54D4E2A5" w:rsidR="00F54396" w:rsidRPr="002322B7" w:rsidRDefault="00F54396" w:rsidP="00F54396">
      <w:pPr>
        <w:pStyle w:val="Heading-level2"/>
      </w:pPr>
      <w:bookmarkStart w:id="185" w:name="_Toc165471189"/>
      <w:bookmarkStart w:id="186" w:name="_Toc171500356"/>
      <w:r w:rsidRPr="002322B7">
        <w:lastRenderedPageBreak/>
        <w:t xml:space="preserve">Strong commitment </w:t>
      </w:r>
      <w:r w:rsidR="005E6824" w:rsidRPr="002322B7">
        <w:t xml:space="preserve">to </w:t>
      </w:r>
      <w:r w:rsidRPr="002322B7">
        <w:t>a superb healthcare system</w:t>
      </w:r>
      <w:bookmarkEnd w:id="185"/>
      <w:bookmarkEnd w:id="186"/>
    </w:p>
    <w:p w14:paraId="37CA557F" w14:textId="2196FF8E" w:rsidR="00F54396" w:rsidRPr="002322B7" w:rsidRDefault="00F54396" w:rsidP="003F1867">
      <w:pPr>
        <w:pStyle w:val="Body-copy"/>
        <w:rPr>
          <w:lang w:val="en-AU"/>
        </w:rPr>
      </w:pPr>
      <w:r w:rsidRPr="002322B7">
        <w:rPr>
          <w:lang w:val="en-AU"/>
        </w:rPr>
        <w:t>Australia has a high-quality healthcare system</w:t>
      </w:r>
      <w:r w:rsidR="009337FB" w:rsidRPr="002322B7">
        <w:rPr>
          <w:lang w:val="en-AU"/>
        </w:rPr>
        <w:t xml:space="preserve"> that</w:t>
      </w:r>
      <w:r w:rsidR="005E6824" w:rsidRPr="002322B7">
        <w:rPr>
          <w:lang w:val="en-AU"/>
        </w:rPr>
        <w:t xml:space="preserve"> includes </w:t>
      </w:r>
      <w:r w:rsidRPr="002322B7">
        <w:rPr>
          <w:lang w:val="en-AU"/>
        </w:rPr>
        <w:t>good hospitals (public and private)</w:t>
      </w:r>
      <w:r w:rsidR="0016483F" w:rsidRPr="002322B7">
        <w:rPr>
          <w:lang w:val="en-AU"/>
        </w:rPr>
        <w:t xml:space="preserve">, </w:t>
      </w:r>
      <w:r w:rsidRPr="002322B7">
        <w:rPr>
          <w:lang w:val="en-AU"/>
        </w:rPr>
        <w:t>world-class medical professionals</w:t>
      </w:r>
      <w:r w:rsidR="0016483F" w:rsidRPr="002322B7">
        <w:rPr>
          <w:lang w:val="en-AU"/>
        </w:rPr>
        <w:t xml:space="preserve"> and effective public health programs</w:t>
      </w:r>
      <w:r w:rsidRPr="002322B7">
        <w:rPr>
          <w:lang w:val="en-AU"/>
        </w:rPr>
        <w:t xml:space="preserve">. Following average annual growth of 6% over the past five years, </w:t>
      </w:r>
      <w:r w:rsidR="0016483F" w:rsidRPr="002322B7">
        <w:rPr>
          <w:lang w:val="en-AU"/>
        </w:rPr>
        <w:t>g</w:t>
      </w:r>
      <w:r w:rsidRPr="002322B7">
        <w:rPr>
          <w:lang w:val="en-AU"/>
        </w:rPr>
        <w:t>overnment spending on healthcare reached US$131</w:t>
      </w:r>
      <w:r w:rsidR="0054789D">
        <w:rPr>
          <w:lang w:val="en-AU"/>
        </w:rPr>
        <w:t> </w:t>
      </w:r>
      <w:r w:rsidRPr="002322B7">
        <w:rPr>
          <w:lang w:val="en-AU"/>
        </w:rPr>
        <w:t>billion in 2023</w:t>
      </w:r>
      <w:r w:rsidR="00E55B3A" w:rsidRPr="002322B7">
        <w:rPr>
          <w:lang w:val="en-AU"/>
        </w:rPr>
        <w:t>, placing Australia as the 6</w:t>
      </w:r>
      <w:r w:rsidR="00E55B3A" w:rsidRPr="002322B7">
        <w:rPr>
          <w:vertAlign w:val="superscript"/>
          <w:lang w:val="en-AU"/>
        </w:rPr>
        <w:t>th</w:t>
      </w:r>
      <w:r w:rsidR="00740AAB">
        <w:rPr>
          <w:lang w:val="en-AU"/>
        </w:rPr>
        <w:t>-</w:t>
      </w:r>
      <w:r w:rsidR="00E55B3A" w:rsidRPr="002322B7">
        <w:rPr>
          <w:lang w:val="en-AU"/>
        </w:rPr>
        <w:t>highest globally.</w:t>
      </w:r>
      <w:r w:rsidRPr="002322B7">
        <w:rPr>
          <w:lang w:val="en-AU"/>
        </w:rPr>
        <w:t xml:space="preserve"> </w:t>
      </w:r>
      <w:r w:rsidR="004250BD" w:rsidRPr="002322B7">
        <w:rPr>
          <w:lang w:val="en-AU"/>
        </w:rPr>
        <w:t xml:space="preserve">Taking into account the size of our population, </w:t>
      </w:r>
      <w:r w:rsidRPr="002322B7">
        <w:rPr>
          <w:lang w:val="en-AU"/>
        </w:rPr>
        <w:t>Australia ranks 5</w:t>
      </w:r>
      <w:r w:rsidRPr="002322B7">
        <w:rPr>
          <w:vertAlign w:val="superscript"/>
          <w:lang w:val="en-AU"/>
        </w:rPr>
        <w:t>th</w:t>
      </w:r>
      <w:r w:rsidRPr="002322B7">
        <w:rPr>
          <w:lang w:val="en-AU"/>
        </w:rPr>
        <w:t xml:space="preserve"> in the world in terms of government healthcare expenditure per capita. </w:t>
      </w:r>
    </w:p>
    <w:p w14:paraId="683EAC45" w14:textId="64AA7576" w:rsidR="00F54396" w:rsidRDefault="00674A48" w:rsidP="00F54396">
      <w:pPr>
        <w:pStyle w:val="Caption"/>
      </w:pPr>
      <w:bookmarkStart w:id="187" w:name="_Toc165471238"/>
      <w:bookmarkStart w:id="188" w:name="_Toc171500399"/>
      <w:r w:rsidRPr="002322B7">
        <w:t xml:space="preserve">Figure </w:t>
      </w:r>
      <w:r w:rsidR="00CF16FA">
        <w:fldChar w:fldCharType="begin"/>
      </w:r>
      <w:r w:rsidR="00CF16FA">
        <w:instrText xml:space="preserve"> SEQ Figure \* ARABIC </w:instrText>
      </w:r>
      <w:r w:rsidR="00CF16FA">
        <w:fldChar w:fldCharType="separate"/>
      </w:r>
      <w:r w:rsidR="002459CF">
        <w:rPr>
          <w:noProof/>
        </w:rPr>
        <w:t>43</w:t>
      </w:r>
      <w:r w:rsidR="00CF16FA">
        <w:rPr>
          <w:noProof/>
        </w:rPr>
        <w:fldChar w:fldCharType="end"/>
      </w:r>
      <w:r w:rsidRPr="002322B7">
        <w:t xml:space="preserve"> – </w:t>
      </w:r>
      <w:r w:rsidR="00F54396" w:rsidRPr="002322B7">
        <w:t>Government healthcare expenditure per capita, 2023</w:t>
      </w:r>
      <w:bookmarkEnd w:id="187"/>
      <w:bookmarkEnd w:id="188"/>
    </w:p>
    <w:p w14:paraId="7A2D9E4B" w14:textId="12566DEE" w:rsidR="00CA396F" w:rsidRDefault="00CA396F" w:rsidP="00CA396F">
      <w:r>
        <w:rPr>
          <w:noProof/>
        </w:rPr>
        <w:drawing>
          <wp:inline distT="0" distB="0" distL="0" distR="0" wp14:anchorId="18C3F750" wp14:editId="56EE1350">
            <wp:extent cx="6336030" cy="4469765"/>
            <wp:effectExtent l="0" t="0" r="7620" b="6985"/>
            <wp:docPr id="604351315" name="Picture 53" descr="The graph shows the Government healthcare expenditure per capita by economy in 2023. The information is as follows: Norway (ranked #1) $7.2k; Denmark (ranked #2) $6.3k; Sweden (ranked #4) $5.1k; Ireland (ranked #3) $5.1k; Australia (ranked #5) $4.9k; UK (ranked #6) $4.3k; Canada (ranked #7) $4.3k; US (ranked #8) $4.2k; New Zealand (ranked #9) $3.8k; Finland (ranked #10) $3.6k; Switzerland (ranked #11) $2.8k; Italy (ranked #12) $2.5k; Spain (ranked #14) $2.2k; Hong Kong SAR (ranked #15) $2.1k; Belgium (ranked #17) $1.3k; Netherlands (ranked #18) $0.8k; Korea (ranked #22) $0.5k; Brazil (ranked #24) $0.4k; Japan (ranked #25) $0.3k; and China (ranked #33) $0.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51315" name="Picture 53" descr="The graph shows the Government healthcare expenditure per capita by economy in 2023. The information is as follows: Norway (ranked #1) $7.2k; Denmark (ranked #2) $6.3k; Sweden (ranked #4) $5.1k; Ireland (ranked #3) $5.1k; Australia (ranked #5) $4.9k; UK (ranked #6) $4.3k; Canada (ranked #7) $4.3k; US (ranked #8) $4.2k; New Zealand (ranked #9) $3.8k; Finland (ranked #10) $3.6k; Switzerland (ranked #11) $2.8k; Italy (ranked #12) $2.5k; Spain (ranked #14) $2.2k; Hong Kong SAR (ranked #15) $2.1k; Belgium (ranked #17) $1.3k; Netherlands (ranked #18) $0.8k; Korea (ranked #22) $0.5k; Brazil (ranked #24) $0.4k; Japan (ranked #25) $0.3k; and China (ranked #33) $0.1k."/>
                    <pic:cNvPicPr/>
                  </pic:nvPicPr>
                  <pic:blipFill rotWithShape="1">
                    <a:blip r:embed="rId60" cstate="hqprint">
                      <a:extLst>
                        <a:ext uri="{28A0092B-C50C-407E-A947-70E740481C1C}">
                          <a14:useLocalDpi xmlns:a14="http://schemas.microsoft.com/office/drawing/2010/main"/>
                        </a:ext>
                      </a:extLst>
                    </a:blip>
                    <a:srcRect/>
                    <a:stretch/>
                  </pic:blipFill>
                  <pic:spPr bwMode="auto">
                    <a:xfrm>
                      <a:off x="0" y="0"/>
                      <a:ext cx="6336030" cy="4469765"/>
                    </a:xfrm>
                    <a:prstGeom prst="rect">
                      <a:avLst/>
                    </a:prstGeom>
                    <a:ln>
                      <a:noFill/>
                    </a:ln>
                    <a:extLst>
                      <a:ext uri="{53640926-AAD7-44D8-BBD7-CCE9431645EC}">
                        <a14:shadowObscured xmlns:a14="http://schemas.microsoft.com/office/drawing/2010/main"/>
                      </a:ext>
                    </a:extLst>
                  </pic:spPr>
                </pic:pic>
              </a:graphicData>
            </a:graphic>
          </wp:inline>
        </w:drawing>
      </w:r>
    </w:p>
    <w:p w14:paraId="5A3CE04A" w14:textId="097C113B" w:rsidR="006719E7" w:rsidRPr="002322B7" w:rsidRDefault="00F54396" w:rsidP="00D72717">
      <w:pPr>
        <w:pStyle w:val="Sourcesandnotes"/>
      </w:pPr>
      <w:r w:rsidRPr="002322B7">
        <w:rPr>
          <w:b/>
          <w:bCs/>
        </w:rPr>
        <w:t xml:space="preserve">Sources: </w:t>
      </w:r>
      <w:r w:rsidRPr="002322B7">
        <w:t xml:space="preserve">Economic Intelligence Unit, 2024, Viewpoint database; International Monetary Fund, 2024, World </w:t>
      </w:r>
      <w:r w:rsidR="00870BFA" w:rsidRPr="002322B7">
        <w:t>E</w:t>
      </w:r>
      <w:r w:rsidRPr="002322B7">
        <w:t xml:space="preserve">conomic </w:t>
      </w:r>
      <w:r w:rsidR="00870BFA" w:rsidRPr="002322B7">
        <w:t>O</w:t>
      </w:r>
      <w:r w:rsidRPr="002322B7">
        <w:t>utlook, October 2023 database; accessed in April 2024; Austrade.</w:t>
      </w:r>
    </w:p>
    <w:sectPr w:rsidR="006719E7" w:rsidRPr="002322B7" w:rsidSect="00AF4556">
      <w:footerReference w:type="default" r:id="rId61"/>
      <w:headerReference w:type="first" r:id="rId62"/>
      <w:footerReference w:type="first" r:id="rId63"/>
      <w:pgSz w:w="11906" w:h="16838"/>
      <w:pgMar w:top="851" w:right="964" w:bottom="1276" w:left="96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25725" w14:textId="77777777" w:rsidR="00AE68B3" w:rsidRDefault="00AE68B3" w:rsidP="00C2786B">
      <w:r>
        <w:separator/>
      </w:r>
    </w:p>
    <w:p w14:paraId="1E25D799" w14:textId="77777777" w:rsidR="00AE68B3" w:rsidRDefault="00AE68B3" w:rsidP="00C2786B"/>
  </w:endnote>
  <w:endnote w:type="continuationSeparator" w:id="0">
    <w:p w14:paraId="463D52C6" w14:textId="77777777" w:rsidR="00AE68B3" w:rsidRDefault="00AE68B3" w:rsidP="00C2786B">
      <w:r>
        <w:continuationSeparator/>
      </w:r>
    </w:p>
    <w:p w14:paraId="399D5EE8" w14:textId="77777777" w:rsidR="00AE68B3" w:rsidRDefault="00AE68B3" w:rsidP="00C2786B"/>
  </w:endnote>
  <w:endnote w:type="continuationNotice" w:id="1">
    <w:p w14:paraId="16C72D77" w14:textId="77777777" w:rsidR="00AE68B3" w:rsidRDefault="00AE68B3" w:rsidP="00C27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USansBETATex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32DB2" w14:textId="442A1791" w:rsidR="001B2880" w:rsidRDefault="00321E47" w:rsidP="00C2786B">
    <w:pPr>
      <w:pStyle w:val="Footer"/>
    </w:pPr>
    <w:r w:rsidRPr="003D0704">
      <w:rPr>
        <w:noProof/>
        <w:lang w:eastAsia="en-AU"/>
      </w:rPr>
      <mc:AlternateContent>
        <mc:Choice Requires="wps">
          <w:drawing>
            <wp:anchor distT="0" distB="0" distL="114300" distR="114300" simplePos="0" relativeHeight="251658240" behindDoc="0" locked="0" layoutInCell="1" allowOverlap="1" wp14:anchorId="6D72A6C5" wp14:editId="6274D0EB">
              <wp:simplePos x="0" y="0"/>
              <wp:positionH relativeFrom="margin">
                <wp:posOffset>52878</wp:posOffset>
              </wp:positionH>
              <wp:positionV relativeFrom="page">
                <wp:posOffset>10141527</wp:posOffset>
              </wp:positionV>
              <wp:extent cx="6250682" cy="7620"/>
              <wp:effectExtent l="0" t="0" r="36195"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250682"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7B025"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15pt,798.55pt" to="496.35pt,7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" strokecolor="#00694b [3206]" strokeweight=".5pt">
              <v:stroke joinstyle="miter"/>
              <w10:wrap anchorx="margin" anchory="page"/>
            </v:line>
          </w:pict>
        </mc:Fallback>
      </mc:AlternateContent>
    </w:r>
    <w:r w:rsidR="006F00E6" w:rsidRPr="006F00E6">
      <w:t xml:space="preserve"> </w:t>
    </w:r>
    <w:r w:rsidR="004A2629">
      <w:t xml:space="preserve">Why Australia </w:t>
    </w:r>
    <w:r w:rsidR="005A460B">
      <w:t>Benchmark Report</w: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9A602" w14:textId="77777777" w:rsidR="00D871C3" w:rsidRPr="003D0704" w:rsidRDefault="004767E6" w:rsidP="00C2786B">
    <w:pPr>
      <w:pStyle w:val="Footer"/>
    </w:pPr>
    <w:r w:rsidRPr="003D070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32829" w14:textId="77777777" w:rsidR="00AE68B3" w:rsidRDefault="00AE68B3" w:rsidP="00C2786B">
      <w:r>
        <w:separator/>
      </w:r>
    </w:p>
    <w:p w14:paraId="1DB89173" w14:textId="77777777" w:rsidR="00AE68B3" w:rsidRDefault="00AE68B3" w:rsidP="00C2786B"/>
  </w:footnote>
  <w:footnote w:type="continuationSeparator" w:id="0">
    <w:p w14:paraId="32CE0897" w14:textId="77777777" w:rsidR="00AE68B3" w:rsidRDefault="00AE68B3" w:rsidP="00C2786B">
      <w:r>
        <w:continuationSeparator/>
      </w:r>
    </w:p>
    <w:p w14:paraId="252C5E0D" w14:textId="77777777" w:rsidR="00AE68B3" w:rsidRDefault="00AE68B3" w:rsidP="00C2786B"/>
  </w:footnote>
  <w:footnote w:type="continuationNotice" w:id="1">
    <w:p w14:paraId="324BCF69" w14:textId="77777777" w:rsidR="00AE68B3" w:rsidRDefault="00AE68B3" w:rsidP="00C27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8F72" w14:textId="77777777" w:rsidR="003C3B0A" w:rsidRDefault="003C3B0A" w:rsidP="00C2786B">
    <w:pPr>
      <w:pStyle w:val="Header"/>
    </w:pPr>
  </w:p>
  <w:p w14:paraId="0EEDF07E" w14:textId="77777777" w:rsidR="00D871C3" w:rsidRDefault="00D871C3" w:rsidP="00C27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5E2E1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40DF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419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3253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EF061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26AC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ACA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858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DC72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E26B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0648C"/>
    <w:multiLevelType w:val="hybridMultilevel"/>
    <w:tmpl w:val="2DB27050"/>
    <w:lvl w:ilvl="0" w:tplc="3A2C2224">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CD5C38"/>
    <w:multiLevelType w:val="hybridMultilevel"/>
    <w:tmpl w:val="DBE6804E"/>
    <w:lvl w:ilvl="0" w:tplc="A1DCDBC0">
      <w:start w:val="9"/>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FFFFFF" w:themeColor="background2"/>
      </w:rPr>
    </w:lvl>
    <w:lvl w:ilvl="1">
      <w:start w:val="1"/>
      <w:numFmt w:val="bullet"/>
      <w:pStyle w:val="ListBullet2"/>
      <w:lvlText w:val="–"/>
      <w:lvlJc w:val="left"/>
      <w:pPr>
        <w:ind w:left="568" w:hanging="284"/>
      </w:pPr>
      <w:rPr>
        <w:rFonts w:ascii="Calibri" w:hAnsi="Calibri" w:hint="default"/>
        <w:color w:val="FFFFFF" w:themeColor="background2"/>
      </w:rPr>
    </w:lvl>
    <w:lvl w:ilvl="2">
      <w:start w:val="1"/>
      <w:numFmt w:val="bullet"/>
      <w:pStyle w:val="ListBullet3"/>
      <w:lvlText w:val="–"/>
      <w:lvlJc w:val="left"/>
      <w:pPr>
        <w:ind w:left="852" w:hanging="284"/>
      </w:pPr>
      <w:rPr>
        <w:rFonts w:ascii="Calibri" w:hAnsi="Calibri" w:hint="default"/>
        <w:color w:val="FFFFFF"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40D903CA"/>
    <w:multiLevelType w:val="hybridMultilevel"/>
    <w:tmpl w:val="0060B9BA"/>
    <w:lvl w:ilvl="0" w:tplc="BF082CF0">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643664"/>
    <w:multiLevelType w:val="hybridMultilevel"/>
    <w:tmpl w:val="F69A0D88"/>
    <w:lvl w:ilvl="0" w:tplc="62E6792E">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05723E0"/>
    <w:multiLevelType w:val="multilevel"/>
    <w:tmpl w:val="CB4E1ACA"/>
    <w:numStyleLink w:val="ListBullets"/>
  </w:abstractNum>
  <w:abstractNum w:abstractNumId="17" w15:restartNumberingAfterBreak="0">
    <w:nsid w:val="6BA271C2"/>
    <w:multiLevelType w:val="hybridMultilevel"/>
    <w:tmpl w:val="D416E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6778881">
    <w:abstractNumId w:val="14"/>
  </w:num>
  <w:num w:numId="2" w16cid:durableId="1150439850">
    <w:abstractNumId w:val="15"/>
  </w:num>
  <w:num w:numId="3" w16cid:durableId="1185170805">
    <w:abstractNumId w:val="15"/>
    <w:lvlOverride w:ilvl="0">
      <w:startOverride w:val="1"/>
    </w:lvlOverride>
  </w:num>
  <w:num w:numId="4" w16cid:durableId="236549346">
    <w:abstractNumId w:val="15"/>
    <w:lvlOverride w:ilvl="0">
      <w:startOverride w:val="1"/>
    </w:lvlOverride>
  </w:num>
  <w:num w:numId="5" w16cid:durableId="2132044267">
    <w:abstractNumId w:val="15"/>
    <w:lvlOverride w:ilvl="0">
      <w:startOverride w:val="1"/>
    </w:lvlOverride>
  </w:num>
  <w:num w:numId="6" w16cid:durableId="542904262">
    <w:abstractNumId w:val="15"/>
    <w:lvlOverride w:ilvl="0">
      <w:startOverride w:val="1"/>
    </w:lvlOverride>
  </w:num>
  <w:num w:numId="7" w16cid:durableId="1274090939">
    <w:abstractNumId w:val="0"/>
  </w:num>
  <w:num w:numId="8" w16cid:durableId="1387870734">
    <w:abstractNumId w:val="1"/>
  </w:num>
  <w:num w:numId="9" w16cid:durableId="456413161">
    <w:abstractNumId w:val="2"/>
  </w:num>
  <w:num w:numId="10" w16cid:durableId="2125072823">
    <w:abstractNumId w:val="3"/>
  </w:num>
  <w:num w:numId="11" w16cid:durableId="117769625">
    <w:abstractNumId w:val="8"/>
  </w:num>
  <w:num w:numId="12" w16cid:durableId="630553570">
    <w:abstractNumId w:val="4"/>
  </w:num>
  <w:num w:numId="13" w16cid:durableId="955713900">
    <w:abstractNumId w:val="5"/>
  </w:num>
  <w:num w:numId="14" w16cid:durableId="1559321968">
    <w:abstractNumId w:val="6"/>
  </w:num>
  <w:num w:numId="15" w16cid:durableId="834222538">
    <w:abstractNumId w:val="7"/>
  </w:num>
  <w:num w:numId="16" w16cid:durableId="516428137">
    <w:abstractNumId w:val="9"/>
  </w:num>
  <w:num w:numId="17" w16cid:durableId="614018573">
    <w:abstractNumId w:val="13"/>
  </w:num>
  <w:num w:numId="18" w16cid:durableId="746339651">
    <w:abstractNumId w:val="17"/>
  </w:num>
  <w:num w:numId="19" w16cid:durableId="1991442919">
    <w:abstractNumId w:val="11"/>
    <w:lvlOverride w:ilvl="0">
      <w:lvl w:ilvl="0">
        <w:start w:val="1"/>
        <w:numFmt w:val="bullet"/>
        <w:lvlText w:val=""/>
        <w:lvlJc w:val="left"/>
        <w:pPr>
          <w:tabs>
            <w:tab w:val="num" w:pos="227"/>
          </w:tabs>
          <w:ind w:left="227" w:hanging="227"/>
        </w:pPr>
        <w:rPr>
          <w:rFonts w:ascii="Symbol" w:hAnsi="Symbol" w:hint="default"/>
          <w:color w:val="auto"/>
        </w:rPr>
      </w:lvl>
    </w:lvlOverride>
  </w:num>
  <w:num w:numId="20" w16cid:durableId="1291591127">
    <w:abstractNumId w:val="16"/>
  </w:num>
  <w:num w:numId="21" w16cid:durableId="1132945809">
    <w:abstractNumId w:val="11"/>
  </w:num>
  <w:num w:numId="22" w16cid:durableId="383791725">
    <w:abstractNumId w:val="15"/>
    <w:lvlOverride w:ilvl="0">
      <w:startOverride w:val="1"/>
    </w:lvlOverride>
  </w:num>
  <w:num w:numId="23" w16cid:durableId="1929387321">
    <w:abstractNumId w:val="15"/>
    <w:lvlOverride w:ilvl="0">
      <w:startOverride w:val="1"/>
    </w:lvlOverride>
  </w:num>
  <w:num w:numId="24" w16cid:durableId="941188604">
    <w:abstractNumId w:val="15"/>
    <w:lvlOverride w:ilvl="0">
      <w:startOverride w:val="1"/>
    </w:lvlOverride>
  </w:num>
  <w:num w:numId="25" w16cid:durableId="374961820">
    <w:abstractNumId w:val="10"/>
  </w:num>
  <w:num w:numId="26" w16cid:durableId="1743137661">
    <w:abstractNumId w:val="8"/>
  </w:num>
  <w:num w:numId="27" w16cid:durableId="1050151797">
    <w:abstractNumId w:val="3"/>
  </w:num>
  <w:num w:numId="28" w16cid:durableId="37366149">
    <w:abstractNumId w:val="2"/>
  </w:num>
  <w:num w:numId="29" w16cid:durableId="736325216">
    <w:abstractNumId w:val="1"/>
  </w:num>
  <w:num w:numId="30" w16cid:durableId="1871145112">
    <w:abstractNumId w:val="0"/>
  </w:num>
  <w:num w:numId="31" w16cid:durableId="5575905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4ZzPqPQ856o6BIP+HqlWn8pEPkZyRzbFikEuvXSTQleniyuFLngc5xozMxowNPr8gYDrpMuf01+T82/YJrTyw==" w:salt="uLdrJ9dgJuDhtJHxRhJ+BQ=="/>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15"/>
    <w:rsid w:val="0000042F"/>
    <w:rsid w:val="00000581"/>
    <w:rsid w:val="00001327"/>
    <w:rsid w:val="0000145F"/>
    <w:rsid w:val="00001BB3"/>
    <w:rsid w:val="00001C56"/>
    <w:rsid w:val="00001DBB"/>
    <w:rsid w:val="00001E97"/>
    <w:rsid w:val="00002090"/>
    <w:rsid w:val="00002D86"/>
    <w:rsid w:val="00002FB9"/>
    <w:rsid w:val="000032E5"/>
    <w:rsid w:val="00003733"/>
    <w:rsid w:val="00003912"/>
    <w:rsid w:val="00003C55"/>
    <w:rsid w:val="00003F38"/>
    <w:rsid w:val="00003FDC"/>
    <w:rsid w:val="00004040"/>
    <w:rsid w:val="00004C3A"/>
    <w:rsid w:val="00004FDD"/>
    <w:rsid w:val="00005446"/>
    <w:rsid w:val="00005908"/>
    <w:rsid w:val="0000601A"/>
    <w:rsid w:val="000060AC"/>
    <w:rsid w:val="000063C9"/>
    <w:rsid w:val="00006498"/>
    <w:rsid w:val="0000678E"/>
    <w:rsid w:val="00006C40"/>
    <w:rsid w:val="00006DEA"/>
    <w:rsid w:val="00007140"/>
    <w:rsid w:val="000071B6"/>
    <w:rsid w:val="0000746A"/>
    <w:rsid w:val="00007605"/>
    <w:rsid w:val="00007817"/>
    <w:rsid w:val="00007CA4"/>
    <w:rsid w:val="00007CC9"/>
    <w:rsid w:val="00007D80"/>
    <w:rsid w:val="00007FD8"/>
    <w:rsid w:val="00010707"/>
    <w:rsid w:val="000108E0"/>
    <w:rsid w:val="00010A03"/>
    <w:rsid w:val="00010CDC"/>
    <w:rsid w:val="0001109D"/>
    <w:rsid w:val="0001119A"/>
    <w:rsid w:val="00011C38"/>
    <w:rsid w:val="00011EA5"/>
    <w:rsid w:val="00012828"/>
    <w:rsid w:val="00012E7E"/>
    <w:rsid w:val="00013267"/>
    <w:rsid w:val="00013646"/>
    <w:rsid w:val="00013C26"/>
    <w:rsid w:val="00013FAC"/>
    <w:rsid w:val="00014047"/>
    <w:rsid w:val="0001407D"/>
    <w:rsid w:val="000142F8"/>
    <w:rsid w:val="0001441E"/>
    <w:rsid w:val="00014787"/>
    <w:rsid w:val="000147EC"/>
    <w:rsid w:val="00014C51"/>
    <w:rsid w:val="000150C5"/>
    <w:rsid w:val="00015821"/>
    <w:rsid w:val="00016012"/>
    <w:rsid w:val="00016258"/>
    <w:rsid w:val="000166B6"/>
    <w:rsid w:val="00016D20"/>
    <w:rsid w:val="0001755E"/>
    <w:rsid w:val="000176CA"/>
    <w:rsid w:val="00017763"/>
    <w:rsid w:val="00017E1C"/>
    <w:rsid w:val="00020294"/>
    <w:rsid w:val="0002039A"/>
    <w:rsid w:val="00020A73"/>
    <w:rsid w:val="00020DC2"/>
    <w:rsid w:val="0002131A"/>
    <w:rsid w:val="000213EF"/>
    <w:rsid w:val="00021C1E"/>
    <w:rsid w:val="00021C4B"/>
    <w:rsid w:val="00021C8F"/>
    <w:rsid w:val="00021EAF"/>
    <w:rsid w:val="0002264C"/>
    <w:rsid w:val="00022927"/>
    <w:rsid w:val="0002298E"/>
    <w:rsid w:val="00022F0F"/>
    <w:rsid w:val="0002306A"/>
    <w:rsid w:val="000232AD"/>
    <w:rsid w:val="000233F5"/>
    <w:rsid w:val="00023665"/>
    <w:rsid w:val="00023A95"/>
    <w:rsid w:val="00023E15"/>
    <w:rsid w:val="000242C1"/>
    <w:rsid w:val="0002446A"/>
    <w:rsid w:val="00024B16"/>
    <w:rsid w:val="00024BF4"/>
    <w:rsid w:val="00024DFF"/>
    <w:rsid w:val="000250E6"/>
    <w:rsid w:val="00025293"/>
    <w:rsid w:val="00025338"/>
    <w:rsid w:val="00025352"/>
    <w:rsid w:val="00025656"/>
    <w:rsid w:val="00025793"/>
    <w:rsid w:val="00025919"/>
    <w:rsid w:val="00025F05"/>
    <w:rsid w:val="00026086"/>
    <w:rsid w:val="000260EF"/>
    <w:rsid w:val="0002654B"/>
    <w:rsid w:val="00026786"/>
    <w:rsid w:val="0002690D"/>
    <w:rsid w:val="00027BE0"/>
    <w:rsid w:val="0003078C"/>
    <w:rsid w:val="000308C5"/>
    <w:rsid w:val="00030ECE"/>
    <w:rsid w:val="00031BDC"/>
    <w:rsid w:val="00031E6C"/>
    <w:rsid w:val="000321B7"/>
    <w:rsid w:val="0003283A"/>
    <w:rsid w:val="00032DBF"/>
    <w:rsid w:val="0003348D"/>
    <w:rsid w:val="00033A9B"/>
    <w:rsid w:val="00034581"/>
    <w:rsid w:val="00034624"/>
    <w:rsid w:val="00034AFC"/>
    <w:rsid w:val="00034B39"/>
    <w:rsid w:val="00034B5A"/>
    <w:rsid w:val="000352F1"/>
    <w:rsid w:val="00035BC1"/>
    <w:rsid w:val="00035F08"/>
    <w:rsid w:val="00036311"/>
    <w:rsid w:val="0003641B"/>
    <w:rsid w:val="0003648F"/>
    <w:rsid w:val="000364C9"/>
    <w:rsid w:val="00036637"/>
    <w:rsid w:val="00036D53"/>
    <w:rsid w:val="000377A3"/>
    <w:rsid w:val="00040860"/>
    <w:rsid w:val="000408F7"/>
    <w:rsid w:val="00040AA8"/>
    <w:rsid w:val="00040CC7"/>
    <w:rsid w:val="00041181"/>
    <w:rsid w:val="000427D8"/>
    <w:rsid w:val="00042B4C"/>
    <w:rsid w:val="00043087"/>
    <w:rsid w:val="0004318D"/>
    <w:rsid w:val="00043545"/>
    <w:rsid w:val="00043A5E"/>
    <w:rsid w:val="000446BF"/>
    <w:rsid w:val="00044A6A"/>
    <w:rsid w:val="00044D5F"/>
    <w:rsid w:val="00045038"/>
    <w:rsid w:val="000450EF"/>
    <w:rsid w:val="0004519B"/>
    <w:rsid w:val="00045734"/>
    <w:rsid w:val="000460F4"/>
    <w:rsid w:val="00046B0B"/>
    <w:rsid w:val="00046FF7"/>
    <w:rsid w:val="00047326"/>
    <w:rsid w:val="0004761F"/>
    <w:rsid w:val="00047B0E"/>
    <w:rsid w:val="00047C47"/>
    <w:rsid w:val="00047E99"/>
    <w:rsid w:val="000500A4"/>
    <w:rsid w:val="000501A2"/>
    <w:rsid w:val="00050D29"/>
    <w:rsid w:val="00050F78"/>
    <w:rsid w:val="0005121A"/>
    <w:rsid w:val="0005123F"/>
    <w:rsid w:val="00051809"/>
    <w:rsid w:val="0005200E"/>
    <w:rsid w:val="00052580"/>
    <w:rsid w:val="000525C1"/>
    <w:rsid w:val="00052ADF"/>
    <w:rsid w:val="00052F9D"/>
    <w:rsid w:val="000536A6"/>
    <w:rsid w:val="00053944"/>
    <w:rsid w:val="0005486D"/>
    <w:rsid w:val="00054AD8"/>
    <w:rsid w:val="00054B74"/>
    <w:rsid w:val="00054E97"/>
    <w:rsid w:val="00054F33"/>
    <w:rsid w:val="00054FF9"/>
    <w:rsid w:val="0005535C"/>
    <w:rsid w:val="00055781"/>
    <w:rsid w:val="00055825"/>
    <w:rsid w:val="00055D51"/>
    <w:rsid w:val="00055EC0"/>
    <w:rsid w:val="00055F6A"/>
    <w:rsid w:val="00056D8A"/>
    <w:rsid w:val="00056F25"/>
    <w:rsid w:val="00057170"/>
    <w:rsid w:val="000572D5"/>
    <w:rsid w:val="00057720"/>
    <w:rsid w:val="000579C8"/>
    <w:rsid w:val="00057CDC"/>
    <w:rsid w:val="00060412"/>
    <w:rsid w:val="00060751"/>
    <w:rsid w:val="000612A5"/>
    <w:rsid w:val="000614CC"/>
    <w:rsid w:val="00061ABC"/>
    <w:rsid w:val="0006206E"/>
    <w:rsid w:val="000627EF"/>
    <w:rsid w:val="00062D19"/>
    <w:rsid w:val="00063291"/>
    <w:rsid w:val="000635D8"/>
    <w:rsid w:val="00064353"/>
    <w:rsid w:val="00064381"/>
    <w:rsid w:val="0006479D"/>
    <w:rsid w:val="00064B58"/>
    <w:rsid w:val="00064EAC"/>
    <w:rsid w:val="0006547D"/>
    <w:rsid w:val="00065489"/>
    <w:rsid w:val="00065AC8"/>
    <w:rsid w:val="000662E2"/>
    <w:rsid w:val="00066C37"/>
    <w:rsid w:val="000671B1"/>
    <w:rsid w:val="000677C6"/>
    <w:rsid w:val="00067AE5"/>
    <w:rsid w:val="00067D02"/>
    <w:rsid w:val="000700DF"/>
    <w:rsid w:val="00070519"/>
    <w:rsid w:val="00070836"/>
    <w:rsid w:val="000714D6"/>
    <w:rsid w:val="00071BA1"/>
    <w:rsid w:val="00071EE2"/>
    <w:rsid w:val="00072B9A"/>
    <w:rsid w:val="000730CD"/>
    <w:rsid w:val="000732AE"/>
    <w:rsid w:val="000738C3"/>
    <w:rsid w:val="000739A5"/>
    <w:rsid w:val="00073D59"/>
    <w:rsid w:val="00073D93"/>
    <w:rsid w:val="0007462F"/>
    <w:rsid w:val="00074821"/>
    <w:rsid w:val="00074981"/>
    <w:rsid w:val="000755F9"/>
    <w:rsid w:val="0007581F"/>
    <w:rsid w:val="00075AE9"/>
    <w:rsid w:val="00075BCD"/>
    <w:rsid w:val="00076788"/>
    <w:rsid w:val="000767C6"/>
    <w:rsid w:val="00076B7C"/>
    <w:rsid w:val="00076E3C"/>
    <w:rsid w:val="00076E63"/>
    <w:rsid w:val="000773EE"/>
    <w:rsid w:val="000777B1"/>
    <w:rsid w:val="000778E1"/>
    <w:rsid w:val="000802AC"/>
    <w:rsid w:val="0008053F"/>
    <w:rsid w:val="00080F46"/>
    <w:rsid w:val="00080F81"/>
    <w:rsid w:val="00081179"/>
    <w:rsid w:val="000813A9"/>
    <w:rsid w:val="00081869"/>
    <w:rsid w:val="00081D2C"/>
    <w:rsid w:val="00082184"/>
    <w:rsid w:val="000826D0"/>
    <w:rsid w:val="000826FE"/>
    <w:rsid w:val="00082996"/>
    <w:rsid w:val="00082D0F"/>
    <w:rsid w:val="000831FF"/>
    <w:rsid w:val="000834E0"/>
    <w:rsid w:val="00083783"/>
    <w:rsid w:val="00084048"/>
    <w:rsid w:val="000841AB"/>
    <w:rsid w:val="000841C6"/>
    <w:rsid w:val="0008424E"/>
    <w:rsid w:val="00084407"/>
    <w:rsid w:val="00084C64"/>
    <w:rsid w:val="00084E67"/>
    <w:rsid w:val="000853F3"/>
    <w:rsid w:val="000859AA"/>
    <w:rsid w:val="00085B66"/>
    <w:rsid w:val="00086A9B"/>
    <w:rsid w:val="00086FA3"/>
    <w:rsid w:val="000903CA"/>
    <w:rsid w:val="00090410"/>
    <w:rsid w:val="0009041D"/>
    <w:rsid w:val="000905BD"/>
    <w:rsid w:val="0009073B"/>
    <w:rsid w:val="000907C9"/>
    <w:rsid w:val="00090806"/>
    <w:rsid w:val="00090D76"/>
    <w:rsid w:val="0009130F"/>
    <w:rsid w:val="000919B0"/>
    <w:rsid w:val="00091AFB"/>
    <w:rsid w:val="00092F2B"/>
    <w:rsid w:val="0009323B"/>
    <w:rsid w:val="0009328C"/>
    <w:rsid w:val="000938A8"/>
    <w:rsid w:val="00093C2B"/>
    <w:rsid w:val="000946E6"/>
    <w:rsid w:val="00094E67"/>
    <w:rsid w:val="00095584"/>
    <w:rsid w:val="000955CD"/>
    <w:rsid w:val="0009597C"/>
    <w:rsid w:val="00095C1D"/>
    <w:rsid w:val="0009639C"/>
    <w:rsid w:val="000963D0"/>
    <w:rsid w:val="000966C0"/>
    <w:rsid w:val="00096770"/>
    <w:rsid w:val="000976D3"/>
    <w:rsid w:val="00097AA4"/>
    <w:rsid w:val="00097E14"/>
    <w:rsid w:val="00097EE7"/>
    <w:rsid w:val="00097FA3"/>
    <w:rsid w:val="000A01D6"/>
    <w:rsid w:val="000A0507"/>
    <w:rsid w:val="000A1096"/>
    <w:rsid w:val="000A11C0"/>
    <w:rsid w:val="000A12AD"/>
    <w:rsid w:val="000A12CB"/>
    <w:rsid w:val="000A132D"/>
    <w:rsid w:val="000A1659"/>
    <w:rsid w:val="000A1BC4"/>
    <w:rsid w:val="000A1E49"/>
    <w:rsid w:val="000A20B3"/>
    <w:rsid w:val="000A26B8"/>
    <w:rsid w:val="000A279F"/>
    <w:rsid w:val="000A295B"/>
    <w:rsid w:val="000A2D2F"/>
    <w:rsid w:val="000A2D39"/>
    <w:rsid w:val="000A2E6B"/>
    <w:rsid w:val="000A307B"/>
    <w:rsid w:val="000A30CB"/>
    <w:rsid w:val="000A3643"/>
    <w:rsid w:val="000A38CF"/>
    <w:rsid w:val="000A3A87"/>
    <w:rsid w:val="000A3D12"/>
    <w:rsid w:val="000A3F15"/>
    <w:rsid w:val="000A430D"/>
    <w:rsid w:val="000A4545"/>
    <w:rsid w:val="000A45C2"/>
    <w:rsid w:val="000A48FB"/>
    <w:rsid w:val="000A4B31"/>
    <w:rsid w:val="000A53CC"/>
    <w:rsid w:val="000A5548"/>
    <w:rsid w:val="000A59A6"/>
    <w:rsid w:val="000A5B01"/>
    <w:rsid w:val="000A5E89"/>
    <w:rsid w:val="000A6100"/>
    <w:rsid w:val="000A6315"/>
    <w:rsid w:val="000A6A0D"/>
    <w:rsid w:val="000A6A3F"/>
    <w:rsid w:val="000A6B2B"/>
    <w:rsid w:val="000A71BD"/>
    <w:rsid w:val="000A79AC"/>
    <w:rsid w:val="000A7AAE"/>
    <w:rsid w:val="000A7E94"/>
    <w:rsid w:val="000A7F6E"/>
    <w:rsid w:val="000B0377"/>
    <w:rsid w:val="000B07CC"/>
    <w:rsid w:val="000B0EA2"/>
    <w:rsid w:val="000B0F08"/>
    <w:rsid w:val="000B1065"/>
    <w:rsid w:val="000B111A"/>
    <w:rsid w:val="000B1286"/>
    <w:rsid w:val="000B12A0"/>
    <w:rsid w:val="000B147F"/>
    <w:rsid w:val="000B1A3F"/>
    <w:rsid w:val="000B206B"/>
    <w:rsid w:val="000B21DA"/>
    <w:rsid w:val="000B22E9"/>
    <w:rsid w:val="000B283C"/>
    <w:rsid w:val="000B2F8B"/>
    <w:rsid w:val="000B3104"/>
    <w:rsid w:val="000B3139"/>
    <w:rsid w:val="000B318C"/>
    <w:rsid w:val="000B31E2"/>
    <w:rsid w:val="000B3264"/>
    <w:rsid w:val="000B342C"/>
    <w:rsid w:val="000B3B40"/>
    <w:rsid w:val="000B3B58"/>
    <w:rsid w:val="000B3EFA"/>
    <w:rsid w:val="000B42CE"/>
    <w:rsid w:val="000B4417"/>
    <w:rsid w:val="000B4B94"/>
    <w:rsid w:val="000B4D1C"/>
    <w:rsid w:val="000B4E1A"/>
    <w:rsid w:val="000B5345"/>
    <w:rsid w:val="000B540B"/>
    <w:rsid w:val="000B5490"/>
    <w:rsid w:val="000B59C0"/>
    <w:rsid w:val="000B5B9E"/>
    <w:rsid w:val="000B5C58"/>
    <w:rsid w:val="000B5F4F"/>
    <w:rsid w:val="000B6935"/>
    <w:rsid w:val="000B6F0B"/>
    <w:rsid w:val="000B7BC6"/>
    <w:rsid w:val="000B7DE9"/>
    <w:rsid w:val="000C0186"/>
    <w:rsid w:val="000C051E"/>
    <w:rsid w:val="000C05B7"/>
    <w:rsid w:val="000C05FB"/>
    <w:rsid w:val="000C0998"/>
    <w:rsid w:val="000C19BC"/>
    <w:rsid w:val="000C1DD6"/>
    <w:rsid w:val="000C1F6C"/>
    <w:rsid w:val="000C20D0"/>
    <w:rsid w:val="000C2126"/>
    <w:rsid w:val="000C248E"/>
    <w:rsid w:val="000C25FB"/>
    <w:rsid w:val="000C27C0"/>
    <w:rsid w:val="000C29E8"/>
    <w:rsid w:val="000C3039"/>
    <w:rsid w:val="000C34A2"/>
    <w:rsid w:val="000C35A8"/>
    <w:rsid w:val="000C37CE"/>
    <w:rsid w:val="000C3F70"/>
    <w:rsid w:val="000C3F93"/>
    <w:rsid w:val="000C4025"/>
    <w:rsid w:val="000C405C"/>
    <w:rsid w:val="000C4911"/>
    <w:rsid w:val="000C52C4"/>
    <w:rsid w:val="000C5791"/>
    <w:rsid w:val="000C57F8"/>
    <w:rsid w:val="000C583E"/>
    <w:rsid w:val="000C5920"/>
    <w:rsid w:val="000C5A56"/>
    <w:rsid w:val="000C5DA4"/>
    <w:rsid w:val="000C5F84"/>
    <w:rsid w:val="000C60A8"/>
    <w:rsid w:val="000C6931"/>
    <w:rsid w:val="000C6D1D"/>
    <w:rsid w:val="000C73BF"/>
    <w:rsid w:val="000C77CB"/>
    <w:rsid w:val="000C7891"/>
    <w:rsid w:val="000C7C42"/>
    <w:rsid w:val="000C7D88"/>
    <w:rsid w:val="000C7E51"/>
    <w:rsid w:val="000D025F"/>
    <w:rsid w:val="000D0C2B"/>
    <w:rsid w:val="000D1041"/>
    <w:rsid w:val="000D12C3"/>
    <w:rsid w:val="000D13F1"/>
    <w:rsid w:val="000D1A36"/>
    <w:rsid w:val="000D1CBD"/>
    <w:rsid w:val="000D1DA0"/>
    <w:rsid w:val="000D2A3C"/>
    <w:rsid w:val="000D2A49"/>
    <w:rsid w:val="000D2F44"/>
    <w:rsid w:val="000D300C"/>
    <w:rsid w:val="000D338D"/>
    <w:rsid w:val="000D3B32"/>
    <w:rsid w:val="000D47F6"/>
    <w:rsid w:val="000D4DD3"/>
    <w:rsid w:val="000D4FCD"/>
    <w:rsid w:val="000D5295"/>
    <w:rsid w:val="000D5629"/>
    <w:rsid w:val="000D5913"/>
    <w:rsid w:val="000D5E6D"/>
    <w:rsid w:val="000D6254"/>
    <w:rsid w:val="000D62DD"/>
    <w:rsid w:val="000D644D"/>
    <w:rsid w:val="000D697F"/>
    <w:rsid w:val="000D69A0"/>
    <w:rsid w:val="000D6AB1"/>
    <w:rsid w:val="000D7014"/>
    <w:rsid w:val="000D7813"/>
    <w:rsid w:val="000D788A"/>
    <w:rsid w:val="000E003A"/>
    <w:rsid w:val="000E02B2"/>
    <w:rsid w:val="000E0554"/>
    <w:rsid w:val="000E07C3"/>
    <w:rsid w:val="000E0CCB"/>
    <w:rsid w:val="000E16F3"/>
    <w:rsid w:val="000E19D7"/>
    <w:rsid w:val="000E1C96"/>
    <w:rsid w:val="000E1F3E"/>
    <w:rsid w:val="000E1F52"/>
    <w:rsid w:val="000E284F"/>
    <w:rsid w:val="000E2AB5"/>
    <w:rsid w:val="000E3095"/>
    <w:rsid w:val="000E3EA0"/>
    <w:rsid w:val="000E4195"/>
    <w:rsid w:val="000E4253"/>
    <w:rsid w:val="000E4325"/>
    <w:rsid w:val="000E4E5D"/>
    <w:rsid w:val="000E4E77"/>
    <w:rsid w:val="000E5C1A"/>
    <w:rsid w:val="000E5C3C"/>
    <w:rsid w:val="000E5FB2"/>
    <w:rsid w:val="000E60D1"/>
    <w:rsid w:val="000E6624"/>
    <w:rsid w:val="000E670A"/>
    <w:rsid w:val="000E6940"/>
    <w:rsid w:val="000E6F55"/>
    <w:rsid w:val="000E6FE5"/>
    <w:rsid w:val="000E7221"/>
    <w:rsid w:val="000E7395"/>
    <w:rsid w:val="000E7B81"/>
    <w:rsid w:val="000E7E86"/>
    <w:rsid w:val="000F0CFC"/>
    <w:rsid w:val="000F0D5B"/>
    <w:rsid w:val="000F1C9A"/>
    <w:rsid w:val="000F22BC"/>
    <w:rsid w:val="000F22DC"/>
    <w:rsid w:val="000F23B5"/>
    <w:rsid w:val="000F2D83"/>
    <w:rsid w:val="000F2DF8"/>
    <w:rsid w:val="000F3036"/>
    <w:rsid w:val="000F31BA"/>
    <w:rsid w:val="000F333C"/>
    <w:rsid w:val="000F3536"/>
    <w:rsid w:val="000F36B1"/>
    <w:rsid w:val="000F3C22"/>
    <w:rsid w:val="000F431C"/>
    <w:rsid w:val="000F5576"/>
    <w:rsid w:val="000F5943"/>
    <w:rsid w:val="000F5AE0"/>
    <w:rsid w:val="000F5D5A"/>
    <w:rsid w:val="000F5F2A"/>
    <w:rsid w:val="000F6044"/>
    <w:rsid w:val="000F6501"/>
    <w:rsid w:val="000F68CA"/>
    <w:rsid w:val="000F69F1"/>
    <w:rsid w:val="000F77B5"/>
    <w:rsid w:val="000F7A33"/>
    <w:rsid w:val="000F7BE2"/>
    <w:rsid w:val="000F7E65"/>
    <w:rsid w:val="001005FF"/>
    <w:rsid w:val="00101283"/>
    <w:rsid w:val="00101351"/>
    <w:rsid w:val="001018B4"/>
    <w:rsid w:val="0010340E"/>
    <w:rsid w:val="001036F1"/>
    <w:rsid w:val="00103E53"/>
    <w:rsid w:val="00103FC7"/>
    <w:rsid w:val="0010402C"/>
    <w:rsid w:val="00104480"/>
    <w:rsid w:val="001046EC"/>
    <w:rsid w:val="00105025"/>
    <w:rsid w:val="001054C3"/>
    <w:rsid w:val="00105664"/>
    <w:rsid w:val="0010575E"/>
    <w:rsid w:val="00106062"/>
    <w:rsid w:val="0010656D"/>
    <w:rsid w:val="00106B5E"/>
    <w:rsid w:val="00106F7A"/>
    <w:rsid w:val="001071DD"/>
    <w:rsid w:val="001078E7"/>
    <w:rsid w:val="00107BD5"/>
    <w:rsid w:val="00107D86"/>
    <w:rsid w:val="00107E8C"/>
    <w:rsid w:val="001108CF"/>
    <w:rsid w:val="00110943"/>
    <w:rsid w:val="00110F47"/>
    <w:rsid w:val="001110B5"/>
    <w:rsid w:val="00111331"/>
    <w:rsid w:val="00111792"/>
    <w:rsid w:val="00111DD8"/>
    <w:rsid w:val="00111E53"/>
    <w:rsid w:val="00112689"/>
    <w:rsid w:val="00112804"/>
    <w:rsid w:val="001128AB"/>
    <w:rsid w:val="001129A3"/>
    <w:rsid w:val="001129C2"/>
    <w:rsid w:val="00112C6C"/>
    <w:rsid w:val="00112E3C"/>
    <w:rsid w:val="00113532"/>
    <w:rsid w:val="001136FF"/>
    <w:rsid w:val="001137FC"/>
    <w:rsid w:val="00113F46"/>
    <w:rsid w:val="00114085"/>
    <w:rsid w:val="0011460B"/>
    <w:rsid w:val="0011463B"/>
    <w:rsid w:val="0011499B"/>
    <w:rsid w:val="00114AA3"/>
    <w:rsid w:val="001152E4"/>
    <w:rsid w:val="00115D58"/>
    <w:rsid w:val="0011641B"/>
    <w:rsid w:val="0011687A"/>
    <w:rsid w:val="0011705D"/>
    <w:rsid w:val="00117092"/>
    <w:rsid w:val="0011711D"/>
    <w:rsid w:val="001171F1"/>
    <w:rsid w:val="00117370"/>
    <w:rsid w:val="0011789A"/>
    <w:rsid w:val="0011789D"/>
    <w:rsid w:val="001201CB"/>
    <w:rsid w:val="001202D5"/>
    <w:rsid w:val="001203BF"/>
    <w:rsid w:val="00120415"/>
    <w:rsid w:val="00120E28"/>
    <w:rsid w:val="00121203"/>
    <w:rsid w:val="00121472"/>
    <w:rsid w:val="00121607"/>
    <w:rsid w:val="00121B01"/>
    <w:rsid w:val="001225DC"/>
    <w:rsid w:val="00122639"/>
    <w:rsid w:val="001229AD"/>
    <w:rsid w:val="00122ADF"/>
    <w:rsid w:val="00122C00"/>
    <w:rsid w:val="00122E7C"/>
    <w:rsid w:val="001232AE"/>
    <w:rsid w:val="001239D2"/>
    <w:rsid w:val="00123A1E"/>
    <w:rsid w:val="00123E52"/>
    <w:rsid w:val="0012425F"/>
    <w:rsid w:val="00124284"/>
    <w:rsid w:val="00124341"/>
    <w:rsid w:val="001243B5"/>
    <w:rsid w:val="00124794"/>
    <w:rsid w:val="001248A3"/>
    <w:rsid w:val="00124B5B"/>
    <w:rsid w:val="00124B86"/>
    <w:rsid w:val="00124FBA"/>
    <w:rsid w:val="0012511A"/>
    <w:rsid w:val="0012529D"/>
    <w:rsid w:val="0012529E"/>
    <w:rsid w:val="001256C5"/>
    <w:rsid w:val="001258E8"/>
    <w:rsid w:val="001259DA"/>
    <w:rsid w:val="00125BA3"/>
    <w:rsid w:val="00125D8E"/>
    <w:rsid w:val="001264AE"/>
    <w:rsid w:val="00126735"/>
    <w:rsid w:val="00127058"/>
    <w:rsid w:val="001271F8"/>
    <w:rsid w:val="00127898"/>
    <w:rsid w:val="00127DA4"/>
    <w:rsid w:val="0013159F"/>
    <w:rsid w:val="001315E4"/>
    <w:rsid w:val="0013176A"/>
    <w:rsid w:val="001318FB"/>
    <w:rsid w:val="00132209"/>
    <w:rsid w:val="0013228F"/>
    <w:rsid w:val="001323AA"/>
    <w:rsid w:val="00132450"/>
    <w:rsid w:val="0013292A"/>
    <w:rsid w:val="00132932"/>
    <w:rsid w:val="00132C56"/>
    <w:rsid w:val="00132EC2"/>
    <w:rsid w:val="00133488"/>
    <w:rsid w:val="001335CD"/>
    <w:rsid w:val="0013373D"/>
    <w:rsid w:val="00134219"/>
    <w:rsid w:val="0013421E"/>
    <w:rsid w:val="00134636"/>
    <w:rsid w:val="00134709"/>
    <w:rsid w:val="00134EB3"/>
    <w:rsid w:val="00134F13"/>
    <w:rsid w:val="00134F84"/>
    <w:rsid w:val="001350EA"/>
    <w:rsid w:val="0013531A"/>
    <w:rsid w:val="001359E3"/>
    <w:rsid w:val="00135A51"/>
    <w:rsid w:val="00136018"/>
    <w:rsid w:val="0013659F"/>
    <w:rsid w:val="00136686"/>
    <w:rsid w:val="001366C4"/>
    <w:rsid w:val="00136BB7"/>
    <w:rsid w:val="00136F02"/>
    <w:rsid w:val="00136F99"/>
    <w:rsid w:val="00136FD6"/>
    <w:rsid w:val="001372F5"/>
    <w:rsid w:val="00137555"/>
    <w:rsid w:val="001377E9"/>
    <w:rsid w:val="00137971"/>
    <w:rsid w:val="00137CAC"/>
    <w:rsid w:val="00137CE9"/>
    <w:rsid w:val="001403A0"/>
    <w:rsid w:val="001404EC"/>
    <w:rsid w:val="001407A0"/>
    <w:rsid w:val="00140BCB"/>
    <w:rsid w:val="001416B3"/>
    <w:rsid w:val="00141AD1"/>
    <w:rsid w:val="00141D33"/>
    <w:rsid w:val="00142142"/>
    <w:rsid w:val="00142342"/>
    <w:rsid w:val="001423FA"/>
    <w:rsid w:val="00142732"/>
    <w:rsid w:val="00142772"/>
    <w:rsid w:val="00142874"/>
    <w:rsid w:val="00142A93"/>
    <w:rsid w:val="00142C11"/>
    <w:rsid w:val="00142CF6"/>
    <w:rsid w:val="00142E6A"/>
    <w:rsid w:val="00143110"/>
    <w:rsid w:val="00143231"/>
    <w:rsid w:val="00143283"/>
    <w:rsid w:val="0014370D"/>
    <w:rsid w:val="0014383C"/>
    <w:rsid w:val="00143D1E"/>
    <w:rsid w:val="001443FA"/>
    <w:rsid w:val="00144AEE"/>
    <w:rsid w:val="00144B79"/>
    <w:rsid w:val="00144E15"/>
    <w:rsid w:val="00144F81"/>
    <w:rsid w:val="00145000"/>
    <w:rsid w:val="001450CE"/>
    <w:rsid w:val="00145538"/>
    <w:rsid w:val="00145991"/>
    <w:rsid w:val="00145E71"/>
    <w:rsid w:val="001461BC"/>
    <w:rsid w:val="00146A61"/>
    <w:rsid w:val="00146E76"/>
    <w:rsid w:val="00147289"/>
    <w:rsid w:val="001476BB"/>
    <w:rsid w:val="00147B26"/>
    <w:rsid w:val="00147B6F"/>
    <w:rsid w:val="00147D40"/>
    <w:rsid w:val="00150304"/>
    <w:rsid w:val="001503E0"/>
    <w:rsid w:val="00150967"/>
    <w:rsid w:val="00150A29"/>
    <w:rsid w:val="001510BE"/>
    <w:rsid w:val="0015120D"/>
    <w:rsid w:val="00151307"/>
    <w:rsid w:val="00151E6E"/>
    <w:rsid w:val="0015225A"/>
    <w:rsid w:val="001523F0"/>
    <w:rsid w:val="00152B3F"/>
    <w:rsid w:val="00153143"/>
    <w:rsid w:val="001531CB"/>
    <w:rsid w:val="0015328B"/>
    <w:rsid w:val="00153327"/>
    <w:rsid w:val="00153506"/>
    <w:rsid w:val="00153766"/>
    <w:rsid w:val="001544A7"/>
    <w:rsid w:val="00154558"/>
    <w:rsid w:val="00154AE2"/>
    <w:rsid w:val="00154B48"/>
    <w:rsid w:val="0015574E"/>
    <w:rsid w:val="00155A16"/>
    <w:rsid w:val="00155AAA"/>
    <w:rsid w:val="00155AB3"/>
    <w:rsid w:val="00156161"/>
    <w:rsid w:val="00156423"/>
    <w:rsid w:val="0015669D"/>
    <w:rsid w:val="00156AF9"/>
    <w:rsid w:val="00156B65"/>
    <w:rsid w:val="00156F08"/>
    <w:rsid w:val="00156F68"/>
    <w:rsid w:val="00157915"/>
    <w:rsid w:val="00157A0C"/>
    <w:rsid w:val="00157ACD"/>
    <w:rsid w:val="00157D62"/>
    <w:rsid w:val="00157F40"/>
    <w:rsid w:val="001600FD"/>
    <w:rsid w:val="00160A3B"/>
    <w:rsid w:val="00160D51"/>
    <w:rsid w:val="00160DDB"/>
    <w:rsid w:val="00160FBB"/>
    <w:rsid w:val="001610CD"/>
    <w:rsid w:val="00161173"/>
    <w:rsid w:val="00161244"/>
    <w:rsid w:val="00161528"/>
    <w:rsid w:val="0016206E"/>
    <w:rsid w:val="0016213D"/>
    <w:rsid w:val="00162267"/>
    <w:rsid w:val="00162589"/>
    <w:rsid w:val="00162C4F"/>
    <w:rsid w:val="001633E2"/>
    <w:rsid w:val="001635FC"/>
    <w:rsid w:val="00163E2A"/>
    <w:rsid w:val="00164039"/>
    <w:rsid w:val="0016483F"/>
    <w:rsid w:val="00164C83"/>
    <w:rsid w:val="00164E08"/>
    <w:rsid w:val="00164E6C"/>
    <w:rsid w:val="00164FC8"/>
    <w:rsid w:val="00165096"/>
    <w:rsid w:val="0016526F"/>
    <w:rsid w:val="001656EA"/>
    <w:rsid w:val="00165BDD"/>
    <w:rsid w:val="00165FBF"/>
    <w:rsid w:val="001664FC"/>
    <w:rsid w:val="001664FE"/>
    <w:rsid w:val="0016659C"/>
    <w:rsid w:val="0016671F"/>
    <w:rsid w:val="00166818"/>
    <w:rsid w:val="00166ADA"/>
    <w:rsid w:val="00166D8E"/>
    <w:rsid w:val="00167037"/>
    <w:rsid w:val="001672F6"/>
    <w:rsid w:val="0016733E"/>
    <w:rsid w:val="001674BD"/>
    <w:rsid w:val="001677F1"/>
    <w:rsid w:val="001678B1"/>
    <w:rsid w:val="00167A89"/>
    <w:rsid w:val="00167E12"/>
    <w:rsid w:val="00167ED6"/>
    <w:rsid w:val="00170380"/>
    <w:rsid w:val="00170B6D"/>
    <w:rsid w:val="00171281"/>
    <w:rsid w:val="00171396"/>
    <w:rsid w:val="0017154D"/>
    <w:rsid w:val="001716C1"/>
    <w:rsid w:val="0017187B"/>
    <w:rsid w:val="00172FE9"/>
    <w:rsid w:val="00173853"/>
    <w:rsid w:val="00173859"/>
    <w:rsid w:val="001739A6"/>
    <w:rsid w:val="00174056"/>
    <w:rsid w:val="00174375"/>
    <w:rsid w:val="001743FE"/>
    <w:rsid w:val="001745F1"/>
    <w:rsid w:val="001745FB"/>
    <w:rsid w:val="00174636"/>
    <w:rsid w:val="0017498E"/>
    <w:rsid w:val="00174C04"/>
    <w:rsid w:val="00175DDE"/>
    <w:rsid w:val="00176E7A"/>
    <w:rsid w:val="001803FF"/>
    <w:rsid w:val="001806DA"/>
    <w:rsid w:val="00180816"/>
    <w:rsid w:val="00180829"/>
    <w:rsid w:val="00180C00"/>
    <w:rsid w:val="001811C7"/>
    <w:rsid w:val="00181434"/>
    <w:rsid w:val="0018143F"/>
    <w:rsid w:val="0018174D"/>
    <w:rsid w:val="001818AC"/>
    <w:rsid w:val="0018215A"/>
    <w:rsid w:val="00182941"/>
    <w:rsid w:val="001829D9"/>
    <w:rsid w:val="00182EE6"/>
    <w:rsid w:val="00183129"/>
    <w:rsid w:val="0018333D"/>
    <w:rsid w:val="00183546"/>
    <w:rsid w:val="00183717"/>
    <w:rsid w:val="00183D8C"/>
    <w:rsid w:val="00183D96"/>
    <w:rsid w:val="001840EE"/>
    <w:rsid w:val="001843FA"/>
    <w:rsid w:val="001846D5"/>
    <w:rsid w:val="001846DE"/>
    <w:rsid w:val="00184B56"/>
    <w:rsid w:val="00185B55"/>
    <w:rsid w:val="00185BF3"/>
    <w:rsid w:val="00186659"/>
    <w:rsid w:val="00186A1E"/>
    <w:rsid w:val="00186C1E"/>
    <w:rsid w:val="001874E6"/>
    <w:rsid w:val="00187502"/>
    <w:rsid w:val="00187B13"/>
    <w:rsid w:val="00187E0F"/>
    <w:rsid w:val="00187FA7"/>
    <w:rsid w:val="00190070"/>
    <w:rsid w:val="001906D7"/>
    <w:rsid w:val="001908E9"/>
    <w:rsid w:val="001910E7"/>
    <w:rsid w:val="001915D6"/>
    <w:rsid w:val="0019225A"/>
    <w:rsid w:val="0019253D"/>
    <w:rsid w:val="00192684"/>
    <w:rsid w:val="00192E5B"/>
    <w:rsid w:val="001930E4"/>
    <w:rsid w:val="00193166"/>
    <w:rsid w:val="00193A1B"/>
    <w:rsid w:val="00193B85"/>
    <w:rsid w:val="00193B8F"/>
    <w:rsid w:val="0019422A"/>
    <w:rsid w:val="001942AB"/>
    <w:rsid w:val="001942C3"/>
    <w:rsid w:val="001942D1"/>
    <w:rsid w:val="00194326"/>
    <w:rsid w:val="001943BB"/>
    <w:rsid w:val="001944AA"/>
    <w:rsid w:val="0019485A"/>
    <w:rsid w:val="00194C76"/>
    <w:rsid w:val="001954C9"/>
    <w:rsid w:val="001954D2"/>
    <w:rsid w:val="00195572"/>
    <w:rsid w:val="00195FFD"/>
    <w:rsid w:val="001962A9"/>
    <w:rsid w:val="0019664A"/>
    <w:rsid w:val="00196968"/>
    <w:rsid w:val="001969B1"/>
    <w:rsid w:val="00196C5A"/>
    <w:rsid w:val="001975CD"/>
    <w:rsid w:val="00197A05"/>
    <w:rsid w:val="001A00D6"/>
    <w:rsid w:val="001A02A3"/>
    <w:rsid w:val="001A05F6"/>
    <w:rsid w:val="001A072B"/>
    <w:rsid w:val="001A076C"/>
    <w:rsid w:val="001A07C0"/>
    <w:rsid w:val="001A0C9B"/>
    <w:rsid w:val="001A16BE"/>
    <w:rsid w:val="001A1830"/>
    <w:rsid w:val="001A1DD6"/>
    <w:rsid w:val="001A2053"/>
    <w:rsid w:val="001A2489"/>
    <w:rsid w:val="001A249B"/>
    <w:rsid w:val="001A25E8"/>
    <w:rsid w:val="001A26AB"/>
    <w:rsid w:val="001A2789"/>
    <w:rsid w:val="001A2D59"/>
    <w:rsid w:val="001A3091"/>
    <w:rsid w:val="001A325B"/>
    <w:rsid w:val="001A32CA"/>
    <w:rsid w:val="001A33BD"/>
    <w:rsid w:val="001A3975"/>
    <w:rsid w:val="001A40C0"/>
    <w:rsid w:val="001A46EC"/>
    <w:rsid w:val="001A4E39"/>
    <w:rsid w:val="001A50E4"/>
    <w:rsid w:val="001A54C0"/>
    <w:rsid w:val="001A5BC6"/>
    <w:rsid w:val="001A5CDF"/>
    <w:rsid w:val="001A5F5D"/>
    <w:rsid w:val="001A66AA"/>
    <w:rsid w:val="001A71AE"/>
    <w:rsid w:val="001A7AE5"/>
    <w:rsid w:val="001A7DF7"/>
    <w:rsid w:val="001B01BA"/>
    <w:rsid w:val="001B0218"/>
    <w:rsid w:val="001B03B1"/>
    <w:rsid w:val="001B1274"/>
    <w:rsid w:val="001B1A53"/>
    <w:rsid w:val="001B1D54"/>
    <w:rsid w:val="001B23CC"/>
    <w:rsid w:val="001B26F6"/>
    <w:rsid w:val="001B2880"/>
    <w:rsid w:val="001B29C2"/>
    <w:rsid w:val="001B2B92"/>
    <w:rsid w:val="001B2BCE"/>
    <w:rsid w:val="001B3045"/>
    <w:rsid w:val="001B3119"/>
    <w:rsid w:val="001B3597"/>
    <w:rsid w:val="001B35B1"/>
    <w:rsid w:val="001B3A3F"/>
    <w:rsid w:val="001B3C6D"/>
    <w:rsid w:val="001B3E11"/>
    <w:rsid w:val="001B3F16"/>
    <w:rsid w:val="001B3F5C"/>
    <w:rsid w:val="001B42A3"/>
    <w:rsid w:val="001B42ED"/>
    <w:rsid w:val="001B4619"/>
    <w:rsid w:val="001B4692"/>
    <w:rsid w:val="001B4A38"/>
    <w:rsid w:val="001B4E64"/>
    <w:rsid w:val="001B562B"/>
    <w:rsid w:val="001B58D8"/>
    <w:rsid w:val="001B58EE"/>
    <w:rsid w:val="001B5BB1"/>
    <w:rsid w:val="001B5DA7"/>
    <w:rsid w:val="001B664F"/>
    <w:rsid w:val="001B69E0"/>
    <w:rsid w:val="001B7518"/>
    <w:rsid w:val="001B7642"/>
    <w:rsid w:val="001B7928"/>
    <w:rsid w:val="001B7E47"/>
    <w:rsid w:val="001C02B4"/>
    <w:rsid w:val="001C03AC"/>
    <w:rsid w:val="001C0588"/>
    <w:rsid w:val="001C07BE"/>
    <w:rsid w:val="001C0DF2"/>
    <w:rsid w:val="001C0E6A"/>
    <w:rsid w:val="001C175A"/>
    <w:rsid w:val="001C1D82"/>
    <w:rsid w:val="001C200F"/>
    <w:rsid w:val="001C2070"/>
    <w:rsid w:val="001C257B"/>
    <w:rsid w:val="001C26B9"/>
    <w:rsid w:val="001C2D21"/>
    <w:rsid w:val="001C2EBD"/>
    <w:rsid w:val="001C2EE6"/>
    <w:rsid w:val="001C3397"/>
    <w:rsid w:val="001C343B"/>
    <w:rsid w:val="001C35DC"/>
    <w:rsid w:val="001C388A"/>
    <w:rsid w:val="001C3A48"/>
    <w:rsid w:val="001C4899"/>
    <w:rsid w:val="001C4FED"/>
    <w:rsid w:val="001C5078"/>
    <w:rsid w:val="001C52AA"/>
    <w:rsid w:val="001C5472"/>
    <w:rsid w:val="001C55BF"/>
    <w:rsid w:val="001C57B4"/>
    <w:rsid w:val="001C59A9"/>
    <w:rsid w:val="001C59AF"/>
    <w:rsid w:val="001C59DC"/>
    <w:rsid w:val="001C5FDD"/>
    <w:rsid w:val="001C6848"/>
    <w:rsid w:val="001C6906"/>
    <w:rsid w:val="001C69AC"/>
    <w:rsid w:val="001C7031"/>
    <w:rsid w:val="001C70C1"/>
    <w:rsid w:val="001C73EC"/>
    <w:rsid w:val="001C773B"/>
    <w:rsid w:val="001C7B3E"/>
    <w:rsid w:val="001C7DE4"/>
    <w:rsid w:val="001D014D"/>
    <w:rsid w:val="001D0166"/>
    <w:rsid w:val="001D0585"/>
    <w:rsid w:val="001D0A0E"/>
    <w:rsid w:val="001D1085"/>
    <w:rsid w:val="001D16F8"/>
    <w:rsid w:val="001D18E4"/>
    <w:rsid w:val="001D1B11"/>
    <w:rsid w:val="001D1FAE"/>
    <w:rsid w:val="001D204F"/>
    <w:rsid w:val="001D2BCF"/>
    <w:rsid w:val="001D2DB6"/>
    <w:rsid w:val="001D2FFC"/>
    <w:rsid w:val="001D3003"/>
    <w:rsid w:val="001D3E2C"/>
    <w:rsid w:val="001D4636"/>
    <w:rsid w:val="001D4E19"/>
    <w:rsid w:val="001D4F21"/>
    <w:rsid w:val="001D5007"/>
    <w:rsid w:val="001D5178"/>
    <w:rsid w:val="001D5916"/>
    <w:rsid w:val="001D5A57"/>
    <w:rsid w:val="001D5FC5"/>
    <w:rsid w:val="001D61F1"/>
    <w:rsid w:val="001D6356"/>
    <w:rsid w:val="001D6C22"/>
    <w:rsid w:val="001D7390"/>
    <w:rsid w:val="001D758F"/>
    <w:rsid w:val="001D7631"/>
    <w:rsid w:val="001E01B2"/>
    <w:rsid w:val="001E0BE8"/>
    <w:rsid w:val="001E186F"/>
    <w:rsid w:val="001E1DEA"/>
    <w:rsid w:val="001E209A"/>
    <w:rsid w:val="001E2203"/>
    <w:rsid w:val="001E2636"/>
    <w:rsid w:val="001E2A32"/>
    <w:rsid w:val="001E2BA0"/>
    <w:rsid w:val="001E2CA3"/>
    <w:rsid w:val="001E2EAA"/>
    <w:rsid w:val="001E2F70"/>
    <w:rsid w:val="001E33D0"/>
    <w:rsid w:val="001E3C57"/>
    <w:rsid w:val="001E3CC6"/>
    <w:rsid w:val="001E41D9"/>
    <w:rsid w:val="001E4437"/>
    <w:rsid w:val="001E4453"/>
    <w:rsid w:val="001E4C48"/>
    <w:rsid w:val="001E4D58"/>
    <w:rsid w:val="001E5268"/>
    <w:rsid w:val="001E56BD"/>
    <w:rsid w:val="001E5A9F"/>
    <w:rsid w:val="001E5CFF"/>
    <w:rsid w:val="001E6752"/>
    <w:rsid w:val="001E6F86"/>
    <w:rsid w:val="001E71FD"/>
    <w:rsid w:val="001E75C4"/>
    <w:rsid w:val="001E7E7D"/>
    <w:rsid w:val="001E7EA0"/>
    <w:rsid w:val="001F046C"/>
    <w:rsid w:val="001F0527"/>
    <w:rsid w:val="001F0EEB"/>
    <w:rsid w:val="001F0F00"/>
    <w:rsid w:val="001F177F"/>
    <w:rsid w:val="001F1A7D"/>
    <w:rsid w:val="001F1E07"/>
    <w:rsid w:val="001F217B"/>
    <w:rsid w:val="001F2679"/>
    <w:rsid w:val="001F2C37"/>
    <w:rsid w:val="001F2F55"/>
    <w:rsid w:val="001F3302"/>
    <w:rsid w:val="001F3381"/>
    <w:rsid w:val="001F3ACA"/>
    <w:rsid w:val="001F46E7"/>
    <w:rsid w:val="001F4710"/>
    <w:rsid w:val="001F475B"/>
    <w:rsid w:val="001F49FF"/>
    <w:rsid w:val="001F4D1A"/>
    <w:rsid w:val="001F5094"/>
    <w:rsid w:val="001F5147"/>
    <w:rsid w:val="001F5361"/>
    <w:rsid w:val="001F53D1"/>
    <w:rsid w:val="001F5562"/>
    <w:rsid w:val="001F5B00"/>
    <w:rsid w:val="001F6912"/>
    <w:rsid w:val="001F6F99"/>
    <w:rsid w:val="001F75F7"/>
    <w:rsid w:val="001F7610"/>
    <w:rsid w:val="001F76BE"/>
    <w:rsid w:val="001F7A44"/>
    <w:rsid w:val="00200287"/>
    <w:rsid w:val="002005CC"/>
    <w:rsid w:val="00200614"/>
    <w:rsid w:val="00200ED7"/>
    <w:rsid w:val="00200F06"/>
    <w:rsid w:val="002010CD"/>
    <w:rsid w:val="00201109"/>
    <w:rsid w:val="0020135E"/>
    <w:rsid w:val="00201B1D"/>
    <w:rsid w:val="00201C2F"/>
    <w:rsid w:val="00201FA1"/>
    <w:rsid w:val="00202013"/>
    <w:rsid w:val="0020219E"/>
    <w:rsid w:val="002022CD"/>
    <w:rsid w:val="002027B7"/>
    <w:rsid w:val="002028FE"/>
    <w:rsid w:val="0020294A"/>
    <w:rsid w:val="0020296E"/>
    <w:rsid w:val="00202A01"/>
    <w:rsid w:val="00202DDD"/>
    <w:rsid w:val="00203509"/>
    <w:rsid w:val="00203DD8"/>
    <w:rsid w:val="002046B4"/>
    <w:rsid w:val="002049A5"/>
    <w:rsid w:val="002053CC"/>
    <w:rsid w:val="00205A02"/>
    <w:rsid w:val="00205EAA"/>
    <w:rsid w:val="00206165"/>
    <w:rsid w:val="0020646D"/>
    <w:rsid w:val="00206CAD"/>
    <w:rsid w:val="00206DAE"/>
    <w:rsid w:val="00206DBC"/>
    <w:rsid w:val="002072D4"/>
    <w:rsid w:val="0020740A"/>
    <w:rsid w:val="00207B15"/>
    <w:rsid w:val="00207B34"/>
    <w:rsid w:val="002103EE"/>
    <w:rsid w:val="00210723"/>
    <w:rsid w:val="0021096E"/>
    <w:rsid w:val="002109E0"/>
    <w:rsid w:val="00210B2E"/>
    <w:rsid w:val="00211349"/>
    <w:rsid w:val="0021147C"/>
    <w:rsid w:val="0021173E"/>
    <w:rsid w:val="002119BE"/>
    <w:rsid w:val="002121B1"/>
    <w:rsid w:val="002123E7"/>
    <w:rsid w:val="0021320A"/>
    <w:rsid w:val="0021325B"/>
    <w:rsid w:val="00213319"/>
    <w:rsid w:val="00213554"/>
    <w:rsid w:val="002138D8"/>
    <w:rsid w:val="0021392E"/>
    <w:rsid w:val="002140EC"/>
    <w:rsid w:val="0021423C"/>
    <w:rsid w:val="00214264"/>
    <w:rsid w:val="00214841"/>
    <w:rsid w:val="00214DDD"/>
    <w:rsid w:val="002159D4"/>
    <w:rsid w:val="00215C1D"/>
    <w:rsid w:val="00216026"/>
    <w:rsid w:val="002166D6"/>
    <w:rsid w:val="00216CB7"/>
    <w:rsid w:val="0021709B"/>
    <w:rsid w:val="0021723F"/>
    <w:rsid w:val="002176A9"/>
    <w:rsid w:val="002176CB"/>
    <w:rsid w:val="0021784E"/>
    <w:rsid w:val="00217DF6"/>
    <w:rsid w:val="002203ED"/>
    <w:rsid w:val="00220AF0"/>
    <w:rsid w:val="00220DC9"/>
    <w:rsid w:val="0022117E"/>
    <w:rsid w:val="002211DC"/>
    <w:rsid w:val="002212AB"/>
    <w:rsid w:val="002212DC"/>
    <w:rsid w:val="00221A40"/>
    <w:rsid w:val="0022254F"/>
    <w:rsid w:val="002225E3"/>
    <w:rsid w:val="00222FD3"/>
    <w:rsid w:val="00223475"/>
    <w:rsid w:val="002234AA"/>
    <w:rsid w:val="00223931"/>
    <w:rsid w:val="00223F0D"/>
    <w:rsid w:val="002247C1"/>
    <w:rsid w:val="00224EC7"/>
    <w:rsid w:val="00225434"/>
    <w:rsid w:val="00225507"/>
    <w:rsid w:val="002255B8"/>
    <w:rsid w:val="00225BDE"/>
    <w:rsid w:val="0022651A"/>
    <w:rsid w:val="0022673F"/>
    <w:rsid w:val="00227611"/>
    <w:rsid w:val="00227798"/>
    <w:rsid w:val="00227801"/>
    <w:rsid w:val="00227BE7"/>
    <w:rsid w:val="00227DF1"/>
    <w:rsid w:val="00227E5C"/>
    <w:rsid w:val="00230457"/>
    <w:rsid w:val="00230965"/>
    <w:rsid w:val="0023098F"/>
    <w:rsid w:val="00230DD3"/>
    <w:rsid w:val="00230E94"/>
    <w:rsid w:val="00230FBA"/>
    <w:rsid w:val="002311C6"/>
    <w:rsid w:val="002317A9"/>
    <w:rsid w:val="00231C39"/>
    <w:rsid w:val="002320B8"/>
    <w:rsid w:val="002322B7"/>
    <w:rsid w:val="0023271E"/>
    <w:rsid w:val="002329AF"/>
    <w:rsid w:val="00232B09"/>
    <w:rsid w:val="00232F76"/>
    <w:rsid w:val="0023358D"/>
    <w:rsid w:val="00233D56"/>
    <w:rsid w:val="00233D90"/>
    <w:rsid w:val="00234372"/>
    <w:rsid w:val="00234C5B"/>
    <w:rsid w:val="002354CF"/>
    <w:rsid w:val="00235AEE"/>
    <w:rsid w:val="00236949"/>
    <w:rsid w:val="00236D36"/>
    <w:rsid w:val="00236F3A"/>
    <w:rsid w:val="0023752B"/>
    <w:rsid w:val="00237A55"/>
    <w:rsid w:val="00237F08"/>
    <w:rsid w:val="00240123"/>
    <w:rsid w:val="00240E52"/>
    <w:rsid w:val="00240F71"/>
    <w:rsid w:val="0024142D"/>
    <w:rsid w:val="00241540"/>
    <w:rsid w:val="00241796"/>
    <w:rsid w:val="00242078"/>
    <w:rsid w:val="0024221F"/>
    <w:rsid w:val="002424B9"/>
    <w:rsid w:val="0024258D"/>
    <w:rsid w:val="002427E5"/>
    <w:rsid w:val="00242B24"/>
    <w:rsid w:val="00242BBF"/>
    <w:rsid w:val="0024357C"/>
    <w:rsid w:val="00243A7C"/>
    <w:rsid w:val="00243DC6"/>
    <w:rsid w:val="0024422D"/>
    <w:rsid w:val="002442A9"/>
    <w:rsid w:val="002446AA"/>
    <w:rsid w:val="002459B0"/>
    <w:rsid w:val="002459CF"/>
    <w:rsid w:val="00245BC3"/>
    <w:rsid w:val="00245F55"/>
    <w:rsid w:val="0024616C"/>
    <w:rsid w:val="0024674D"/>
    <w:rsid w:val="00246BBD"/>
    <w:rsid w:val="0024703F"/>
    <w:rsid w:val="002473D1"/>
    <w:rsid w:val="00247DE2"/>
    <w:rsid w:val="00247E03"/>
    <w:rsid w:val="0025057E"/>
    <w:rsid w:val="002506E3"/>
    <w:rsid w:val="002506E5"/>
    <w:rsid w:val="00250A26"/>
    <w:rsid w:val="00250ABC"/>
    <w:rsid w:val="00250ECC"/>
    <w:rsid w:val="0025100E"/>
    <w:rsid w:val="0025123B"/>
    <w:rsid w:val="002519B1"/>
    <w:rsid w:val="00251F91"/>
    <w:rsid w:val="002528DB"/>
    <w:rsid w:val="00252BA3"/>
    <w:rsid w:val="00253A2C"/>
    <w:rsid w:val="00254027"/>
    <w:rsid w:val="002548FE"/>
    <w:rsid w:val="00254B22"/>
    <w:rsid w:val="00254C37"/>
    <w:rsid w:val="00254D8F"/>
    <w:rsid w:val="00254F84"/>
    <w:rsid w:val="00255A74"/>
    <w:rsid w:val="00255B62"/>
    <w:rsid w:val="00255C8B"/>
    <w:rsid w:val="002563B4"/>
    <w:rsid w:val="0025641E"/>
    <w:rsid w:val="00256612"/>
    <w:rsid w:val="0025665F"/>
    <w:rsid w:val="00256C67"/>
    <w:rsid w:val="002572F5"/>
    <w:rsid w:val="00257319"/>
    <w:rsid w:val="00257384"/>
    <w:rsid w:val="00257A6B"/>
    <w:rsid w:val="00257D13"/>
    <w:rsid w:val="00260125"/>
    <w:rsid w:val="00260412"/>
    <w:rsid w:val="002605A7"/>
    <w:rsid w:val="00261182"/>
    <w:rsid w:val="00261648"/>
    <w:rsid w:val="002616D2"/>
    <w:rsid w:val="00261B29"/>
    <w:rsid w:val="00261B88"/>
    <w:rsid w:val="00261E7F"/>
    <w:rsid w:val="002628A1"/>
    <w:rsid w:val="00262F9B"/>
    <w:rsid w:val="002632F9"/>
    <w:rsid w:val="002633CA"/>
    <w:rsid w:val="00263853"/>
    <w:rsid w:val="002639D2"/>
    <w:rsid w:val="002641C2"/>
    <w:rsid w:val="00264204"/>
    <w:rsid w:val="0026424D"/>
    <w:rsid w:val="002642AA"/>
    <w:rsid w:val="0026458C"/>
    <w:rsid w:val="00264C40"/>
    <w:rsid w:val="00265951"/>
    <w:rsid w:val="00265A8A"/>
    <w:rsid w:val="00265B3E"/>
    <w:rsid w:val="00265D16"/>
    <w:rsid w:val="002668D9"/>
    <w:rsid w:val="002678F5"/>
    <w:rsid w:val="00267B6A"/>
    <w:rsid w:val="00270628"/>
    <w:rsid w:val="00270C8B"/>
    <w:rsid w:val="00270F2B"/>
    <w:rsid w:val="0027107D"/>
    <w:rsid w:val="00271303"/>
    <w:rsid w:val="002716BA"/>
    <w:rsid w:val="0027239D"/>
    <w:rsid w:val="00272580"/>
    <w:rsid w:val="00272C96"/>
    <w:rsid w:val="00272FBA"/>
    <w:rsid w:val="00273B4D"/>
    <w:rsid w:val="00273F6B"/>
    <w:rsid w:val="002741E8"/>
    <w:rsid w:val="00274831"/>
    <w:rsid w:val="00274DA7"/>
    <w:rsid w:val="0027517F"/>
    <w:rsid w:val="00275479"/>
    <w:rsid w:val="00276A0E"/>
    <w:rsid w:val="00276A9D"/>
    <w:rsid w:val="002774CA"/>
    <w:rsid w:val="0027792F"/>
    <w:rsid w:val="00277D04"/>
    <w:rsid w:val="00277D0F"/>
    <w:rsid w:val="00277EDA"/>
    <w:rsid w:val="00277FAB"/>
    <w:rsid w:val="00277FBC"/>
    <w:rsid w:val="002801A0"/>
    <w:rsid w:val="0028032D"/>
    <w:rsid w:val="00280C52"/>
    <w:rsid w:val="00280CBF"/>
    <w:rsid w:val="00280D95"/>
    <w:rsid w:val="00280E17"/>
    <w:rsid w:val="00280E6A"/>
    <w:rsid w:val="0028179C"/>
    <w:rsid w:val="00281932"/>
    <w:rsid w:val="00281D6E"/>
    <w:rsid w:val="002820B7"/>
    <w:rsid w:val="002825A7"/>
    <w:rsid w:val="00282732"/>
    <w:rsid w:val="0028298C"/>
    <w:rsid w:val="00282C92"/>
    <w:rsid w:val="00282CBF"/>
    <w:rsid w:val="00283A86"/>
    <w:rsid w:val="00283ED7"/>
    <w:rsid w:val="002848CF"/>
    <w:rsid w:val="00284B53"/>
    <w:rsid w:val="00285413"/>
    <w:rsid w:val="00285CC0"/>
    <w:rsid w:val="00285E76"/>
    <w:rsid w:val="00285FB8"/>
    <w:rsid w:val="0028607A"/>
    <w:rsid w:val="002863CF"/>
    <w:rsid w:val="002863D0"/>
    <w:rsid w:val="0028696F"/>
    <w:rsid w:val="00286D5F"/>
    <w:rsid w:val="00286FE4"/>
    <w:rsid w:val="002871BA"/>
    <w:rsid w:val="0029044A"/>
    <w:rsid w:val="0029074C"/>
    <w:rsid w:val="00290A80"/>
    <w:rsid w:val="00290CDA"/>
    <w:rsid w:val="00291401"/>
    <w:rsid w:val="00291461"/>
    <w:rsid w:val="002914A0"/>
    <w:rsid w:val="0029156F"/>
    <w:rsid w:val="00291A07"/>
    <w:rsid w:val="00291A83"/>
    <w:rsid w:val="00291BBC"/>
    <w:rsid w:val="00291C27"/>
    <w:rsid w:val="00291F28"/>
    <w:rsid w:val="00292183"/>
    <w:rsid w:val="002922C1"/>
    <w:rsid w:val="0029238B"/>
    <w:rsid w:val="0029238C"/>
    <w:rsid w:val="00292994"/>
    <w:rsid w:val="00293B34"/>
    <w:rsid w:val="00293B42"/>
    <w:rsid w:val="00293B5D"/>
    <w:rsid w:val="00293ED6"/>
    <w:rsid w:val="00293F11"/>
    <w:rsid w:val="00294068"/>
    <w:rsid w:val="002941F2"/>
    <w:rsid w:val="00294FEE"/>
    <w:rsid w:val="00295131"/>
    <w:rsid w:val="00295400"/>
    <w:rsid w:val="002956DB"/>
    <w:rsid w:val="002956F3"/>
    <w:rsid w:val="00295844"/>
    <w:rsid w:val="0029587A"/>
    <w:rsid w:val="002958BB"/>
    <w:rsid w:val="00295F11"/>
    <w:rsid w:val="002961FD"/>
    <w:rsid w:val="002964BC"/>
    <w:rsid w:val="00296554"/>
    <w:rsid w:val="002965F1"/>
    <w:rsid w:val="0029660F"/>
    <w:rsid w:val="002968B5"/>
    <w:rsid w:val="00296F0E"/>
    <w:rsid w:val="00297197"/>
    <w:rsid w:val="00297368"/>
    <w:rsid w:val="002974CE"/>
    <w:rsid w:val="0029787D"/>
    <w:rsid w:val="00297935"/>
    <w:rsid w:val="002A00C5"/>
    <w:rsid w:val="002A0556"/>
    <w:rsid w:val="002A0582"/>
    <w:rsid w:val="002A07E6"/>
    <w:rsid w:val="002A09A4"/>
    <w:rsid w:val="002A1BC6"/>
    <w:rsid w:val="002A1DC0"/>
    <w:rsid w:val="002A29F0"/>
    <w:rsid w:val="002A2B04"/>
    <w:rsid w:val="002A3494"/>
    <w:rsid w:val="002A34D2"/>
    <w:rsid w:val="002A367D"/>
    <w:rsid w:val="002A3797"/>
    <w:rsid w:val="002A3E99"/>
    <w:rsid w:val="002A4079"/>
    <w:rsid w:val="002A42A6"/>
    <w:rsid w:val="002A4404"/>
    <w:rsid w:val="002A4C4E"/>
    <w:rsid w:val="002A4D22"/>
    <w:rsid w:val="002A5877"/>
    <w:rsid w:val="002A58FA"/>
    <w:rsid w:val="002A5A88"/>
    <w:rsid w:val="002A615F"/>
    <w:rsid w:val="002A62B2"/>
    <w:rsid w:val="002A675D"/>
    <w:rsid w:val="002A6D08"/>
    <w:rsid w:val="002A7877"/>
    <w:rsid w:val="002A7CDF"/>
    <w:rsid w:val="002B018C"/>
    <w:rsid w:val="002B0380"/>
    <w:rsid w:val="002B087D"/>
    <w:rsid w:val="002B092C"/>
    <w:rsid w:val="002B09DF"/>
    <w:rsid w:val="002B0E6D"/>
    <w:rsid w:val="002B155C"/>
    <w:rsid w:val="002B1568"/>
    <w:rsid w:val="002B1792"/>
    <w:rsid w:val="002B19F0"/>
    <w:rsid w:val="002B1A14"/>
    <w:rsid w:val="002B1EBD"/>
    <w:rsid w:val="002B2235"/>
    <w:rsid w:val="002B23AD"/>
    <w:rsid w:val="002B248A"/>
    <w:rsid w:val="002B2579"/>
    <w:rsid w:val="002B2800"/>
    <w:rsid w:val="002B2FD5"/>
    <w:rsid w:val="002B3045"/>
    <w:rsid w:val="002B3605"/>
    <w:rsid w:val="002B366B"/>
    <w:rsid w:val="002B3C44"/>
    <w:rsid w:val="002B3D33"/>
    <w:rsid w:val="002B452F"/>
    <w:rsid w:val="002B484E"/>
    <w:rsid w:val="002B4B50"/>
    <w:rsid w:val="002B4DC7"/>
    <w:rsid w:val="002B4F6F"/>
    <w:rsid w:val="002B53AD"/>
    <w:rsid w:val="002B56B8"/>
    <w:rsid w:val="002B5AC5"/>
    <w:rsid w:val="002B5D70"/>
    <w:rsid w:val="002B6741"/>
    <w:rsid w:val="002B6DA3"/>
    <w:rsid w:val="002B7952"/>
    <w:rsid w:val="002C01FA"/>
    <w:rsid w:val="002C03C0"/>
    <w:rsid w:val="002C0CA7"/>
    <w:rsid w:val="002C0CB2"/>
    <w:rsid w:val="002C0D7E"/>
    <w:rsid w:val="002C1072"/>
    <w:rsid w:val="002C1561"/>
    <w:rsid w:val="002C16CD"/>
    <w:rsid w:val="002C1868"/>
    <w:rsid w:val="002C1880"/>
    <w:rsid w:val="002C1A45"/>
    <w:rsid w:val="002C1AA0"/>
    <w:rsid w:val="002C1CBA"/>
    <w:rsid w:val="002C1DDE"/>
    <w:rsid w:val="002C1F13"/>
    <w:rsid w:val="002C25C2"/>
    <w:rsid w:val="002C2655"/>
    <w:rsid w:val="002C283C"/>
    <w:rsid w:val="002C29B3"/>
    <w:rsid w:val="002C2B56"/>
    <w:rsid w:val="002C2D3B"/>
    <w:rsid w:val="002C35CF"/>
    <w:rsid w:val="002C39A6"/>
    <w:rsid w:val="002C39AC"/>
    <w:rsid w:val="002C39D5"/>
    <w:rsid w:val="002C3E98"/>
    <w:rsid w:val="002C40E2"/>
    <w:rsid w:val="002C4178"/>
    <w:rsid w:val="002C42AC"/>
    <w:rsid w:val="002C451E"/>
    <w:rsid w:val="002C5160"/>
    <w:rsid w:val="002C65C2"/>
    <w:rsid w:val="002C66EC"/>
    <w:rsid w:val="002C68A6"/>
    <w:rsid w:val="002C69D4"/>
    <w:rsid w:val="002C6BBA"/>
    <w:rsid w:val="002C6CA9"/>
    <w:rsid w:val="002C72C0"/>
    <w:rsid w:val="002D005D"/>
    <w:rsid w:val="002D02A6"/>
    <w:rsid w:val="002D0F9E"/>
    <w:rsid w:val="002D10D2"/>
    <w:rsid w:val="002D1504"/>
    <w:rsid w:val="002D1897"/>
    <w:rsid w:val="002D1941"/>
    <w:rsid w:val="002D1F9C"/>
    <w:rsid w:val="002D2024"/>
    <w:rsid w:val="002D23BA"/>
    <w:rsid w:val="002D23FD"/>
    <w:rsid w:val="002D28A0"/>
    <w:rsid w:val="002D2BCB"/>
    <w:rsid w:val="002D2BF0"/>
    <w:rsid w:val="002D2DE3"/>
    <w:rsid w:val="002D3125"/>
    <w:rsid w:val="002D321E"/>
    <w:rsid w:val="002D3230"/>
    <w:rsid w:val="002D3416"/>
    <w:rsid w:val="002D3617"/>
    <w:rsid w:val="002D36BD"/>
    <w:rsid w:val="002D3818"/>
    <w:rsid w:val="002D3CBB"/>
    <w:rsid w:val="002D3CCA"/>
    <w:rsid w:val="002D3CE1"/>
    <w:rsid w:val="002D41C6"/>
    <w:rsid w:val="002D43A1"/>
    <w:rsid w:val="002D4CB1"/>
    <w:rsid w:val="002D520A"/>
    <w:rsid w:val="002D59DF"/>
    <w:rsid w:val="002D5E57"/>
    <w:rsid w:val="002D645D"/>
    <w:rsid w:val="002D680E"/>
    <w:rsid w:val="002D69F5"/>
    <w:rsid w:val="002D6BD3"/>
    <w:rsid w:val="002D6D73"/>
    <w:rsid w:val="002D6D85"/>
    <w:rsid w:val="002D7459"/>
    <w:rsid w:val="002D7DE1"/>
    <w:rsid w:val="002E0076"/>
    <w:rsid w:val="002E0211"/>
    <w:rsid w:val="002E0C51"/>
    <w:rsid w:val="002E0E59"/>
    <w:rsid w:val="002E1143"/>
    <w:rsid w:val="002E124F"/>
    <w:rsid w:val="002E140C"/>
    <w:rsid w:val="002E193D"/>
    <w:rsid w:val="002E21C8"/>
    <w:rsid w:val="002E21CF"/>
    <w:rsid w:val="002E296C"/>
    <w:rsid w:val="002E296E"/>
    <w:rsid w:val="002E2DD3"/>
    <w:rsid w:val="002E4452"/>
    <w:rsid w:val="002E4607"/>
    <w:rsid w:val="002E4D16"/>
    <w:rsid w:val="002E4FCF"/>
    <w:rsid w:val="002E4FD0"/>
    <w:rsid w:val="002E5078"/>
    <w:rsid w:val="002E519C"/>
    <w:rsid w:val="002E554E"/>
    <w:rsid w:val="002E576E"/>
    <w:rsid w:val="002E5DCB"/>
    <w:rsid w:val="002E60F3"/>
    <w:rsid w:val="002E6100"/>
    <w:rsid w:val="002E696D"/>
    <w:rsid w:val="002E70DC"/>
    <w:rsid w:val="002E7176"/>
    <w:rsid w:val="002E7857"/>
    <w:rsid w:val="002F0164"/>
    <w:rsid w:val="002F0A53"/>
    <w:rsid w:val="002F0A71"/>
    <w:rsid w:val="002F0B79"/>
    <w:rsid w:val="002F103A"/>
    <w:rsid w:val="002F131D"/>
    <w:rsid w:val="002F13FF"/>
    <w:rsid w:val="002F14CD"/>
    <w:rsid w:val="002F1AD8"/>
    <w:rsid w:val="002F213D"/>
    <w:rsid w:val="002F2438"/>
    <w:rsid w:val="002F26A6"/>
    <w:rsid w:val="002F2890"/>
    <w:rsid w:val="002F2B03"/>
    <w:rsid w:val="002F2C05"/>
    <w:rsid w:val="002F2C8B"/>
    <w:rsid w:val="002F304C"/>
    <w:rsid w:val="002F3176"/>
    <w:rsid w:val="002F33CD"/>
    <w:rsid w:val="002F33E6"/>
    <w:rsid w:val="002F3437"/>
    <w:rsid w:val="002F3556"/>
    <w:rsid w:val="002F3840"/>
    <w:rsid w:val="002F3D5A"/>
    <w:rsid w:val="002F3F93"/>
    <w:rsid w:val="002F4155"/>
    <w:rsid w:val="002F4451"/>
    <w:rsid w:val="002F48A9"/>
    <w:rsid w:val="002F4F58"/>
    <w:rsid w:val="002F536D"/>
    <w:rsid w:val="002F53D6"/>
    <w:rsid w:val="002F575E"/>
    <w:rsid w:val="002F608E"/>
    <w:rsid w:val="002F62C7"/>
    <w:rsid w:val="002F639A"/>
    <w:rsid w:val="002F6546"/>
    <w:rsid w:val="002F6E01"/>
    <w:rsid w:val="002F6F46"/>
    <w:rsid w:val="002F700F"/>
    <w:rsid w:val="002F71BE"/>
    <w:rsid w:val="002F71C3"/>
    <w:rsid w:val="002F7310"/>
    <w:rsid w:val="002F74DD"/>
    <w:rsid w:val="002F7818"/>
    <w:rsid w:val="002F787F"/>
    <w:rsid w:val="00300E58"/>
    <w:rsid w:val="00300F99"/>
    <w:rsid w:val="003015BD"/>
    <w:rsid w:val="003017C2"/>
    <w:rsid w:val="003017D8"/>
    <w:rsid w:val="0030181C"/>
    <w:rsid w:val="00301C88"/>
    <w:rsid w:val="0030212E"/>
    <w:rsid w:val="00302225"/>
    <w:rsid w:val="003023D7"/>
    <w:rsid w:val="003028FA"/>
    <w:rsid w:val="0030361D"/>
    <w:rsid w:val="00303976"/>
    <w:rsid w:val="00303A9F"/>
    <w:rsid w:val="00303D75"/>
    <w:rsid w:val="003041A5"/>
    <w:rsid w:val="003042D0"/>
    <w:rsid w:val="00304566"/>
    <w:rsid w:val="00304AE3"/>
    <w:rsid w:val="00304D5F"/>
    <w:rsid w:val="0030540F"/>
    <w:rsid w:val="003054A5"/>
    <w:rsid w:val="00305C05"/>
    <w:rsid w:val="00305ED1"/>
    <w:rsid w:val="00306110"/>
    <w:rsid w:val="00306B96"/>
    <w:rsid w:val="00306F9D"/>
    <w:rsid w:val="0030752B"/>
    <w:rsid w:val="00307556"/>
    <w:rsid w:val="003104FE"/>
    <w:rsid w:val="003105D8"/>
    <w:rsid w:val="00310D0D"/>
    <w:rsid w:val="00310D6D"/>
    <w:rsid w:val="003115AE"/>
    <w:rsid w:val="0031191D"/>
    <w:rsid w:val="00311C65"/>
    <w:rsid w:val="00311D2B"/>
    <w:rsid w:val="00311E86"/>
    <w:rsid w:val="00311F10"/>
    <w:rsid w:val="0031237C"/>
    <w:rsid w:val="003123CF"/>
    <w:rsid w:val="00312BAE"/>
    <w:rsid w:val="003131CE"/>
    <w:rsid w:val="00313B5A"/>
    <w:rsid w:val="00313CC3"/>
    <w:rsid w:val="0031432B"/>
    <w:rsid w:val="003143C8"/>
    <w:rsid w:val="0031456C"/>
    <w:rsid w:val="00314616"/>
    <w:rsid w:val="00314B85"/>
    <w:rsid w:val="00314DCE"/>
    <w:rsid w:val="00314FE3"/>
    <w:rsid w:val="003150BB"/>
    <w:rsid w:val="00315654"/>
    <w:rsid w:val="00315DF0"/>
    <w:rsid w:val="003161B6"/>
    <w:rsid w:val="003167FE"/>
    <w:rsid w:val="00316D83"/>
    <w:rsid w:val="00316FD7"/>
    <w:rsid w:val="0031727F"/>
    <w:rsid w:val="003178D6"/>
    <w:rsid w:val="00317E37"/>
    <w:rsid w:val="00320251"/>
    <w:rsid w:val="003206DA"/>
    <w:rsid w:val="003207BA"/>
    <w:rsid w:val="00320E33"/>
    <w:rsid w:val="0032194A"/>
    <w:rsid w:val="00321DED"/>
    <w:rsid w:val="00321E47"/>
    <w:rsid w:val="00321F16"/>
    <w:rsid w:val="00322174"/>
    <w:rsid w:val="0032225F"/>
    <w:rsid w:val="00322EE3"/>
    <w:rsid w:val="00322FE7"/>
    <w:rsid w:val="0032340E"/>
    <w:rsid w:val="003236B4"/>
    <w:rsid w:val="00323834"/>
    <w:rsid w:val="003238B9"/>
    <w:rsid w:val="00323C92"/>
    <w:rsid w:val="00323E50"/>
    <w:rsid w:val="003241AC"/>
    <w:rsid w:val="003245CA"/>
    <w:rsid w:val="00324BB9"/>
    <w:rsid w:val="00324E77"/>
    <w:rsid w:val="00325408"/>
    <w:rsid w:val="00325469"/>
    <w:rsid w:val="003259B5"/>
    <w:rsid w:val="00325B54"/>
    <w:rsid w:val="003264E4"/>
    <w:rsid w:val="00326686"/>
    <w:rsid w:val="00326954"/>
    <w:rsid w:val="00326B31"/>
    <w:rsid w:val="00326D97"/>
    <w:rsid w:val="00326DE2"/>
    <w:rsid w:val="00326ED2"/>
    <w:rsid w:val="00327197"/>
    <w:rsid w:val="0032741B"/>
    <w:rsid w:val="00327538"/>
    <w:rsid w:val="00327805"/>
    <w:rsid w:val="00327BC8"/>
    <w:rsid w:val="00330319"/>
    <w:rsid w:val="0033037E"/>
    <w:rsid w:val="00330F9F"/>
    <w:rsid w:val="0033192A"/>
    <w:rsid w:val="00331AFB"/>
    <w:rsid w:val="003320CF"/>
    <w:rsid w:val="003321C9"/>
    <w:rsid w:val="003323A8"/>
    <w:rsid w:val="003326E6"/>
    <w:rsid w:val="003326F8"/>
    <w:rsid w:val="003327ED"/>
    <w:rsid w:val="003335AB"/>
    <w:rsid w:val="00333985"/>
    <w:rsid w:val="00333B3D"/>
    <w:rsid w:val="00334821"/>
    <w:rsid w:val="003349D5"/>
    <w:rsid w:val="00334A08"/>
    <w:rsid w:val="003352AB"/>
    <w:rsid w:val="0033545A"/>
    <w:rsid w:val="003356BF"/>
    <w:rsid w:val="00335FAD"/>
    <w:rsid w:val="00336BBA"/>
    <w:rsid w:val="00336D13"/>
    <w:rsid w:val="00336E69"/>
    <w:rsid w:val="00336E71"/>
    <w:rsid w:val="003371E9"/>
    <w:rsid w:val="00337315"/>
    <w:rsid w:val="00337841"/>
    <w:rsid w:val="00337BEF"/>
    <w:rsid w:val="00337CED"/>
    <w:rsid w:val="00337F9C"/>
    <w:rsid w:val="0034005E"/>
    <w:rsid w:val="00340A8C"/>
    <w:rsid w:val="0034111B"/>
    <w:rsid w:val="00341203"/>
    <w:rsid w:val="0034148D"/>
    <w:rsid w:val="00341A2F"/>
    <w:rsid w:val="00341E6D"/>
    <w:rsid w:val="00342263"/>
    <w:rsid w:val="00342376"/>
    <w:rsid w:val="0034244B"/>
    <w:rsid w:val="003428A3"/>
    <w:rsid w:val="00342A62"/>
    <w:rsid w:val="00343414"/>
    <w:rsid w:val="003442F8"/>
    <w:rsid w:val="00344335"/>
    <w:rsid w:val="00344349"/>
    <w:rsid w:val="003448DC"/>
    <w:rsid w:val="00344BA4"/>
    <w:rsid w:val="00345068"/>
    <w:rsid w:val="003455F8"/>
    <w:rsid w:val="00346891"/>
    <w:rsid w:val="00346B03"/>
    <w:rsid w:val="00346B3D"/>
    <w:rsid w:val="00346E1D"/>
    <w:rsid w:val="00346E81"/>
    <w:rsid w:val="00346ECE"/>
    <w:rsid w:val="0034714E"/>
    <w:rsid w:val="003475D1"/>
    <w:rsid w:val="00347E28"/>
    <w:rsid w:val="0035015C"/>
    <w:rsid w:val="003504B3"/>
    <w:rsid w:val="00350AD8"/>
    <w:rsid w:val="00350B03"/>
    <w:rsid w:val="00351188"/>
    <w:rsid w:val="00351563"/>
    <w:rsid w:val="0035180C"/>
    <w:rsid w:val="00351CCE"/>
    <w:rsid w:val="00352076"/>
    <w:rsid w:val="003520BC"/>
    <w:rsid w:val="003521B6"/>
    <w:rsid w:val="0035229A"/>
    <w:rsid w:val="00352978"/>
    <w:rsid w:val="00352C88"/>
    <w:rsid w:val="003530F9"/>
    <w:rsid w:val="0035317A"/>
    <w:rsid w:val="0035333B"/>
    <w:rsid w:val="003537E0"/>
    <w:rsid w:val="0035399B"/>
    <w:rsid w:val="00353ED1"/>
    <w:rsid w:val="00354925"/>
    <w:rsid w:val="00354BF0"/>
    <w:rsid w:val="0035506B"/>
    <w:rsid w:val="0035563E"/>
    <w:rsid w:val="003559D1"/>
    <w:rsid w:val="00355B03"/>
    <w:rsid w:val="00355EC7"/>
    <w:rsid w:val="003563B5"/>
    <w:rsid w:val="00356741"/>
    <w:rsid w:val="0035711E"/>
    <w:rsid w:val="00357763"/>
    <w:rsid w:val="0036011F"/>
    <w:rsid w:val="00360753"/>
    <w:rsid w:val="003607BE"/>
    <w:rsid w:val="00360EDA"/>
    <w:rsid w:val="00360F9B"/>
    <w:rsid w:val="00361182"/>
    <w:rsid w:val="003612E9"/>
    <w:rsid w:val="00361399"/>
    <w:rsid w:val="00361C6C"/>
    <w:rsid w:val="0036200E"/>
    <w:rsid w:val="003622D7"/>
    <w:rsid w:val="00362BFA"/>
    <w:rsid w:val="00362F20"/>
    <w:rsid w:val="003630F5"/>
    <w:rsid w:val="00363392"/>
    <w:rsid w:val="00363C1C"/>
    <w:rsid w:val="00364AB6"/>
    <w:rsid w:val="00364CB7"/>
    <w:rsid w:val="003655E2"/>
    <w:rsid w:val="0036582C"/>
    <w:rsid w:val="003658FF"/>
    <w:rsid w:val="00365A27"/>
    <w:rsid w:val="00365BD0"/>
    <w:rsid w:val="00365EDB"/>
    <w:rsid w:val="00365F2C"/>
    <w:rsid w:val="0036675E"/>
    <w:rsid w:val="00366A32"/>
    <w:rsid w:val="00366AEE"/>
    <w:rsid w:val="00366BA3"/>
    <w:rsid w:val="00366D77"/>
    <w:rsid w:val="00366E08"/>
    <w:rsid w:val="00370836"/>
    <w:rsid w:val="00370C75"/>
    <w:rsid w:val="0037194B"/>
    <w:rsid w:val="00372127"/>
    <w:rsid w:val="003721F5"/>
    <w:rsid w:val="00372232"/>
    <w:rsid w:val="003723D4"/>
    <w:rsid w:val="0037257D"/>
    <w:rsid w:val="0037291B"/>
    <w:rsid w:val="00372949"/>
    <w:rsid w:val="003729DF"/>
    <w:rsid w:val="00372BC2"/>
    <w:rsid w:val="00372C38"/>
    <w:rsid w:val="00372F75"/>
    <w:rsid w:val="00373717"/>
    <w:rsid w:val="00373E6D"/>
    <w:rsid w:val="00373E8C"/>
    <w:rsid w:val="00373FB4"/>
    <w:rsid w:val="003748C8"/>
    <w:rsid w:val="0037534E"/>
    <w:rsid w:val="00375C11"/>
    <w:rsid w:val="003761C4"/>
    <w:rsid w:val="003762DA"/>
    <w:rsid w:val="003764E1"/>
    <w:rsid w:val="0037670C"/>
    <w:rsid w:val="00376C6B"/>
    <w:rsid w:val="00376C84"/>
    <w:rsid w:val="00376CC7"/>
    <w:rsid w:val="00376F44"/>
    <w:rsid w:val="0037717C"/>
    <w:rsid w:val="00377873"/>
    <w:rsid w:val="00380771"/>
    <w:rsid w:val="00380C1C"/>
    <w:rsid w:val="003810F6"/>
    <w:rsid w:val="003814FE"/>
    <w:rsid w:val="00381FC9"/>
    <w:rsid w:val="0038212B"/>
    <w:rsid w:val="0038248A"/>
    <w:rsid w:val="003828A4"/>
    <w:rsid w:val="0038298E"/>
    <w:rsid w:val="00382A9D"/>
    <w:rsid w:val="00383324"/>
    <w:rsid w:val="00383756"/>
    <w:rsid w:val="003837AC"/>
    <w:rsid w:val="003839FD"/>
    <w:rsid w:val="00383A26"/>
    <w:rsid w:val="00383AA6"/>
    <w:rsid w:val="00384730"/>
    <w:rsid w:val="0038489C"/>
    <w:rsid w:val="00384B12"/>
    <w:rsid w:val="00384BED"/>
    <w:rsid w:val="0038543B"/>
    <w:rsid w:val="00385D3D"/>
    <w:rsid w:val="00385F5C"/>
    <w:rsid w:val="003863C4"/>
    <w:rsid w:val="00386796"/>
    <w:rsid w:val="00386B21"/>
    <w:rsid w:val="00386E8F"/>
    <w:rsid w:val="0038719E"/>
    <w:rsid w:val="00387FF5"/>
    <w:rsid w:val="003900A8"/>
    <w:rsid w:val="00390596"/>
    <w:rsid w:val="003908D3"/>
    <w:rsid w:val="00390F12"/>
    <w:rsid w:val="00391A44"/>
    <w:rsid w:val="00391B51"/>
    <w:rsid w:val="00391C4C"/>
    <w:rsid w:val="00392166"/>
    <w:rsid w:val="00392530"/>
    <w:rsid w:val="00392620"/>
    <w:rsid w:val="00392778"/>
    <w:rsid w:val="0039280C"/>
    <w:rsid w:val="003928FB"/>
    <w:rsid w:val="00392D38"/>
    <w:rsid w:val="0039335C"/>
    <w:rsid w:val="0039382E"/>
    <w:rsid w:val="00393D8E"/>
    <w:rsid w:val="0039414C"/>
    <w:rsid w:val="00394763"/>
    <w:rsid w:val="00394865"/>
    <w:rsid w:val="00394E22"/>
    <w:rsid w:val="00394F07"/>
    <w:rsid w:val="0039543F"/>
    <w:rsid w:val="00395519"/>
    <w:rsid w:val="0039595A"/>
    <w:rsid w:val="00395D2B"/>
    <w:rsid w:val="00395F52"/>
    <w:rsid w:val="00396A9C"/>
    <w:rsid w:val="0039706B"/>
    <w:rsid w:val="003973AE"/>
    <w:rsid w:val="003975D2"/>
    <w:rsid w:val="00397AB7"/>
    <w:rsid w:val="003A01D2"/>
    <w:rsid w:val="003A0396"/>
    <w:rsid w:val="003A03C7"/>
    <w:rsid w:val="003A0637"/>
    <w:rsid w:val="003A0B94"/>
    <w:rsid w:val="003A171E"/>
    <w:rsid w:val="003A26D8"/>
    <w:rsid w:val="003A273D"/>
    <w:rsid w:val="003A2BB7"/>
    <w:rsid w:val="003A2BCC"/>
    <w:rsid w:val="003A2FB0"/>
    <w:rsid w:val="003A310B"/>
    <w:rsid w:val="003A326E"/>
    <w:rsid w:val="003A3615"/>
    <w:rsid w:val="003A3B67"/>
    <w:rsid w:val="003A3CF3"/>
    <w:rsid w:val="003A3FFA"/>
    <w:rsid w:val="003A477A"/>
    <w:rsid w:val="003A47E5"/>
    <w:rsid w:val="003A483D"/>
    <w:rsid w:val="003A48E1"/>
    <w:rsid w:val="003A4AF8"/>
    <w:rsid w:val="003A4E0A"/>
    <w:rsid w:val="003A4F89"/>
    <w:rsid w:val="003A5246"/>
    <w:rsid w:val="003A5413"/>
    <w:rsid w:val="003A594A"/>
    <w:rsid w:val="003A5DE6"/>
    <w:rsid w:val="003A682D"/>
    <w:rsid w:val="003A68E1"/>
    <w:rsid w:val="003A6906"/>
    <w:rsid w:val="003A6EB2"/>
    <w:rsid w:val="003A6F80"/>
    <w:rsid w:val="003A6FC6"/>
    <w:rsid w:val="003A7115"/>
    <w:rsid w:val="003A7877"/>
    <w:rsid w:val="003B008E"/>
    <w:rsid w:val="003B020B"/>
    <w:rsid w:val="003B0B17"/>
    <w:rsid w:val="003B1156"/>
    <w:rsid w:val="003B12F0"/>
    <w:rsid w:val="003B142E"/>
    <w:rsid w:val="003B16C1"/>
    <w:rsid w:val="003B19ED"/>
    <w:rsid w:val="003B1FC7"/>
    <w:rsid w:val="003B2135"/>
    <w:rsid w:val="003B215B"/>
    <w:rsid w:val="003B3408"/>
    <w:rsid w:val="003B359D"/>
    <w:rsid w:val="003B371A"/>
    <w:rsid w:val="003B39F0"/>
    <w:rsid w:val="003B47CE"/>
    <w:rsid w:val="003B48FA"/>
    <w:rsid w:val="003B4CAB"/>
    <w:rsid w:val="003B6D8F"/>
    <w:rsid w:val="003B74C4"/>
    <w:rsid w:val="003B7A8F"/>
    <w:rsid w:val="003B7B03"/>
    <w:rsid w:val="003B7C72"/>
    <w:rsid w:val="003C0AF2"/>
    <w:rsid w:val="003C0FF9"/>
    <w:rsid w:val="003C1205"/>
    <w:rsid w:val="003C1D4F"/>
    <w:rsid w:val="003C1ED7"/>
    <w:rsid w:val="003C239C"/>
    <w:rsid w:val="003C30D6"/>
    <w:rsid w:val="003C30ED"/>
    <w:rsid w:val="003C3561"/>
    <w:rsid w:val="003C35DF"/>
    <w:rsid w:val="003C39D4"/>
    <w:rsid w:val="003C3B0A"/>
    <w:rsid w:val="003C4855"/>
    <w:rsid w:val="003C49DE"/>
    <w:rsid w:val="003C4A29"/>
    <w:rsid w:val="003C4CF0"/>
    <w:rsid w:val="003C4DB3"/>
    <w:rsid w:val="003C4F2A"/>
    <w:rsid w:val="003C60C1"/>
    <w:rsid w:val="003C60F9"/>
    <w:rsid w:val="003C636E"/>
    <w:rsid w:val="003C6585"/>
    <w:rsid w:val="003C67F4"/>
    <w:rsid w:val="003C684E"/>
    <w:rsid w:val="003C6A9E"/>
    <w:rsid w:val="003C6B70"/>
    <w:rsid w:val="003C6D8E"/>
    <w:rsid w:val="003C731D"/>
    <w:rsid w:val="003C733B"/>
    <w:rsid w:val="003C7398"/>
    <w:rsid w:val="003C74EF"/>
    <w:rsid w:val="003C7BFC"/>
    <w:rsid w:val="003C7D5B"/>
    <w:rsid w:val="003C7F28"/>
    <w:rsid w:val="003D0704"/>
    <w:rsid w:val="003D08F7"/>
    <w:rsid w:val="003D0FBF"/>
    <w:rsid w:val="003D0FEA"/>
    <w:rsid w:val="003D1425"/>
    <w:rsid w:val="003D1428"/>
    <w:rsid w:val="003D1517"/>
    <w:rsid w:val="003D1CD1"/>
    <w:rsid w:val="003D221B"/>
    <w:rsid w:val="003D2587"/>
    <w:rsid w:val="003D2D30"/>
    <w:rsid w:val="003D2DB3"/>
    <w:rsid w:val="003D2DD4"/>
    <w:rsid w:val="003D2E83"/>
    <w:rsid w:val="003D2F29"/>
    <w:rsid w:val="003D41A8"/>
    <w:rsid w:val="003D42F2"/>
    <w:rsid w:val="003D4371"/>
    <w:rsid w:val="003D4D08"/>
    <w:rsid w:val="003D4E3A"/>
    <w:rsid w:val="003D4F6E"/>
    <w:rsid w:val="003D5339"/>
    <w:rsid w:val="003D5558"/>
    <w:rsid w:val="003D55E4"/>
    <w:rsid w:val="003D5DC0"/>
    <w:rsid w:val="003D602C"/>
    <w:rsid w:val="003D70D9"/>
    <w:rsid w:val="003D7477"/>
    <w:rsid w:val="003D7B2C"/>
    <w:rsid w:val="003D7CC1"/>
    <w:rsid w:val="003D7EB8"/>
    <w:rsid w:val="003D7F9C"/>
    <w:rsid w:val="003E02CB"/>
    <w:rsid w:val="003E1608"/>
    <w:rsid w:val="003E18C3"/>
    <w:rsid w:val="003E1ADE"/>
    <w:rsid w:val="003E1E1E"/>
    <w:rsid w:val="003E2E9B"/>
    <w:rsid w:val="003E3374"/>
    <w:rsid w:val="003E337D"/>
    <w:rsid w:val="003E3635"/>
    <w:rsid w:val="003E38E3"/>
    <w:rsid w:val="003E3A4A"/>
    <w:rsid w:val="003E3E6A"/>
    <w:rsid w:val="003E421C"/>
    <w:rsid w:val="003E42D9"/>
    <w:rsid w:val="003E4486"/>
    <w:rsid w:val="003E456B"/>
    <w:rsid w:val="003E53A4"/>
    <w:rsid w:val="003E5497"/>
    <w:rsid w:val="003E5933"/>
    <w:rsid w:val="003E5AE3"/>
    <w:rsid w:val="003E5DAB"/>
    <w:rsid w:val="003E5E50"/>
    <w:rsid w:val="003E5F2F"/>
    <w:rsid w:val="003E68B4"/>
    <w:rsid w:val="003E6CBF"/>
    <w:rsid w:val="003E6E42"/>
    <w:rsid w:val="003E76C2"/>
    <w:rsid w:val="003E7A50"/>
    <w:rsid w:val="003E7C63"/>
    <w:rsid w:val="003F048B"/>
    <w:rsid w:val="003F0A0E"/>
    <w:rsid w:val="003F0E87"/>
    <w:rsid w:val="003F0F10"/>
    <w:rsid w:val="003F1125"/>
    <w:rsid w:val="003F1516"/>
    <w:rsid w:val="003F1867"/>
    <w:rsid w:val="003F1A19"/>
    <w:rsid w:val="003F1C2F"/>
    <w:rsid w:val="003F1C60"/>
    <w:rsid w:val="003F26E2"/>
    <w:rsid w:val="003F2827"/>
    <w:rsid w:val="003F2DF6"/>
    <w:rsid w:val="003F2E2E"/>
    <w:rsid w:val="003F2FB3"/>
    <w:rsid w:val="003F3116"/>
    <w:rsid w:val="003F330B"/>
    <w:rsid w:val="003F3DBD"/>
    <w:rsid w:val="003F3E15"/>
    <w:rsid w:val="003F3F62"/>
    <w:rsid w:val="003F41B4"/>
    <w:rsid w:val="003F43E5"/>
    <w:rsid w:val="003F4B1D"/>
    <w:rsid w:val="003F4FD9"/>
    <w:rsid w:val="003F55ED"/>
    <w:rsid w:val="003F5880"/>
    <w:rsid w:val="003F5A8C"/>
    <w:rsid w:val="003F5A94"/>
    <w:rsid w:val="003F6059"/>
    <w:rsid w:val="003F62C6"/>
    <w:rsid w:val="003F641B"/>
    <w:rsid w:val="003F64E8"/>
    <w:rsid w:val="003F6692"/>
    <w:rsid w:val="003F6974"/>
    <w:rsid w:val="003F6C14"/>
    <w:rsid w:val="003F6CE8"/>
    <w:rsid w:val="003F6D7B"/>
    <w:rsid w:val="003F6F31"/>
    <w:rsid w:val="003F6FCC"/>
    <w:rsid w:val="003F78FB"/>
    <w:rsid w:val="003F7CA0"/>
    <w:rsid w:val="003F7E51"/>
    <w:rsid w:val="00400411"/>
    <w:rsid w:val="00400649"/>
    <w:rsid w:val="00400BD4"/>
    <w:rsid w:val="00400D8F"/>
    <w:rsid w:val="00400F7C"/>
    <w:rsid w:val="004013DF"/>
    <w:rsid w:val="004016C8"/>
    <w:rsid w:val="004017D5"/>
    <w:rsid w:val="00401D58"/>
    <w:rsid w:val="00402155"/>
    <w:rsid w:val="004021E2"/>
    <w:rsid w:val="00402522"/>
    <w:rsid w:val="0040295E"/>
    <w:rsid w:val="00402A0F"/>
    <w:rsid w:val="00402F59"/>
    <w:rsid w:val="00403037"/>
    <w:rsid w:val="00403851"/>
    <w:rsid w:val="00403882"/>
    <w:rsid w:val="00403A55"/>
    <w:rsid w:val="00403BC5"/>
    <w:rsid w:val="00403F19"/>
    <w:rsid w:val="00404BD2"/>
    <w:rsid w:val="00404C50"/>
    <w:rsid w:val="00404D9F"/>
    <w:rsid w:val="00404FD4"/>
    <w:rsid w:val="00405760"/>
    <w:rsid w:val="004064CC"/>
    <w:rsid w:val="00406679"/>
    <w:rsid w:val="00406AB5"/>
    <w:rsid w:val="004074D1"/>
    <w:rsid w:val="004078DA"/>
    <w:rsid w:val="0041004A"/>
    <w:rsid w:val="004102E8"/>
    <w:rsid w:val="004103D1"/>
    <w:rsid w:val="004104FC"/>
    <w:rsid w:val="00410872"/>
    <w:rsid w:val="00410AE1"/>
    <w:rsid w:val="00410EE4"/>
    <w:rsid w:val="00411582"/>
    <w:rsid w:val="00411747"/>
    <w:rsid w:val="004119E4"/>
    <w:rsid w:val="00411E5D"/>
    <w:rsid w:val="00411F4E"/>
    <w:rsid w:val="004121BA"/>
    <w:rsid w:val="0041294B"/>
    <w:rsid w:val="00412A34"/>
    <w:rsid w:val="00412BBC"/>
    <w:rsid w:val="00412C9D"/>
    <w:rsid w:val="00412E15"/>
    <w:rsid w:val="0041310F"/>
    <w:rsid w:val="0041326C"/>
    <w:rsid w:val="00413323"/>
    <w:rsid w:val="00413735"/>
    <w:rsid w:val="00413B2D"/>
    <w:rsid w:val="00413DF2"/>
    <w:rsid w:val="00413ECD"/>
    <w:rsid w:val="004146C1"/>
    <w:rsid w:val="00414B2A"/>
    <w:rsid w:val="00414E63"/>
    <w:rsid w:val="004151EF"/>
    <w:rsid w:val="004152A3"/>
    <w:rsid w:val="004158F1"/>
    <w:rsid w:val="00415BA8"/>
    <w:rsid w:val="00416066"/>
    <w:rsid w:val="0041624E"/>
    <w:rsid w:val="00416F77"/>
    <w:rsid w:val="00417211"/>
    <w:rsid w:val="004174DC"/>
    <w:rsid w:val="00417A98"/>
    <w:rsid w:val="004209F4"/>
    <w:rsid w:val="00420ACA"/>
    <w:rsid w:val="00420EC3"/>
    <w:rsid w:val="00420FBC"/>
    <w:rsid w:val="004211D2"/>
    <w:rsid w:val="00421230"/>
    <w:rsid w:val="004215FA"/>
    <w:rsid w:val="00421601"/>
    <w:rsid w:val="00421ED2"/>
    <w:rsid w:val="0042233A"/>
    <w:rsid w:val="0042268A"/>
    <w:rsid w:val="00422E8A"/>
    <w:rsid w:val="004233B8"/>
    <w:rsid w:val="004237FB"/>
    <w:rsid w:val="004239B4"/>
    <w:rsid w:val="004243A4"/>
    <w:rsid w:val="004246FC"/>
    <w:rsid w:val="00424788"/>
    <w:rsid w:val="00424E03"/>
    <w:rsid w:val="00424E6A"/>
    <w:rsid w:val="00424E73"/>
    <w:rsid w:val="004250BD"/>
    <w:rsid w:val="0042542E"/>
    <w:rsid w:val="004255CB"/>
    <w:rsid w:val="0042576C"/>
    <w:rsid w:val="0042581C"/>
    <w:rsid w:val="00425B24"/>
    <w:rsid w:val="00426D04"/>
    <w:rsid w:val="0042701E"/>
    <w:rsid w:val="0042715C"/>
    <w:rsid w:val="0042789B"/>
    <w:rsid w:val="00427D12"/>
    <w:rsid w:val="004305E8"/>
    <w:rsid w:val="0043062E"/>
    <w:rsid w:val="00430675"/>
    <w:rsid w:val="00430D51"/>
    <w:rsid w:val="00431179"/>
    <w:rsid w:val="004318E3"/>
    <w:rsid w:val="00431B02"/>
    <w:rsid w:val="00431F4D"/>
    <w:rsid w:val="00431F55"/>
    <w:rsid w:val="004325B1"/>
    <w:rsid w:val="004327EC"/>
    <w:rsid w:val="004329D2"/>
    <w:rsid w:val="00432D79"/>
    <w:rsid w:val="00432F6D"/>
    <w:rsid w:val="00432F94"/>
    <w:rsid w:val="0043309B"/>
    <w:rsid w:val="0043311F"/>
    <w:rsid w:val="00433287"/>
    <w:rsid w:val="0043355D"/>
    <w:rsid w:val="00433BFA"/>
    <w:rsid w:val="00433DA7"/>
    <w:rsid w:val="00434124"/>
    <w:rsid w:val="00434374"/>
    <w:rsid w:val="004344E7"/>
    <w:rsid w:val="00434544"/>
    <w:rsid w:val="00434D1D"/>
    <w:rsid w:val="00434F39"/>
    <w:rsid w:val="004355A5"/>
    <w:rsid w:val="00435A5F"/>
    <w:rsid w:val="004360A2"/>
    <w:rsid w:val="0043617F"/>
    <w:rsid w:val="004361B7"/>
    <w:rsid w:val="004361D7"/>
    <w:rsid w:val="0043653F"/>
    <w:rsid w:val="00436646"/>
    <w:rsid w:val="0043695E"/>
    <w:rsid w:val="00437241"/>
    <w:rsid w:val="00437490"/>
    <w:rsid w:val="00437D94"/>
    <w:rsid w:val="00437FBC"/>
    <w:rsid w:val="00440134"/>
    <w:rsid w:val="004402DA"/>
    <w:rsid w:val="004404B1"/>
    <w:rsid w:val="00440554"/>
    <w:rsid w:val="00440A88"/>
    <w:rsid w:val="00440AD9"/>
    <w:rsid w:val="00440C27"/>
    <w:rsid w:val="00440E4C"/>
    <w:rsid w:val="004411C5"/>
    <w:rsid w:val="00441942"/>
    <w:rsid w:val="00441B66"/>
    <w:rsid w:val="00441D34"/>
    <w:rsid w:val="00441DB0"/>
    <w:rsid w:val="0044229D"/>
    <w:rsid w:val="0044281E"/>
    <w:rsid w:val="00442914"/>
    <w:rsid w:val="0044347E"/>
    <w:rsid w:val="004438A4"/>
    <w:rsid w:val="00443903"/>
    <w:rsid w:val="004439EA"/>
    <w:rsid w:val="00443C79"/>
    <w:rsid w:val="00443CDD"/>
    <w:rsid w:val="00443D22"/>
    <w:rsid w:val="004445B5"/>
    <w:rsid w:val="00444ACD"/>
    <w:rsid w:val="0044512E"/>
    <w:rsid w:val="004451F5"/>
    <w:rsid w:val="004453ED"/>
    <w:rsid w:val="004457F7"/>
    <w:rsid w:val="004458EC"/>
    <w:rsid w:val="00445C58"/>
    <w:rsid w:val="0044613A"/>
    <w:rsid w:val="0044626B"/>
    <w:rsid w:val="00446AF1"/>
    <w:rsid w:val="004474D8"/>
    <w:rsid w:val="00447897"/>
    <w:rsid w:val="00447FAD"/>
    <w:rsid w:val="00450589"/>
    <w:rsid w:val="00450C40"/>
    <w:rsid w:val="00450E23"/>
    <w:rsid w:val="00450EF7"/>
    <w:rsid w:val="0045150B"/>
    <w:rsid w:val="00451591"/>
    <w:rsid w:val="0045192E"/>
    <w:rsid w:val="00451F2E"/>
    <w:rsid w:val="00452084"/>
    <w:rsid w:val="00452388"/>
    <w:rsid w:val="004524D1"/>
    <w:rsid w:val="004525D1"/>
    <w:rsid w:val="004527CE"/>
    <w:rsid w:val="00452DB5"/>
    <w:rsid w:val="00453807"/>
    <w:rsid w:val="00453BB6"/>
    <w:rsid w:val="0045415F"/>
    <w:rsid w:val="004541AF"/>
    <w:rsid w:val="00454333"/>
    <w:rsid w:val="00454563"/>
    <w:rsid w:val="00454A22"/>
    <w:rsid w:val="00454B9F"/>
    <w:rsid w:val="004551D6"/>
    <w:rsid w:val="00455326"/>
    <w:rsid w:val="00455836"/>
    <w:rsid w:val="0045603D"/>
    <w:rsid w:val="00456162"/>
    <w:rsid w:val="00456282"/>
    <w:rsid w:val="004563DB"/>
    <w:rsid w:val="00456D5C"/>
    <w:rsid w:val="00456EEE"/>
    <w:rsid w:val="0045713F"/>
    <w:rsid w:val="00457215"/>
    <w:rsid w:val="0045763C"/>
    <w:rsid w:val="00457C34"/>
    <w:rsid w:val="00457ED2"/>
    <w:rsid w:val="004608F6"/>
    <w:rsid w:val="00460A41"/>
    <w:rsid w:val="00460BC9"/>
    <w:rsid w:val="00461037"/>
    <w:rsid w:val="00461B6B"/>
    <w:rsid w:val="00461C3C"/>
    <w:rsid w:val="00461F56"/>
    <w:rsid w:val="0046216C"/>
    <w:rsid w:val="00462782"/>
    <w:rsid w:val="004627B8"/>
    <w:rsid w:val="00462B1F"/>
    <w:rsid w:val="00463175"/>
    <w:rsid w:val="004635FE"/>
    <w:rsid w:val="00463939"/>
    <w:rsid w:val="004641B6"/>
    <w:rsid w:val="00464F3D"/>
    <w:rsid w:val="00465065"/>
    <w:rsid w:val="004655FC"/>
    <w:rsid w:val="00465CCD"/>
    <w:rsid w:val="00465E92"/>
    <w:rsid w:val="00465EE4"/>
    <w:rsid w:val="004661B0"/>
    <w:rsid w:val="00466B0B"/>
    <w:rsid w:val="00466DC4"/>
    <w:rsid w:val="00466FC0"/>
    <w:rsid w:val="004670CE"/>
    <w:rsid w:val="00467115"/>
    <w:rsid w:val="00467391"/>
    <w:rsid w:val="0046758C"/>
    <w:rsid w:val="004675B9"/>
    <w:rsid w:val="004679F6"/>
    <w:rsid w:val="00467AB4"/>
    <w:rsid w:val="0047024F"/>
    <w:rsid w:val="004702EB"/>
    <w:rsid w:val="00470D95"/>
    <w:rsid w:val="00471121"/>
    <w:rsid w:val="00471928"/>
    <w:rsid w:val="00471E07"/>
    <w:rsid w:val="00471FAC"/>
    <w:rsid w:val="00472020"/>
    <w:rsid w:val="00472656"/>
    <w:rsid w:val="00472902"/>
    <w:rsid w:val="00472B7E"/>
    <w:rsid w:val="00472F86"/>
    <w:rsid w:val="00473359"/>
    <w:rsid w:val="0047339F"/>
    <w:rsid w:val="00473490"/>
    <w:rsid w:val="0047352C"/>
    <w:rsid w:val="00473601"/>
    <w:rsid w:val="00473662"/>
    <w:rsid w:val="004737C6"/>
    <w:rsid w:val="00473823"/>
    <w:rsid w:val="004750F1"/>
    <w:rsid w:val="00475445"/>
    <w:rsid w:val="004756F6"/>
    <w:rsid w:val="00475F3A"/>
    <w:rsid w:val="00475F99"/>
    <w:rsid w:val="004760F2"/>
    <w:rsid w:val="00476368"/>
    <w:rsid w:val="004764D2"/>
    <w:rsid w:val="004767E6"/>
    <w:rsid w:val="00476B01"/>
    <w:rsid w:val="00476F73"/>
    <w:rsid w:val="004774BD"/>
    <w:rsid w:val="00477669"/>
    <w:rsid w:val="0048021F"/>
    <w:rsid w:val="00480373"/>
    <w:rsid w:val="004807FF"/>
    <w:rsid w:val="004811A7"/>
    <w:rsid w:val="004814F5"/>
    <w:rsid w:val="00481545"/>
    <w:rsid w:val="00481793"/>
    <w:rsid w:val="00481ABD"/>
    <w:rsid w:val="00481E7B"/>
    <w:rsid w:val="0048229C"/>
    <w:rsid w:val="004826D8"/>
    <w:rsid w:val="004829E0"/>
    <w:rsid w:val="004830E1"/>
    <w:rsid w:val="0048339E"/>
    <w:rsid w:val="004834BC"/>
    <w:rsid w:val="00483881"/>
    <w:rsid w:val="00483A94"/>
    <w:rsid w:val="00483AAD"/>
    <w:rsid w:val="00483B4C"/>
    <w:rsid w:val="00483F50"/>
    <w:rsid w:val="00484328"/>
    <w:rsid w:val="00484A6D"/>
    <w:rsid w:val="00484F4B"/>
    <w:rsid w:val="00484F60"/>
    <w:rsid w:val="00485220"/>
    <w:rsid w:val="00485675"/>
    <w:rsid w:val="0048576D"/>
    <w:rsid w:val="00485929"/>
    <w:rsid w:val="0048630B"/>
    <w:rsid w:val="00487111"/>
    <w:rsid w:val="004872A4"/>
    <w:rsid w:val="004874F2"/>
    <w:rsid w:val="00487BFB"/>
    <w:rsid w:val="00487FCF"/>
    <w:rsid w:val="0049071E"/>
    <w:rsid w:val="00491059"/>
    <w:rsid w:val="00491513"/>
    <w:rsid w:val="004917EB"/>
    <w:rsid w:val="00491B59"/>
    <w:rsid w:val="00492319"/>
    <w:rsid w:val="004923B8"/>
    <w:rsid w:val="00492B8B"/>
    <w:rsid w:val="0049372E"/>
    <w:rsid w:val="00493867"/>
    <w:rsid w:val="0049390F"/>
    <w:rsid w:val="00493A85"/>
    <w:rsid w:val="00493B46"/>
    <w:rsid w:val="00493F9E"/>
    <w:rsid w:val="004940A7"/>
    <w:rsid w:val="004949C6"/>
    <w:rsid w:val="00495493"/>
    <w:rsid w:val="004955CD"/>
    <w:rsid w:val="004956FB"/>
    <w:rsid w:val="00495C30"/>
    <w:rsid w:val="00495CA9"/>
    <w:rsid w:val="00495EFF"/>
    <w:rsid w:val="00495FB1"/>
    <w:rsid w:val="0049677E"/>
    <w:rsid w:val="00496A28"/>
    <w:rsid w:val="004974CD"/>
    <w:rsid w:val="0049771D"/>
    <w:rsid w:val="0049792C"/>
    <w:rsid w:val="00497F37"/>
    <w:rsid w:val="004A0572"/>
    <w:rsid w:val="004A0642"/>
    <w:rsid w:val="004A069A"/>
    <w:rsid w:val="004A0C85"/>
    <w:rsid w:val="004A0E4C"/>
    <w:rsid w:val="004A13B5"/>
    <w:rsid w:val="004A17BE"/>
    <w:rsid w:val="004A183E"/>
    <w:rsid w:val="004A23B3"/>
    <w:rsid w:val="004A2629"/>
    <w:rsid w:val="004A28E3"/>
    <w:rsid w:val="004A2975"/>
    <w:rsid w:val="004A29EA"/>
    <w:rsid w:val="004A2A42"/>
    <w:rsid w:val="004A2C34"/>
    <w:rsid w:val="004A2C7C"/>
    <w:rsid w:val="004A3075"/>
    <w:rsid w:val="004A30FC"/>
    <w:rsid w:val="004A3153"/>
    <w:rsid w:val="004A33EC"/>
    <w:rsid w:val="004A345B"/>
    <w:rsid w:val="004A3945"/>
    <w:rsid w:val="004A3978"/>
    <w:rsid w:val="004A3ACD"/>
    <w:rsid w:val="004A3F6F"/>
    <w:rsid w:val="004A4302"/>
    <w:rsid w:val="004A4BF7"/>
    <w:rsid w:val="004A51CB"/>
    <w:rsid w:val="004A5261"/>
    <w:rsid w:val="004A5756"/>
    <w:rsid w:val="004A578B"/>
    <w:rsid w:val="004A5BAA"/>
    <w:rsid w:val="004A6295"/>
    <w:rsid w:val="004A6446"/>
    <w:rsid w:val="004A6526"/>
    <w:rsid w:val="004A66E5"/>
    <w:rsid w:val="004A675E"/>
    <w:rsid w:val="004B022A"/>
    <w:rsid w:val="004B0BFE"/>
    <w:rsid w:val="004B0DE4"/>
    <w:rsid w:val="004B1446"/>
    <w:rsid w:val="004B175C"/>
    <w:rsid w:val="004B17CB"/>
    <w:rsid w:val="004B1D57"/>
    <w:rsid w:val="004B226B"/>
    <w:rsid w:val="004B232B"/>
    <w:rsid w:val="004B2A79"/>
    <w:rsid w:val="004B3120"/>
    <w:rsid w:val="004B3341"/>
    <w:rsid w:val="004B3591"/>
    <w:rsid w:val="004B360B"/>
    <w:rsid w:val="004B4211"/>
    <w:rsid w:val="004B48AE"/>
    <w:rsid w:val="004B4A0E"/>
    <w:rsid w:val="004B4C3B"/>
    <w:rsid w:val="004B4E09"/>
    <w:rsid w:val="004B57AD"/>
    <w:rsid w:val="004B5813"/>
    <w:rsid w:val="004B5D31"/>
    <w:rsid w:val="004B5F5E"/>
    <w:rsid w:val="004B5FCF"/>
    <w:rsid w:val="004B73B1"/>
    <w:rsid w:val="004B751A"/>
    <w:rsid w:val="004B75CA"/>
    <w:rsid w:val="004B7641"/>
    <w:rsid w:val="004B7FCD"/>
    <w:rsid w:val="004C04B1"/>
    <w:rsid w:val="004C069F"/>
    <w:rsid w:val="004C074D"/>
    <w:rsid w:val="004C0927"/>
    <w:rsid w:val="004C0C9C"/>
    <w:rsid w:val="004C1318"/>
    <w:rsid w:val="004C1BAE"/>
    <w:rsid w:val="004C2087"/>
    <w:rsid w:val="004C2179"/>
    <w:rsid w:val="004C21E6"/>
    <w:rsid w:val="004C22B6"/>
    <w:rsid w:val="004C261C"/>
    <w:rsid w:val="004C26E4"/>
    <w:rsid w:val="004C2A3A"/>
    <w:rsid w:val="004C2CB9"/>
    <w:rsid w:val="004C41D1"/>
    <w:rsid w:val="004C45E3"/>
    <w:rsid w:val="004C4691"/>
    <w:rsid w:val="004C49A3"/>
    <w:rsid w:val="004C4D89"/>
    <w:rsid w:val="004C5235"/>
    <w:rsid w:val="004C5C61"/>
    <w:rsid w:val="004C658B"/>
    <w:rsid w:val="004C6968"/>
    <w:rsid w:val="004C6B27"/>
    <w:rsid w:val="004C6B6E"/>
    <w:rsid w:val="004C6EFA"/>
    <w:rsid w:val="004C777D"/>
    <w:rsid w:val="004C78E3"/>
    <w:rsid w:val="004C7D01"/>
    <w:rsid w:val="004C7F97"/>
    <w:rsid w:val="004D0382"/>
    <w:rsid w:val="004D060A"/>
    <w:rsid w:val="004D06AF"/>
    <w:rsid w:val="004D0C9D"/>
    <w:rsid w:val="004D0FE5"/>
    <w:rsid w:val="004D10F4"/>
    <w:rsid w:val="004D1960"/>
    <w:rsid w:val="004D1BBB"/>
    <w:rsid w:val="004D1BC6"/>
    <w:rsid w:val="004D1C79"/>
    <w:rsid w:val="004D1F75"/>
    <w:rsid w:val="004D2176"/>
    <w:rsid w:val="004D296B"/>
    <w:rsid w:val="004D2C65"/>
    <w:rsid w:val="004D2E7C"/>
    <w:rsid w:val="004D2E9B"/>
    <w:rsid w:val="004D2EA4"/>
    <w:rsid w:val="004D3047"/>
    <w:rsid w:val="004D3C65"/>
    <w:rsid w:val="004D4233"/>
    <w:rsid w:val="004D42B6"/>
    <w:rsid w:val="004D4704"/>
    <w:rsid w:val="004D5087"/>
    <w:rsid w:val="004D5398"/>
    <w:rsid w:val="004D575C"/>
    <w:rsid w:val="004D5ADF"/>
    <w:rsid w:val="004D61C0"/>
    <w:rsid w:val="004D643E"/>
    <w:rsid w:val="004D6522"/>
    <w:rsid w:val="004D6535"/>
    <w:rsid w:val="004D6F51"/>
    <w:rsid w:val="004D6F59"/>
    <w:rsid w:val="004D7127"/>
    <w:rsid w:val="004D797B"/>
    <w:rsid w:val="004D7C7B"/>
    <w:rsid w:val="004E0692"/>
    <w:rsid w:val="004E0C60"/>
    <w:rsid w:val="004E0D09"/>
    <w:rsid w:val="004E0DAF"/>
    <w:rsid w:val="004E0E14"/>
    <w:rsid w:val="004E0EE6"/>
    <w:rsid w:val="004E1102"/>
    <w:rsid w:val="004E1196"/>
    <w:rsid w:val="004E14DD"/>
    <w:rsid w:val="004E1792"/>
    <w:rsid w:val="004E204A"/>
    <w:rsid w:val="004E254C"/>
    <w:rsid w:val="004E2F8D"/>
    <w:rsid w:val="004E32FC"/>
    <w:rsid w:val="004E3785"/>
    <w:rsid w:val="004E39D8"/>
    <w:rsid w:val="004E3B22"/>
    <w:rsid w:val="004E3CBF"/>
    <w:rsid w:val="004E3CE5"/>
    <w:rsid w:val="004E3D75"/>
    <w:rsid w:val="004E3EC7"/>
    <w:rsid w:val="004E40DC"/>
    <w:rsid w:val="004E4586"/>
    <w:rsid w:val="004E4777"/>
    <w:rsid w:val="004E51AB"/>
    <w:rsid w:val="004E5773"/>
    <w:rsid w:val="004E5CAB"/>
    <w:rsid w:val="004E6013"/>
    <w:rsid w:val="004E6779"/>
    <w:rsid w:val="004E69A7"/>
    <w:rsid w:val="004E6A69"/>
    <w:rsid w:val="004E6C7F"/>
    <w:rsid w:val="004E6C8A"/>
    <w:rsid w:val="004E71E2"/>
    <w:rsid w:val="004E777B"/>
    <w:rsid w:val="004E7807"/>
    <w:rsid w:val="004E79A8"/>
    <w:rsid w:val="004E7AE7"/>
    <w:rsid w:val="004E7AF6"/>
    <w:rsid w:val="004F0E94"/>
    <w:rsid w:val="004F1222"/>
    <w:rsid w:val="004F1561"/>
    <w:rsid w:val="004F1688"/>
    <w:rsid w:val="004F1B83"/>
    <w:rsid w:val="004F1CF6"/>
    <w:rsid w:val="004F225C"/>
    <w:rsid w:val="004F2CF9"/>
    <w:rsid w:val="004F3258"/>
    <w:rsid w:val="004F416D"/>
    <w:rsid w:val="004F4B8F"/>
    <w:rsid w:val="004F516F"/>
    <w:rsid w:val="004F530B"/>
    <w:rsid w:val="004F54E2"/>
    <w:rsid w:val="004F5B68"/>
    <w:rsid w:val="004F5DB8"/>
    <w:rsid w:val="004F61D6"/>
    <w:rsid w:val="004F65CE"/>
    <w:rsid w:val="004F69FA"/>
    <w:rsid w:val="004F6C49"/>
    <w:rsid w:val="004F6C90"/>
    <w:rsid w:val="004F73F2"/>
    <w:rsid w:val="004F7464"/>
    <w:rsid w:val="004F76E5"/>
    <w:rsid w:val="004F7E22"/>
    <w:rsid w:val="00500106"/>
    <w:rsid w:val="00500518"/>
    <w:rsid w:val="0050062F"/>
    <w:rsid w:val="005010C5"/>
    <w:rsid w:val="00501142"/>
    <w:rsid w:val="00501469"/>
    <w:rsid w:val="005015BE"/>
    <w:rsid w:val="005019C9"/>
    <w:rsid w:val="00501B64"/>
    <w:rsid w:val="00501CBF"/>
    <w:rsid w:val="00501DA3"/>
    <w:rsid w:val="00501DB2"/>
    <w:rsid w:val="00501E1B"/>
    <w:rsid w:val="0050204F"/>
    <w:rsid w:val="00502D56"/>
    <w:rsid w:val="00503020"/>
    <w:rsid w:val="005031CB"/>
    <w:rsid w:val="0050351E"/>
    <w:rsid w:val="00503988"/>
    <w:rsid w:val="00503B25"/>
    <w:rsid w:val="00504C2E"/>
    <w:rsid w:val="00505040"/>
    <w:rsid w:val="0050558E"/>
    <w:rsid w:val="0050567B"/>
    <w:rsid w:val="00505728"/>
    <w:rsid w:val="005061E1"/>
    <w:rsid w:val="0050628E"/>
    <w:rsid w:val="005062F3"/>
    <w:rsid w:val="0050653D"/>
    <w:rsid w:val="00506838"/>
    <w:rsid w:val="00506C1B"/>
    <w:rsid w:val="00506E56"/>
    <w:rsid w:val="005070DC"/>
    <w:rsid w:val="00507AAC"/>
    <w:rsid w:val="00507C28"/>
    <w:rsid w:val="00507CC7"/>
    <w:rsid w:val="005101E5"/>
    <w:rsid w:val="0051077F"/>
    <w:rsid w:val="00510A8D"/>
    <w:rsid w:val="00511825"/>
    <w:rsid w:val="00511ABF"/>
    <w:rsid w:val="00511F5B"/>
    <w:rsid w:val="005123A4"/>
    <w:rsid w:val="0051266F"/>
    <w:rsid w:val="00512873"/>
    <w:rsid w:val="00513491"/>
    <w:rsid w:val="00513B2E"/>
    <w:rsid w:val="00514053"/>
    <w:rsid w:val="00514A95"/>
    <w:rsid w:val="00514B6C"/>
    <w:rsid w:val="00514C65"/>
    <w:rsid w:val="005152CB"/>
    <w:rsid w:val="005154D7"/>
    <w:rsid w:val="00515559"/>
    <w:rsid w:val="00515599"/>
    <w:rsid w:val="0051586F"/>
    <w:rsid w:val="00515951"/>
    <w:rsid w:val="005159A2"/>
    <w:rsid w:val="00515A6C"/>
    <w:rsid w:val="00515CF6"/>
    <w:rsid w:val="005166A7"/>
    <w:rsid w:val="00517024"/>
    <w:rsid w:val="005170F9"/>
    <w:rsid w:val="00517533"/>
    <w:rsid w:val="00517BD3"/>
    <w:rsid w:val="00517DD9"/>
    <w:rsid w:val="00517FD7"/>
    <w:rsid w:val="0052004D"/>
    <w:rsid w:val="005205BF"/>
    <w:rsid w:val="00520B0E"/>
    <w:rsid w:val="00520B7B"/>
    <w:rsid w:val="005211AD"/>
    <w:rsid w:val="005212E2"/>
    <w:rsid w:val="0052158D"/>
    <w:rsid w:val="00521616"/>
    <w:rsid w:val="0052176F"/>
    <w:rsid w:val="00521BF8"/>
    <w:rsid w:val="00521C33"/>
    <w:rsid w:val="005227D2"/>
    <w:rsid w:val="00522C3A"/>
    <w:rsid w:val="00523067"/>
    <w:rsid w:val="0052330C"/>
    <w:rsid w:val="005238CE"/>
    <w:rsid w:val="005239F9"/>
    <w:rsid w:val="00523A90"/>
    <w:rsid w:val="00523A99"/>
    <w:rsid w:val="00523E1B"/>
    <w:rsid w:val="00524021"/>
    <w:rsid w:val="005244F3"/>
    <w:rsid w:val="00524C3F"/>
    <w:rsid w:val="005250C5"/>
    <w:rsid w:val="00525119"/>
    <w:rsid w:val="00525508"/>
    <w:rsid w:val="00525543"/>
    <w:rsid w:val="005257B4"/>
    <w:rsid w:val="0052657F"/>
    <w:rsid w:val="00526911"/>
    <w:rsid w:val="00526CC1"/>
    <w:rsid w:val="00526CFC"/>
    <w:rsid w:val="00527216"/>
    <w:rsid w:val="0052752F"/>
    <w:rsid w:val="00527C17"/>
    <w:rsid w:val="00527CC0"/>
    <w:rsid w:val="0053013E"/>
    <w:rsid w:val="00530259"/>
    <w:rsid w:val="0053025B"/>
    <w:rsid w:val="005309B0"/>
    <w:rsid w:val="00530A34"/>
    <w:rsid w:val="00530EFE"/>
    <w:rsid w:val="00531646"/>
    <w:rsid w:val="005316C6"/>
    <w:rsid w:val="00531749"/>
    <w:rsid w:val="00531C05"/>
    <w:rsid w:val="005320E3"/>
    <w:rsid w:val="00532118"/>
    <w:rsid w:val="00532281"/>
    <w:rsid w:val="00532406"/>
    <w:rsid w:val="0053298E"/>
    <w:rsid w:val="00532C6F"/>
    <w:rsid w:val="00532D57"/>
    <w:rsid w:val="00533414"/>
    <w:rsid w:val="005338BC"/>
    <w:rsid w:val="0053396E"/>
    <w:rsid w:val="0053398E"/>
    <w:rsid w:val="00533F78"/>
    <w:rsid w:val="00534532"/>
    <w:rsid w:val="00534F32"/>
    <w:rsid w:val="00534F52"/>
    <w:rsid w:val="00535169"/>
    <w:rsid w:val="00535382"/>
    <w:rsid w:val="0053554C"/>
    <w:rsid w:val="005355A2"/>
    <w:rsid w:val="005355DB"/>
    <w:rsid w:val="005357F4"/>
    <w:rsid w:val="00535D2B"/>
    <w:rsid w:val="00535E4B"/>
    <w:rsid w:val="00537191"/>
    <w:rsid w:val="0053765B"/>
    <w:rsid w:val="00537E03"/>
    <w:rsid w:val="00540055"/>
    <w:rsid w:val="00540364"/>
    <w:rsid w:val="00541074"/>
    <w:rsid w:val="00541335"/>
    <w:rsid w:val="005416D7"/>
    <w:rsid w:val="00541B10"/>
    <w:rsid w:val="00541F59"/>
    <w:rsid w:val="005422AB"/>
    <w:rsid w:val="005424A8"/>
    <w:rsid w:val="00542AFA"/>
    <w:rsid w:val="00542C0B"/>
    <w:rsid w:val="00542C63"/>
    <w:rsid w:val="00542C8E"/>
    <w:rsid w:val="00542D62"/>
    <w:rsid w:val="005436B6"/>
    <w:rsid w:val="00543750"/>
    <w:rsid w:val="00543BB8"/>
    <w:rsid w:val="005446BF"/>
    <w:rsid w:val="00544B49"/>
    <w:rsid w:val="00544D48"/>
    <w:rsid w:val="00544D4A"/>
    <w:rsid w:val="0054531E"/>
    <w:rsid w:val="0054597C"/>
    <w:rsid w:val="00546AE5"/>
    <w:rsid w:val="00546CA9"/>
    <w:rsid w:val="00546F5D"/>
    <w:rsid w:val="00546F80"/>
    <w:rsid w:val="005475BA"/>
    <w:rsid w:val="00547631"/>
    <w:rsid w:val="00547693"/>
    <w:rsid w:val="0054789D"/>
    <w:rsid w:val="00547B1F"/>
    <w:rsid w:val="00547C7E"/>
    <w:rsid w:val="005500FA"/>
    <w:rsid w:val="00550496"/>
    <w:rsid w:val="0055080F"/>
    <w:rsid w:val="00550876"/>
    <w:rsid w:val="00550CEC"/>
    <w:rsid w:val="00550E4C"/>
    <w:rsid w:val="00551B6A"/>
    <w:rsid w:val="00551BE0"/>
    <w:rsid w:val="00551D68"/>
    <w:rsid w:val="00552216"/>
    <w:rsid w:val="0055247F"/>
    <w:rsid w:val="005527B6"/>
    <w:rsid w:val="00552CCB"/>
    <w:rsid w:val="00554348"/>
    <w:rsid w:val="00554798"/>
    <w:rsid w:val="00554971"/>
    <w:rsid w:val="00554BB6"/>
    <w:rsid w:val="00554C22"/>
    <w:rsid w:val="00554D3C"/>
    <w:rsid w:val="00555622"/>
    <w:rsid w:val="005556CC"/>
    <w:rsid w:val="00555C75"/>
    <w:rsid w:val="00555D33"/>
    <w:rsid w:val="00555F57"/>
    <w:rsid w:val="00557C30"/>
    <w:rsid w:val="00557FB2"/>
    <w:rsid w:val="0056062D"/>
    <w:rsid w:val="00560684"/>
    <w:rsid w:val="005606E5"/>
    <w:rsid w:val="00560EBD"/>
    <w:rsid w:val="0056113A"/>
    <w:rsid w:val="00561619"/>
    <w:rsid w:val="0056198B"/>
    <w:rsid w:val="005619F3"/>
    <w:rsid w:val="00561D05"/>
    <w:rsid w:val="00561E3C"/>
    <w:rsid w:val="0056272A"/>
    <w:rsid w:val="0056288B"/>
    <w:rsid w:val="00562C63"/>
    <w:rsid w:val="00562D2E"/>
    <w:rsid w:val="00563367"/>
    <w:rsid w:val="00563A4E"/>
    <w:rsid w:val="00563CD4"/>
    <w:rsid w:val="00563EBE"/>
    <w:rsid w:val="005640BA"/>
    <w:rsid w:val="00564417"/>
    <w:rsid w:val="005645A1"/>
    <w:rsid w:val="0056474F"/>
    <w:rsid w:val="005647EA"/>
    <w:rsid w:val="005648AA"/>
    <w:rsid w:val="00565280"/>
    <w:rsid w:val="005652C0"/>
    <w:rsid w:val="00565B76"/>
    <w:rsid w:val="00565BAF"/>
    <w:rsid w:val="00565C58"/>
    <w:rsid w:val="005663A0"/>
    <w:rsid w:val="005664BD"/>
    <w:rsid w:val="005669FE"/>
    <w:rsid w:val="00566B74"/>
    <w:rsid w:val="00566BCE"/>
    <w:rsid w:val="0056797F"/>
    <w:rsid w:val="00567DF1"/>
    <w:rsid w:val="00567DFE"/>
    <w:rsid w:val="005700EE"/>
    <w:rsid w:val="0057034A"/>
    <w:rsid w:val="005705F5"/>
    <w:rsid w:val="00570E0A"/>
    <w:rsid w:val="00571126"/>
    <w:rsid w:val="005713DC"/>
    <w:rsid w:val="00571695"/>
    <w:rsid w:val="005717DC"/>
    <w:rsid w:val="0057185A"/>
    <w:rsid w:val="00571BDC"/>
    <w:rsid w:val="00572014"/>
    <w:rsid w:val="00572985"/>
    <w:rsid w:val="00572DF3"/>
    <w:rsid w:val="00573136"/>
    <w:rsid w:val="005733D8"/>
    <w:rsid w:val="005737E1"/>
    <w:rsid w:val="00574199"/>
    <w:rsid w:val="00574286"/>
    <w:rsid w:val="00574518"/>
    <w:rsid w:val="005748D9"/>
    <w:rsid w:val="00574BBA"/>
    <w:rsid w:val="00574BDB"/>
    <w:rsid w:val="0057572F"/>
    <w:rsid w:val="00576150"/>
    <w:rsid w:val="00576D77"/>
    <w:rsid w:val="005771BC"/>
    <w:rsid w:val="005771CD"/>
    <w:rsid w:val="00577B15"/>
    <w:rsid w:val="00577BC5"/>
    <w:rsid w:val="00577DC5"/>
    <w:rsid w:val="00580399"/>
    <w:rsid w:val="0058080D"/>
    <w:rsid w:val="0058095C"/>
    <w:rsid w:val="00580B53"/>
    <w:rsid w:val="00580F09"/>
    <w:rsid w:val="0058101E"/>
    <w:rsid w:val="00581060"/>
    <w:rsid w:val="00581A8C"/>
    <w:rsid w:val="00581B4A"/>
    <w:rsid w:val="00582093"/>
    <w:rsid w:val="005821AE"/>
    <w:rsid w:val="00582B08"/>
    <w:rsid w:val="005833FE"/>
    <w:rsid w:val="0058381A"/>
    <w:rsid w:val="00583BB7"/>
    <w:rsid w:val="00583D68"/>
    <w:rsid w:val="00583F34"/>
    <w:rsid w:val="005841E7"/>
    <w:rsid w:val="005841FE"/>
    <w:rsid w:val="00584601"/>
    <w:rsid w:val="00584968"/>
    <w:rsid w:val="00585826"/>
    <w:rsid w:val="005860C2"/>
    <w:rsid w:val="005860F8"/>
    <w:rsid w:val="005865ED"/>
    <w:rsid w:val="0058666B"/>
    <w:rsid w:val="00586702"/>
    <w:rsid w:val="0058670E"/>
    <w:rsid w:val="00587E74"/>
    <w:rsid w:val="00590045"/>
    <w:rsid w:val="005902B8"/>
    <w:rsid w:val="0059046D"/>
    <w:rsid w:val="005907E2"/>
    <w:rsid w:val="00590ABD"/>
    <w:rsid w:val="00590C33"/>
    <w:rsid w:val="00590F9B"/>
    <w:rsid w:val="0059134A"/>
    <w:rsid w:val="005913ED"/>
    <w:rsid w:val="005916BA"/>
    <w:rsid w:val="005917BF"/>
    <w:rsid w:val="00592288"/>
    <w:rsid w:val="00592412"/>
    <w:rsid w:val="0059246F"/>
    <w:rsid w:val="00592501"/>
    <w:rsid w:val="005927C5"/>
    <w:rsid w:val="00592C59"/>
    <w:rsid w:val="00592E27"/>
    <w:rsid w:val="00593170"/>
    <w:rsid w:val="005937A1"/>
    <w:rsid w:val="00593C4D"/>
    <w:rsid w:val="00594022"/>
    <w:rsid w:val="00594946"/>
    <w:rsid w:val="00594FF5"/>
    <w:rsid w:val="00595102"/>
    <w:rsid w:val="00595B0A"/>
    <w:rsid w:val="00595D04"/>
    <w:rsid w:val="00595F36"/>
    <w:rsid w:val="00595F49"/>
    <w:rsid w:val="005965C7"/>
    <w:rsid w:val="00596834"/>
    <w:rsid w:val="00596F9E"/>
    <w:rsid w:val="0059703F"/>
    <w:rsid w:val="005971F7"/>
    <w:rsid w:val="0059743F"/>
    <w:rsid w:val="00597A54"/>
    <w:rsid w:val="005A0346"/>
    <w:rsid w:val="005A0784"/>
    <w:rsid w:val="005A07D6"/>
    <w:rsid w:val="005A0811"/>
    <w:rsid w:val="005A144B"/>
    <w:rsid w:val="005A15D3"/>
    <w:rsid w:val="005A1711"/>
    <w:rsid w:val="005A1AFA"/>
    <w:rsid w:val="005A1E4B"/>
    <w:rsid w:val="005A230E"/>
    <w:rsid w:val="005A26B6"/>
    <w:rsid w:val="005A2C6D"/>
    <w:rsid w:val="005A2D88"/>
    <w:rsid w:val="005A3224"/>
    <w:rsid w:val="005A35C7"/>
    <w:rsid w:val="005A3669"/>
    <w:rsid w:val="005A37A1"/>
    <w:rsid w:val="005A460B"/>
    <w:rsid w:val="005A4657"/>
    <w:rsid w:val="005A4807"/>
    <w:rsid w:val="005A4BB0"/>
    <w:rsid w:val="005A4DFD"/>
    <w:rsid w:val="005A51BA"/>
    <w:rsid w:val="005A5201"/>
    <w:rsid w:val="005A520E"/>
    <w:rsid w:val="005A5534"/>
    <w:rsid w:val="005A5736"/>
    <w:rsid w:val="005A5C11"/>
    <w:rsid w:val="005A5D9E"/>
    <w:rsid w:val="005A5E7C"/>
    <w:rsid w:val="005A5ECD"/>
    <w:rsid w:val="005A60A8"/>
    <w:rsid w:val="005A6224"/>
    <w:rsid w:val="005A6520"/>
    <w:rsid w:val="005A6A8E"/>
    <w:rsid w:val="005A70EF"/>
    <w:rsid w:val="005A734C"/>
    <w:rsid w:val="005A74E0"/>
    <w:rsid w:val="005A75C3"/>
    <w:rsid w:val="005A7696"/>
    <w:rsid w:val="005A76D0"/>
    <w:rsid w:val="005A78F0"/>
    <w:rsid w:val="005A7D84"/>
    <w:rsid w:val="005B0074"/>
    <w:rsid w:val="005B00F8"/>
    <w:rsid w:val="005B060B"/>
    <w:rsid w:val="005B0779"/>
    <w:rsid w:val="005B0A4F"/>
    <w:rsid w:val="005B0A98"/>
    <w:rsid w:val="005B0F2C"/>
    <w:rsid w:val="005B0FE8"/>
    <w:rsid w:val="005B165B"/>
    <w:rsid w:val="005B16DE"/>
    <w:rsid w:val="005B18DB"/>
    <w:rsid w:val="005B1EEA"/>
    <w:rsid w:val="005B2052"/>
    <w:rsid w:val="005B2501"/>
    <w:rsid w:val="005B3593"/>
    <w:rsid w:val="005B368E"/>
    <w:rsid w:val="005B37EF"/>
    <w:rsid w:val="005B3B82"/>
    <w:rsid w:val="005B4733"/>
    <w:rsid w:val="005B4A1E"/>
    <w:rsid w:val="005B4E97"/>
    <w:rsid w:val="005B5022"/>
    <w:rsid w:val="005B549D"/>
    <w:rsid w:val="005B550F"/>
    <w:rsid w:val="005B5A34"/>
    <w:rsid w:val="005B5A78"/>
    <w:rsid w:val="005B5A7B"/>
    <w:rsid w:val="005B5AB2"/>
    <w:rsid w:val="005B6334"/>
    <w:rsid w:val="005B64D2"/>
    <w:rsid w:val="005B659F"/>
    <w:rsid w:val="005B6C1E"/>
    <w:rsid w:val="005B6D17"/>
    <w:rsid w:val="005B6E06"/>
    <w:rsid w:val="005B725E"/>
    <w:rsid w:val="005B7402"/>
    <w:rsid w:val="005B7FB7"/>
    <w:rsid w:val="005C042C"/>
    <w:rsid w:val="005C0797"/>
    <w:rsid w:val="005C0ABF"/>
    <w:rsid w:val="005C0B82"/>
    <w:rsid w:val="005C0C76"/>
    <w:rsid w:val="005C0D08"/>
    <w:rsid w:val="005C1471"/>
    <w:rsid w:val="005C1792"/>
    <w:rsid w:val="005C1835"/>
    <w:rsid w:val="005C1AE3"/>
    <w:rsid w:val="005C1DAE"/>
    <w:rsid w:val="005C219E"/>
    <w:rsid w:val="005C2548"/>
    <w:rsid w:val="005C2A77"/>
    <w:rsid w:val="005C2B6F"/>
    <w:rsid w:val="005C2E47"/>
    <w:rsid w:val="005C38EF"/>
    <w:rsid w:val="005C3AEB"/>
    <w:rsid w:val="005C3E70"/>
    <w:rsid w:val="005C460A"/>
    <w:rsid w:val="005C48AB"/>
    <w:rsid w:val="005C49DC"/>
    <w:rsid w:val="005C50C3"/>
    <w:rsid w:val="005C5103"/>
    <w:rsid w:val="005C5A40"/>
    <w:rsid w:val="005C5B3D"/>
    <w:rsid w:val="005C6138"/>
    <w:rsid w:val="005C61CA"/>
    <w:rsid w:val="005C6216"/>
    <w:rsid w:val="005C69D5"/>
    <w:rsid w:val="005C7912"/>
    <w:rsid w:val="005C7B50"/>
    <w:rsid w:val="005C7E09"/>
    <w:rsid w:val="005D0419"/>
    <w:rsid w:val="005D0446"/>
    <w:rsid w:val="005D0900"/>
    <w:rsid w:val="005D133E"/>
    <w:rsid w:val="005D1549"/>
    <w:rsid w:val="005D1B2D"/>
    <w:rsid w:val="005D2541"/>
    <w:rsid w:val="005D25CB"/>
    <w:rsid w:val="005D26EA"/>
    <w:rsid w:val="005D2777"/>
    <w:rsid w:val="005D2B28"/>
    <w:rsid w:val="005D2CBA"/>
    <w:rsid w:val="005D2F72"/>
    <w:rsid w:val="005D37E8"/>
    <w:rsid w:val="005D3A47"/>
    <w:rsid w:val="005D3BE5"/>
    <w:rsid w:val="005D41AE"/>
    <w:rsid w:val="005D46CD"/>
    <w:rsid w:val="005D4D95"/>
    <w:rsid w:val="005D4F29"/>
    <w:rsid w:val="005D524D"/>
    <w:rsid w:val="005D5D57"/>
    <w:rsid w:val="005D5F46"/>
    <w:rsid w:val="005D5F77"/>
    <w:rsid w:val="005D6A6A"/>
    <w:rsid w:val="005D7253"/>
    <w:rsid w:val="005E01F9"/>
    <w:rsid w:val="005E058E"/>
    <w:rsid w:val="005E07F1"/>
    <w:rsid w:val="005E0AAA"/>
    <w:rsid w:val="005E0BA4"/>
    <w:rsid w:val="005E0DF0"/>
    <w:rsid w:val="005E0F9D"/>
    <w:rsid w:val="005E15DD"/>
    <w:rsid w:val="005E1999"/>
    <w:rsid w:val="005E1C66"/>
    <w:rsid w:val="005E1EDD"/>
    <w:rsid w:val="005E23E2"/>
    <w:rsid w:val="005E269D"/>
    <w:rsid w:val="005E375A"/>
    <w:rsid w:val="005E3A53"/>
    <w:rsid w:val="005E3B4E"/>
    <w:rsid w:val="005E3CF0"/>
    <w:rsid w:val="005E47EB"/>
    <w:rsid w:val="005E4A57"/>
    <w:rsid w:val="005E4B11"/>
    <w:rsid w:val="005E5AE5"/>
    <w:rsid w:val="005E5CFC"/>
    <w:rsid w:val="005E6271"/>
    <w:rsid w:val="005E64B2"/>
    <w:rsid w:val="005E6528"/>
    <w:rsid w:val="005E6798"/>
    <w:rsid w:val="005E6824"/>
    <w:rsid w:val="005E7079"/>
    <w:rsid w:val="005E72B5"/>
    <w:rsid w:val="005E739D"/>
    <w:rsid w:val="005E73F6"/>
    <w:rsid w:val="005E7472"/>
    <w:rsid w:val="005E7963"/>
    <w:rsid w:val="005F02F4"/>
    <w:rsid w:val="005F05AA"/>
    <w:rsid w:val="005F0B8E"/>
    <w:rsid w:val="005F10A5"/>
    <w:rsid w:val="005F13E3"/>
    <w:rsid w:val="005F1713"/>
    <w:rsid w:val="005F1967"/>
    <w:rsid w:val="005F1B38"/>
    <w:rsid w:val="005F22BE"/>
    <w:rsid w:val="005F27D9"/>
    <w:rsid w:val="005F2870"/>
    <w:rsid w:val="005F2871"/>
    <w:rsid w:val="005F2C57"/>
    <w:rsid w:val="005F2D57"/>
    <w:rsid w:val="005F3172"/>
    <w:rsid w:val="005F33D0"/>
    <w:rsid w:val="005F3593"/>
    <w:rsid w:val="005F3926"/>
    <w:rsid w:val="005F3FC7"/>
    <w:rsid w:val="005F44E3"/>
    <w:rsid w:val="005F4C5B"/>
    <w:rsid w:val="005F4D93"/>
    <w:rsid w:val="005F50FA"/>
    <w:rsid w:val="005F51E0"/>
    <w:rsid w:val="005F54AD"/>
    <w:rsid w:val="005F561B"/>
    <w:rsid w:val="005F59A7"/>
    <w:rsid w:val="005F5DA8"/>
    <w:rsid w:val="005F61B8"/>
    <w:rsid w:val="005F61BD"/>
    <w:rsid w:val="005F68BF"/>
    <w:rsid w:val="005F6A6C"/>
    <w:rsid w:val="005F6C6C"/>
    <w:rsid w:val="005F75EE"/>
    <w:rsid w:val="005F77EB"/>
    <w:rsid w:val="005F7991"/>
    <w:rsid w:val="005F7C47"/>
    <w:rsid w:val="0060002D"/>
    <w:rsid w:val="00600264"/>
    <w:rsid w:val="006002F0"/>
    <w:rsid w:val="00600589"/>
    <w:rsid w:val="00600E64"/>
    <w:rsid w:val="00601059"/>
    <w:rsid w:val="0060141B"/>
    <w:rsid w:val="00602949"/>
    <w:rsid w:val="00602B42"/>
    <w:rsid w:val="00602D36"/>
    <w:rsid w:val="00603453"/>
    <w:rsid w:val="00603692"/>
    <w:rsid w:val="00603A34"/>
    <w:rsid w:val="00603A42"/>
    <w:rsid w:val="00603F3E"/>
    <w:rsid w:val="00603FC1"/>
    <w:rsid w:val="00604276"/>
    <w:rsid w:val="00604484"/>
    <w:rsid w:val="006047DE"/>
    <w:rsid w:val="00604CD6"/>
    <w:rsid w:val="00604D4D"/>
    <w:rsid w:val="00604DDB"/>
    <w:rsid w:val="006057A7"/>
    <w:rsid w:val="00606481"/>
    <w:rsid w:val="0060656D"/>
    <w:rsid w:val="00606755"/>
    <w:rsid w:val="00606782"/>
    <w:rsid w:val="006069B7"/>
    <w:rsid w:val="00606DA3"/>
    <w:rsid w:val="00606DA5"/>
    <w:rsid w:val="00606E12"/>
    <w:rsid w:val="00607098"/>
    <w:rsid w:val="0061043E"/>
    <w:rsid w:val="0061055E"/>
    <w:rsid w:val="00610797"/>
    <w:rsid w:val="00610A51"/>
    <w:rsid w:val="00610B0B"/>
    <w:rsid w:val="00610F1B"/>
    <w:rsid w:val="00610F69"/>
    <w:rsid w:val="006112AE"/>
    <w:rsid w:val="0061130A"/>
    <w:rsid w:val="0061157E"/>
    <w:rsid w:val="00611FC7"/>
    <w:rsid w:val="0061249B"/>
    <w:rsid w:val="00612610"/>
    <w:rsid w:val="00612797"/>
    <w:rsid w:val="00612983"/>
    <w:rsid w:val="006133D1"/>
    <w:rsid w:val="0061353E"/>
    <w:rsid w:val="0061385B"/>
    <w:rsid w:val="00613A16"/>
    <w:rsid w:val="00613B0C"/>
    <w:rsid w:val="00613E52"/>
    <w:rsid w:val="006140D3"/>
    <w:rsid w:val="00614133"/>
    <w:rsid w:val="0061438B"/>
    <w:rsid w:val="0061596A"/>
    <w:rsid w:val="00615EF6"/>
    <w:rsid w:val="006162D4"/>
    <w:rsid w:val="006169C2"/>
    <w:rsid w:val="00616FF3"/>
    <w:rsid w:val="006176C0"/>
    <w:rsid w:val="0061771D"/>
    <w:rsid w:val="00617749"/>
    <w:rsid w:val="00617D2E"/>
    <w:rsid w:val="00620501"/>
    <w:rsid w:val="0062080A"/>
    <w:rsid w:val="00620C20"/>
    <w:rsid w:val="00620C49"/>
    <w:rsid w:val="00620EED"/>
    <w:rsid w:val="0062138C"/>
    <w:rsid w:val="00621885"/>
    <w:rsid w:val="00621936"/>
    <w:rsid w:val="00621B22"/>
    <w:rsid w:val="00621F94"/>
    <w:rsid w:val="006220FB"/>
    <w:rsid w:val="00622134"/>
    <w:rsid w:val="00622A73"/>
    <w:rsid w:val="00622F53"/>
    <w:rsid w:val="00622FD2"/>
    <w:rsid w:val="00623314"/>
    <w:rsid w:val="00623357"/>
    <w:rsid w:val="006237FD"/>
    <w:rsid w:val="006239D4"/>
    <w:rsid w:val="00623D43"/>
    <w:rsid w:val="00624555"/>
    <w:rsid w:val="006246CB"/>
    <w:rsid w:val="00624987"/>
    <w:rsid w:val="00624A22"/>
    <w:rsid w:val="00624E24"/>
    <w:rsid w:val="006250DC"/>
    <w:rsid w:val="00625909"/>
    <w:rsid w:val="006261E9"/>
    <w:rsid w:val="00626622"/>
    <w:rsid w:val="00626A93"/>
    <w:rsid w:val="00626DFB"/>
    <w:rsid w:val="00627B3D"/>
    <w:rsid w:val="00627CA9"/>
    <w:rsid w:val="00627F1B"/>
    <w:rsid w:val="006306E4"/>
    <w:rsid w:val="006308D2"/>
    <w:rsid w:val="00630E8B"/>
    <w:rsid w:val="006312AD"/>
    <w:rsid w:val="00632161"/>
    <w:rsid w:val="00632641"/>
    <w:rsid w:val="00632CBD"/>
    <w:rsid w:val="00632E0A"/>
    <w:rsid w:val="00632F78"/>
    <w:rsid w:val="0063305D"/>
    <w:rsid w:val="00633080"/>
    <w:rsid w:val="00633B4A"/>
    <w:rsid w:val="00633EE6"/>
    <w:rsid w:val="0063400C"/>
    <w:rsid w:val="00634039"/>
    <w:rsid w:val="00634460"/>
    <w:rsid w:val="00634473"/>
    <w:rsid w:val="00634DF7"/>
    <w:rsid w:val="0063580D"/>
    <w:rsid w:val="00635CB7"/>
    <w:rsid w:val="006362EA"/>
    <w:rsid w:val="0063632E"/>
    <w:rsid w:val="00636702"/>
    <w:rsid w:val="00636933"/>
    <w:rsid w:val="00636962"/>
    <w:rsid w:val="00636A55"/>
    <w:rsid w:val="00636CBA"/>
    <w:rsid w:val="00637249"/>
    <w:rsid w:val="00640258"/>
    <w:rsid w:val="0064051D"/>
    <w:rsid w:val="0064096B"/>
    <w:rsid w:val="00640B70"/>
    <w:rsid w:val="00640BA7"/>
    <w:rsid w:val="00640D5E"/>
    <w:rsid w:val="00640EA4"/>
    <w:rsid w:val="00641318"/>
    <w:rsid w:val="006414C7"/>
    <w:rsid w:val="006418B6"/>
    <w:rsid w:val="00641C10"/>
    <w:rsid w:val="00641C86"/>
    <w:rsid w:val="00642546"/>
    <w:rsid w:val="006429C8"/>
    <w:rsid w:val="00642BC1"/>
    <w:rsid w:val="00642BC2"/>
    <w:rsid w:val="00642C1E"/>
    <w:rsid w:val="006440B8"/>
    <w:rsid w:val="00644415"/>
    <w:rsid w:val="00644533"/>
    <w:rsid w:val="006446B3"/>
    <w:rsid w:val="0064521F"/>
    <w:rsid w:val="0064542B"/>
    <w:rsid w:val="00645444"/>
    <w:rsid w:val="0064545B"/>
    <w:rsid w:val="00645600"/>
    <w:rsid w:val="00646034"/>
    <w:rsid w:val="006460F0"/>
    <w:rsid w:val="00646C9F"/>
    <w:rsid w:val="006471AC"/>
    <w:rsid w:val="006473C0"/>
    <w:rsid w:val="0064770F"/>
    <w:rsid w:val="00647B8F"/>
    <w:rsid w:val="00647B95"/>
    <w:rsid w:val="0065000E"/>
    <w:rsid w:val="0065002D"/>
    <w:rsid w:val="006501E0"/>
    <w:rsid w:val="006507AD"/>
    <w:rsid w:val="00650850"/>
    <w:rsid w:val="006508A4"/>
    <w:rsid w:val="00650F9A"/>
    <w:rsid w:val="00651020"/>
    <w:rsid w:val="0065148D"/>
    <w:rsid w:val="00651754"/>
    <w:rsid w:val="006519DD"/>
    <w:rsid w:val="00652661"/>
    <w:rsid w:val="006526DC"/>
    <w:rsid w:val="00652E81"/>
    <w:rsid w:val="00653299"/>
    <w:rsid w:val="00653D82"/>
    <w:rsid w:val="0065478F"/>
    <w:rsid w:val="00654A08"/>
    <w:rsid w:val="00654C78"/>
    <w:rsid w:val="00654CD2"/>
    <w:rsid w:val="00654E35"/>
    <w:rsid w:val="00655064"/>
    <w:rsid w:val="006550B5"/>
    <w:rsid w:val="006552E3"/>
    <w:rsid w:val="00656247"/>
    <w:rsid w:val="006566B3"/>
    <w:rsid w:val="0065671C"/>
    <w:rsid w:val="00657473"/>
    <w:rsid w:val="00657630"/>
    <w:rsid w:val="0065769C"/>
    <w:rsid w:val="00657B72"/>
    <w:rsid w:val="006602E8"/>
    <w:rsid w:val="00660B6B"/>
    <w:rsid w:val="00660C20"/>
    <w:rsid w:val="0066169B"/>
    <w:rsid w:val="00661A3D"/>
    <w:rsid w:val="00661CF1"/>
    <w:rsid w:val="00661E7F"/>
    <w:rsid w:val="00661F11"/>
    <w:rsid w:val="0066257E"/>
    <w:rsid w:val="00663081"/>
    <w:rsid w:val="006630D7"/>
    <w:rsid w:val="00663388"/>
    <w:rsid w:val="0066340C"/>
    <w:rsid w:val="006635E0"/>
    <w:rsid w:val="006636F7"/>
    <w:rsid w:val="006639E0"/>
    <w:rsid w:val="00663ACF"/>
    <w:rsid w:val="00663D6E"/>
    <w:rsid w:val="0066412D"/>
    <w:rsid w:val="006642BD"/>
    <w:rsid w:val="00664BC2"/>
    <w:rsid w:val="00665369"/>
    <w:rsid w:val="006654D4"/>
    <w:rsid w:val="006656F5"/>
    <w:rsid w:val="00666068"/>
    <w:rsid w:val="006660E3"/>
    <w:rsid w:val="00666A5B"/>
    <w:rsid w:val="00666BB8"/>
    <w:rsid w:val="00666D3C"/>
    <w:rsid w:val="006671C5"/>
    <w:rsid w:val="00667313"/>
    <w:rsid w:val="0066753B"/>
    <w:rsid w:val="006676DF"/>
    <w:rsid w:val="00667AE5"/>
    <w:rsid w:val="00670664"/>
    <w:rsid w:val="00670704"/>
    <w:rsid w:val="00671535"/>
    <w:rsid w:val="00671625"/>
    <w:rsid w:val="006719E7"/>
    <w:rsid w:val="00672116"/>
    <w:rsid w:val="00672390"/>
    <w:rsid w:val="0067249E"/>
    <w:rsid w:val="0067283D"/>
    <w:rsid w:val="00672B76"/>
    <w:rsid w:val="00672DD5"/>
    <w:rsid w:val="006734E4"/>
    <w:rsid w:val="00673914"/>
    <w:rsid w:val="0067425A"/>
    <w:rsid w:val="00674860"/>
    <w:rsid w:val="00674A48"/>
    <w:rsid w:val="00674E91"/>
    <w:rsid w:val="006755FC"/>
    <w:rsid w:val="00675EA6"/>
    <w:rsid w:val="006763F7"/>
    <w:rsid w:val="006764A8"/>
    <w:rsid w:val="00676673"/>
    <w:rsid w:val="0067686E"/>
    <w:rsid w:val="00676DED"/>
    <w:rsid w:val="0067711C"/>
    <w:rsid w:val="0067792D"/>
    <w:rsid w:val="00677D29"/>
    <w:rsid w:val="00677D7C"/>
    <w:rsid w:val="00680086"/>
    <w:rsid w:val="00680565"/>
    <w:rsid w:val="006805C3"/>
    <w:rsid w:val="00680E95"/>
    <w:rsid w:val="006812D9"/>
    <w:rsid w:val="00681C6F"/>
    <w:rsid w:val="00681EB0"/>
    <w:rsid w:val="00682323"/>
    <w:rsid w:val="00682550"/>
    <w:rsid w:val="00683325"/>
    <w:rsid w:val="006834B1"/>
    <w:rsid w:val="00683558"/>
    <w:rsid w:val="00684483"/>
    <w:rsid w:val="00684795"/>
    <w:rsid w:val="0068495B"/>
    <w:rsid w:val="00684A38"/>
    <w:rsid w:val="00684A48"/>
    <w:rsid w:val="00684C76"/>
    <w:rsid w:val="006852F5"/>
    <w:rsid w:val="00685636"/>
    <w:rsid w:val="00685B4E"/>
    <w:rsid w:val="00685D82"/>
    <w:rsid w:val="0068621C"/>
    <w:rsid w:val="00686285"/>
    <w:rsid w:val="00686305"/>
    <w:rsid w:val="006863E0"/>
    <w:rsid w:val="00686B04"/>
    <w:rsid w:val="00686FE6"/>
    <w:rsid w:val="00687067"/>
    <w:rsid w:val="00687232"/>
    <w:rsid w:val="00687898"/>
    <w:rsid w:val="00687EB1"/>
    <w:rsid w:val="006902C1"/>
    <w:rsid w:val="00690851"/>
    <w:rsid w:val="00690A3F"/>
    <w:rsid w:val="00690D2B"/>
    <w:rsid w:val="0069153E"/>
    <w:rsid w:val="006917D2"/>
    <w:rsid w:val="006920EE"/>
    <w:rsid w:val="00692265"/>
    <w:rsid w:val="0069320A"/>
    <w:rsid w:val="00693352"/>
    <w:rsid w:val="006933DC"/>
    <w:rsid w:val="00693738"/>
    <w:rsid w:val="00693EE7"/>
    <w:rsid w:val="00693FD6"/>
    <w:rsid w:val="0069489B"/>
    <w:rsid w:val="00694AAD"/>
    <w:rsid w:val="00695285"/>
    <w:rsid w:val="006955E5"/>
    <w:rsid w:val="00695D2B"/>
    <w:rsid w:val="00695F9C"/>
    <w:rsid w:val="00696817"/>
    <w:rsid w:val="00696DC4"/>
    <w:rsid w:val="00696F9E"/>
    <w:rsid w:val="00697168"/>
    <w:rsid w:val="006973DC"/>
    <w:rsid w:val="00697A03"/>
    <w:rsid w:val="00697D21"/>
    <w:rsid w:val="00697E92"/>
    <w:rsid w:val="00697ED7"/>
    <w:rsid w:val="00697FFA"/>
    <w:rsid w:val="006A0A75"/>
    <w:rsid w:val="006A0C42"/>
    <w:rsid w:val="006A0E0A"/>
    <w:rsid w:val="006A168F"/>
    <w:rsid w:val="006A1A98"/>
    <w:rsid w:val="006A2838"/>
    <w:rsid w:val="006A2958"/>
    <w:rsid w:val="006A29AA"/>
    <w:rsid w:val="006A2DCB"/>
    <w:rsid w:val="006A2EB0"/>
    <w:rsid w:val="006A333E"/>
    <w:rsid w:val="006A356D"/>
    <w:rsid w:val="006A3718"/>
    <w:rsid w:val="006A3EB7"/>
    <w:rsid w:val="006A4E32"/>
    <w:rsid w:val="006A4EED"/>
    <w:rsid w:val="006A508E"/>
    <w:rsid w:val="006A5163"/>
    <w:rsid w:val="006A55AE"/>
    <w:rsid w:val="006A584C"/>
    <w:rsid w:val="006A5AC0"/>
    <w:rsid w:val="006A5B72"/>
    <w:rsid w:val="006A6AC1"/>
    <w:rsid w:val="006A7A1D"/>
    <w:rsid w:val="006A7AB9"/>
    <w:rsid w:val="006A7AF5"/>
    <w:rsid w:val="006A7C61"/>
    <w:rsid w:val="006A7C87"/>
    <w:rsid w:val="006A7CF0"/>
    <w:rsid w:val="006A7F18"/>
    <w:rsid w:val="006B00CC"/>
    <w:rsid w:val="006B0388"/>
    <w:rsid w:val="006B070C"/>
    <w:rsid w:val="006B0AF3"/>
    <w:rsid w:val="006B0C80"/>
    <w:rsid w:val="006B0D46"/>
    <w:rsid w:val="006B13ED"/>
    <w:rsid w:val="006B16DC"/>
    <w:rsid w:val="006B1964"/>
    <w:rsid w:val="006B27C1"/>
    <w:rsid w:val="006B2B4A"/>
    <w:rsid w:val="006B2CB8"/>
    <w:rsid w:val="006B30E2"/>
    <w:rsid w:val="006B340A"/>
    <w:rsid w:val="006B38CE"/>
    <w:rsid w:val="006B3937"/>
    <w:rsid w:val="006B3E07"/>
    <w:rsid w:val="006B4C13"/>
    <w:rsid w:val="006B4C9C"/>
    <w:rsid w:val="006B4D62"/>
    <w:rsid w:val="006B5273"/>
    <w:rsid w:val="006B52C9"/>
    <w:rsid w:val="006B54DA"/>
    <w:rsid w:val="006B571E"/>
    <w:rsid w:val="006B5CB7"/>
    <w:rsid w:val="006B5E46"/>
    <w:rsid w:val="006B5EEF"/>
    <w:rsid w:val="006B61C1"/>
    <w:rsid w:val="006B6349"/>
    <w:rsid w:val="006B656B"/>
    <w:rsid w:val="006B6E0E"/>
    <w:rsid w:val="006B6E29"/>
    <w:rsid w:val="006B763B"/>
    <w:rsid w:val="006B7653"/>
    <w:rsid w:val="006B78B0"/>
    <w:rsid w:val="006B7D72"/>
    <w:rsid w:val="006B7FDC"/>
    <w:rsid w:val="006C0131"/>
    <w:rsid w:val="006C04B3"/>
    <w:rsid w:val="006C0AC2"/>
    <w:rsid w:val="006C0D07"/>
    <w:rsid w:val="006C11A8"/>
    <w:rsid w:val="006C13AC"/>
    <w:rsid w:val="006C1805"/>
    <w:rsid w:val="006C189E"/>
    <w:rsid w:val="006C1C9D"/>
    <w:rsid w:val="006C1D92"/>
    <w:rsid w:val="006C2998"/>
    <w:rsid w:val="006C2B39"/>
    <w:rsid w:val="006C2CA7"/>
    <w:rsid w:val="006C33C2"/>
    <w:rsid w:val="006C36D6"/>
    <w:rsid w:val="006C4267"/>
    <w:rsid w:val="006C4437"/>
    <w:rsid w:val="006C4543"/>
    <w:rsid w:val="006C4794"/>
    <w:rsid w:val="006C481C"/>
    <w:rsid w:val="006C48BB"/>
    <w:rsid w:val="006C4D27"/>
    <w:rsid w:val="006C5CB0"/>
    <w:rsid w:val="006C5EA6"/>
    <w:rsid w:val="006C6125"/>
    <w:rsid w:val="006C6244"/>
    <w:rsid w:val="006C6436"/>
    <w:rsid w:val="006C65AB"/>
    <w:rsid w:val="006C6AEC"/>
    <w:rsid w:val="006C6D4F"/>
    <w:rsid w:val="006C6DC2"/>
    <w:rsid w:val="006C6EAA"/>
    <w:rsid w:val="006C75E2"/>
    <w:rsid w:val="006C796C"/>
    <w:rsid w:val="006C7D04"/>
    <w:rsid w:val="006C7E84"/>
    <w:rsid w:val="006D07F7"/>
    <w:rsid w:val="006D0D9D"/>
    <w:rsid w:val="006D0E67"/>
    <w:rsid w:val="006D0F40"/>
    <w:rsid w:val="006D0FA3"/>
    <w:rsid w:val="006D1530"/>
    <w:rsid w:val="006D1744"/>
    <w:rsid w:val="006D178D"/>
    <w:rsid w:val="006D1AE6"/>
    <w:rsid w:val="006D1F70"/>
    <w:rsid w:val="006D2045"/>
    <w:rsid w:val="006D226A"/>
    <w:rsid w:val="006D2612"/>
    <w:rsid w:val="006D264B"/>
    <w:rsid w:val="006D2757"/>
    <w:rsid w:val="006D2C97"/>
    <w:rsid w:val="006D2D71"/>
    <w:rsid w:val="006D3303"/>
    <w:rsid w:val="006D355E"/>
    <w:rsid w:val="006D3605"/>
    <w:rsid w:val="006D3856"/>
    <w:rsid w:val="006D3FA5"/>
    <w:rsid w:val="006D5064"/>
    <w:rsid w:val="006D5521"/>
    <w:rsid w:val="006D58B8"/>
    <w:rsid w:val="006D5908"/>
    <w:rsid w:val="006D5D0C"/>
    <w:rsid w:val="006D5EC2"/>
    <w:rsid w:val="006D610B"/>
    <w:rsid w:val="006D622A"/>
    <w:rsid w:val="006D6502"/>
    <w:rsid w:val="006D71F4"/>
    <w:rsid w:val="006D7257"/>
    <w:rsid w:val="006D73F5"/>
    <w:rsid w:val="006D7E2C"/>
    <w:rsid w:val="006D7FFB"/>
    <w:rsid w:val="006E01B1"/>
    <w:rsid w:val="006E04C0"/>
    <w:rsid w:val="006E0624"/>
    <w:rsid w:val="006E1272"/>
    <w:rsid w:val="006E161E"/>
    <w:rsid w:val="006E1E35"/>
    <w:rsid w:val="006E2107"/>
    <w:rsid w:val="006E38B5"/>
    <w:rsid w:val="006E44B0"/>
    <w:rsid w:val="006E45EF"/>
    <w:rsid w:val="006E46C3"/>
    <w:rsid w:val="006E4A8A"/>
    <w:rsid w:val="006E4A99"/>
    <w:rsid w:val="006E5932"/>
    <w:rsid w:val="006E59B2"/>
    <w:rsid w:val="006E5AC3"/>
    <w:rsid w:val="006E5DC7"/>
    <w:rsid w:val="006E6096"/>
    <w:rsid w:val="006E633D"/>
    <w:rsid w:val="006E6A65"/>
    <w:rsid w:val="006E6FDF"/>
    <w:rsid w:val="006E7476"/>
    <w:rsid w:val="006E7898"/>
    <w:rsid w:val="006E7972"/>
    <w:rsid w:val="006F00E6"/>
    <w:rsid w:val="006F0385"/>
    <w:rsid w:val="006F0AA0"/>
    <w:rsid w:val="006F0B41"/>
    <w:rsid w:val="006F0B4D"/>
    <w:rsid w:val="006F100F"/>
    <w:rsid w:val="006F134B"/>
    <w:rsid w:val="006F1680"/>
    <w:rsid w:val="006F1AE5"/>
    <w:rsid w:val="006F1BAD"/>
    <w:rsid w:val="006F2833"/>
    <w:rsid w:val="006F2F00"/>
    <w:rsid w:val="006F3590"/>
    <w:rsid w:val="006F3697"/>
    <w:rsid w:val="006F3BB6"/>
    <w:rsid w:val="006F3E03"/>
    <w:rsid w:val="006F3FB6"/>
    <w:rsid w:val="006F4124"/>
    <w:rsid w:val="006F418B"/>
    <w:rsid w:val="006F4394"/>
    <w:rsid w:val="006F44CA"/>
    <w:rsid w:val="006F46CF"/>
    <w:rsid w:val="006F4C35"/>
    <w:rsid w:val="006F53BA"/>
    <w:rsid w:val="006F555D"/>
    <w:rsid w:val="006F59E4"/>
    <w:rsid w:val="006F5D9D"/>
    <w:rsid w:val="006F5E05"/>
    <w:rsid w:val="006F5E97"/>
    <w:rsid w:val="006F671F"/>
    <w:rsid w:val="006F677A"/>
    <w:rsid w:val="006F6843"/>
    <w:rsid w:val="006F6910"/>
    <w:rsid w:val="006F6A8E"/>
    <w:rsid w:val="006F6B0C"/>
    <w:rsid w:val="006F73C8"/>
    <w:rsid w:val="006F74AE"/>
    <w:rsid w:val="006F751B"/>
    <w:rsid w:val="006F7525"/>
    <w:rsid w:val="006F76CF"/>
    <w:rsid w:val="006F77A9"/>
    <w:rsid w:val="006F78A1"/>
    <w:rsid w:val="006F794D"/>
    <w:rsid w:val="006F7950"/>
    <w:rsid w:val="006F7E3D"/>
    <w:rsid w:val="00700306"/>
    <w:rsid w:val="007005D4"/>
    <w:rsid w:val="007007B1"/>
    <w:rsid w:val="00700A2F"/>
    <w:rsid w:val="00700B66"/>
    <w:rsid w:val="00700DE3"/>
    <w:rsid w:val="00701B7B"/>
    <w:rsid w:val="00702834"/>
    <w:rsid w:val="00702CD8"/>
    <w:rsid w:val="00703163"/>
    <w:rsid w:val="00703588"/>
    <w:rsid w:val="00703AF8"/>
    <w:rsid w:val="00703DCC"/>
    <w:rsid w:val="00703FB8"/>
    <w:rsid w:val="007041B0"/>
    <w:rsid w:val="007045C8"/>
    <w:rsid w:val="00704B76"/>
    <w:rsid w:val="00704F51"/>
    <w:rsid w:val="00705851"/>
    <w:rsid w:val="00705CE4"/>
    <w:rsid w:val="00705E82"/>
    <w:rsid w:val="00706724"/>
    <w:rsid w:val="0070694F"/>
    <w:rsid w:val="00706AC5"/>
    <w:rsid w:val="007072F0"/>
    <w:rsid w:val="00707C0C"/>
    <w:rsid w:val="00707ECB"/>
    <w:rsid w:val="007101DC"/>
    <w:rsid w:val="0071020B"/>
    <w:rsid w:val="0071032E"/>
    <w:rsid w:val="00710479"/>
    <w:rsid w:val="007107D3"/>
    <w:rsid w:val="00710851"/>
    <w:rsid w:val="00710FC6"/>
    <w:rsid w:val="00711600"/>
    <w:rsid w:val="00711888"/>
    <w:rsid w:val="007118CA"/>
    <w:rsid w:val="00711B84"/>
    <w:rsid w:val="00711CE4"/>
    <w:rsid w:val="007120D3"/>
    <w:rsid w:val="00712C52"/>
    <w:rsid w:val="00712CEF"/>
    <w:rsid w:val="00713A7F"/>
    <w:rsid w:val="00714325"/>
    <w:rsid w:val="0071457A"/>
    <w:rsid w:val="007147AA"/>
    <w:rsid w:val="007147C0"/>
    <w:rsid w:val="0071484F"/>
    <w:rsid w:val="00715594"/>
    <w:rsid w:val="00715ABC"/>
    <w:rsid w:val="0071661C"/>
    <w:rsid w:val="00716756"/>
    <w:rsid w:val="00717014"/>
    <w:rsid w:val="007173C2"/>
    <w:rsid w:val="00717B43"/>
    <w:rsid w:val="00720188"/>
    <w:rsid w:val="007202FD"/>
    <w:rsid w:val="007209F9"/>
    <w:rsid w:val="00720E8C"/>
    <w:rsid w:val="00720EB4"/>
    <w:rsid w:val="007211A1"/>
    <w:rsid w:val="00721653"/>
    <w:rsid w:val="007216CE"/>
    <w:rsid w:val="00721932"/>
    <w:rsid w:val="00721D45"/>
    <w:rsid w:val="00721DD3"/>
    <w:rsid w:val="007227FA"/>
    <w:rsid w:val="00722931"/>
    <w:rsid w:val="00722F32"/>
    <w:rsid w:val="00722FE8"/>
    <w:rsid w:val="007233A2"/>
    <w:rsid w:val="00724359"/>
    <w:rsid w:val="00724541"/>
    <w:rsid w:val="007245ED"/>
    <w:rsid w:val="007249B6"/>
    <w:rsid w:val="00724A29"/>
    <w:rsid w:val="00724BA9"/>
    <w:rsid w:val="00724C15"/>
    <w:rsid w:val="00724CFC"/>
    <w:rsid w:val="00725038"/>
    <w:rsid w:val="007250F0"/>
    <w:rsid w:val="007251C2"/>
    <w:rsid w:val="007255E4"/>
    <w:rsid w:val="007258DA"/>
    <w:rsid w:val="00725A4C"/>
    <w:rsid w:val="00725A60"/>
    <w:rsid w:val="00725EFA"/>
    <w:rsid w:val="00726025"/>
    <w:rsid w:val="00727B60"/>
    <w:rsid w:val="00727BBF"/>
    <w:rsid w:val="00730162"/>
    <w:rsid w:val="00730E57"/>
    <w:rsid w:val="00730FA4"/>
    <w:rsid w:val="0073153D"/>
    <w:rsid w:val="00731CAD"/>
    <w:rsid w:val="00731D12"/>
    <w:rsid w:val="00731F6E"/>
    <w:rsid w:val="00732211"/>
    <w:rsid w:val="0073232D"/>
    <w:rsid w:val="007324BD"/>
    <w:rsid w:val="00732993"/>
    <w:rsid w:val="007330E0"/>
    <w:rsid w:val="0073311E"/>
    <w:rsid w:val="00733516"/>
    <w:rsid w:val="007336BC"/>
    <w:rsid w:val="00733EC5"/>
    <w:rsid w:val="007343E2"/>
    <w:rsid w:val="0073466F"/>
    <w:rsid w:val="00734BC6"/>
    <w:rsid w:val="00735793"/>
    <w:rsid w:val="007363CF"/>
    <w:rsid w:val="0073666E"/>
    <w:rsid w:val="0073669B"/>
    <w:rsid w:val="0073692B"/>
    <w:rsid w:val="007369B9"/>
    <w:rsid w:val="00736B9C"/>
    <w:rsid w:val="00737854"/>
    <w:rsid w:val="00737917"/>
    <w:rsid w:val="00737A70"/>
    <w:rsid w:val="007404EC"/>
    <w:rsid w:val="007408FC"/>
    <w:rsid w:val="00740A8D"/>
    <w:rsid w:val="00740AAB"/>
    <w:rsid w:val="007411F9"/>
    <w:rsid w:val="007418A3"/>
    <w:rsid w:val="00741F14"/>
    <w:rsid w:val="00742096"/>
    <w:rsid w:val="0074231C"/>
    <w:rsid w:val="0074245B"/>
    <w:rsid w:val="0074285E"/>
    <w:rsid w:val="00742E30"/>
    <w:rsid w:val="00742E45"/>
    <w:rsid w:val="00742ECF"/>
    <w:rsid w:val="00743B3D"/>
    <w:rsid w:val="00743B72"/>
    <w:rsid w:val="00743C27"/>
    <w:rsid w:val="0074415D"/>
    <w:rsid w:val="0074455A"/>
    <w:rsid w:val="00744674"/>
    <w:rsid w:val="00744702"/>
    <w:rsid w:val="007448DD"/>
    <w:rsid w:val="00744BAF"/>
    <w:rsid w:val="00744EF6"/>
    <w:rsid w:val="00745A9B"/>
    <w:rsid w:val="0074644B"/>
    <w:rsid w:val="007468FC"/>
    <w:rsid w:val="00746CEA"/>
    <w:rsid w:val="00746E23"/>
    <w:rsid w:val="00747320"/>
    <w:rsid w:val="007473FC"/>
    <w:rsid w:val="00747B1D"/>
    <w:rsid w:val="00747C48"/>
    <w:rsid w:val="00747C4F"/>
    <w:rsid w:val="0075004C"/>
    <w:rsid w:val="007501DC"/>
    <w:rsid w:val="007504B5"/>
    <w:rsid w:val="00750572"/>
    <w:rsid w:val="00750655"/>
    <w:rsid w:val="00750822"/>
    <w:rsid w:val="00750849"/>
    <w:rsid w:val="00750A24"/>
    <w:rsid w:val="007517E1"/>
    <w:rsid w:val="00751835"/>
    <w:rsid w:val="00751C7E"/>
    <w:rsid w:val="00751D5B"/>
    <w:rsid w:val="00751F14"/>
    <w:rsid w:val="0075280F"/>
    <w:rsid w:val="00752DEA"/>
    <w:rsid w:val="00752E9D"/>
    <w:rsid w:val="0075302D"/>
    <w:rsid w:val="007530B2"/>
    <w:rsid w:val="00753162"/>
    <w:rsid w:val="00753549"/>
    <w:rsid w:val="00753E9A"/>
    <w:rsid w:val="00753EF8"/>
    <w:rsid w:val="00753F96"/>
    <w:rsid w:val="00754D61"/>
    <w:rsid w:val="00754EC1"/>
    <w:rsid w:val="00754ED2"/>
    <w:rsid w:val="00754FAB"/>
    <w:rsid w:val="0075546E"/>
    <w:rsid w:val="00755829"/>
    <w:rsid w:val="0075586C"/>
    <w:rsid w:val="0075596D"/>
    <w:rsid w:val="007559E9"/>
    <w:rsid w:val="00755BA6"/>
    <w:rsid w:val="00756C1E"/>
    <w:rsid w:val="00756E1F"/>
    <w:rsid w:val="00757291"/>
    <w:rsid w:val="00757629"/>
    <w:rsid w:val="00757652"/>
    <w:rsid w:val="00757FDD"/>
    <w:rsid w:val="00757FF5"/>
    <w:rsid w:val="00760FC0"/>
    <w:rsid w:val="007615D4"/>
    <w:rsid w:val="00761A23"/>
    <w:rsid w:val="00761D6B"/>
    <w:rsid w:val="00761EFE"/>
    <w:rsid w:val="0076224C"/>
    <w:rsid w:val="00762841"/>
    <w:rsid w:val="00762A7A"/>
    <w:rsid w:val="00762C53"/>
    <w:rsid w:val="00762DFB"/>
    <w:rsid w:val="007632A6"/>
    <w:rsid w:val="00763EFF"/>
    <w:rsid w:val="007641C0"/>
    <w:rsid w:val="007646ED"/>
    <w:rsid w:val="00764A6A"/>
    <w:rsid w:val="00764B03"/>
    <w:rsid w:val="00764BCE"/>
    <w:rsid w:val="00764CA8"/>
    <w:rsid w:val="00765644"/>
    <w:rsid w:val="00765B53"/>
    <w:rsid w:val="00766D12"/>
    <w:rsid w:val="00766F36"/>
    <w:rsid w:val="00766FAB"/>
    <w:rsid w:val="00766FFA"/>
    <w:rsid w:val="00767839"/>
    <w:rsid w:val="00767A57"/>
    <w:rsid w:val="00767D21"/>
    <w:rsid w:val="00770444"/>
    <w:rsid w:val="007706A1"/>
    <w:rsid w:val="00770719"/>
    <w:rsid w:val="00770DC9"/>
    <w:rsid w:val="00770EFB"/>
    <w:rsid w:val="00771529"/>
    <w:rsid w:val="0077173D"/>
    <w:rsid w:val="00771AF3"/>
    <w:rsid w:val="00771B93"/>
    <w:rsid w:val="00771C13"/>
    <w:rsid w:val="0077252F"/>
    <w:rsid w:val="00772B57"/>
    <w:rsid w:val="007732AF"/>
    <w:rsid w:val="007736B6"/>
    <w:rsid w:val="00774109"/>
    <w:rsid w:val="00774485"/>
    <w:rsid w:val="0077458B"/>
    <w:rsid w:val="00774EDC"/>
    <w:rsid w:val="00774F1A"/>
    <w:rsid w:val="007751AD"/>
    <w:rsid w:val="0077599A"/>
    <w:rsid w:val="00776AD4"/>
    <w:rsid w:val="00776EFA"/>
    <w:rsid w:val="00777306"/>
    <w:rsid w:val="00777319"/>
    <w:rsid w:val="007779FB"/>
    <w:rsid w:val="00780480"/>
    <w:rsid w:val="007807B2"/>
    <w:rsid w:val="007807ED"/>
    <w:rsid w:val="0078101E"/>
    <w:rsid w:val="007810BF"/>
    <w:rsid w:val="0078199D"/>
    <w:rsid w:val="00781B46"/>
    <w:rsid w:val="007823DF"/>
    <w:rsid w:val="007826CB"/>
    <w:rsid w:val="00782808"/>
    <w:rsid w:val="00783204"/>
    <w:rsid w:val="0078333C"/>
    <w:rsid w:val="007834C5"/>
    <w:rsid w:val="00783594"/>
    <w:rsid w:val="00783DE8"/>
    <w:rsid w:val="00784263"/>
    <w:rsid w:val="007842A1"/>
    <w:rsid w:val="00784328"/>
    <w:rsid w:val="0078435A"/>
    <w:rsid w:val="007853AE"/>
    <w:rsid w:val="00785478"/>
    <w:rsid w:val="007854D7"/>
    <w:rsid w:val="00785517"/>
    <w:rsid w:val="007856E6"/>
    <w:rsid w:val="00785AA1"/>
    <w:rsid w:val="00785E3A"/>
    <w:rsid w:val="00786172"/>
    <w:rsid w:val="00787102"/>
    <w:rsid w:val="0078735B"/>
    <w:rsid w:val="00787C96"/>
    <w:rsid w:val="00787CED"/>
    <w:rsid w:val="007900ED"/>
    <w:rsid w:val="0079041E"/>
    <w:rsid w:val="00791054"/>
    <w:rsid w:val="007910CC"/>
    <w:rsid w:val="0079135D"/>
    <w:rsid w:val="00791C90"/>
    <w:rsid w:val="00791E8A"/>
    <w:rsid w:val="007920F3"/>
    <w:rsid w:val="0079227E"/>
    <w:rsid w:val="00792894"/>
    <w:rsid w:val="00792B29"/>
    <w:rsid w:val="00792C24"/>
    <w:rsid w:val="00793172"/>
    <w:rsid w:val="00793364"/>
    <w:rsid w:val="0079376F"/>
    <w:rsid w:val="00793CAE"/>
    <w:rsid w:val="00793CC8"/>
    <w:rsid w:val="00793CE4"/>
    <w:rsid w:val="00793DD5"/>
    <w:rsid w:val="00793E06"/>
    <w:rsid w:val="00793E39"/>
    <w:rsid w:val="00793F73"/>
    <w:rsid w:val="007946E8"/>
    <w:rsid w:val="007947BF"/>
    <w:rsid w:val="00794AFB"/>
    <w:rsid w:val="00794CC0"/>
    <w:rsid w:val="00794E5C"/>
    <w:rsid w:val="00794FB8"/>
    <w:rsid w:val="0079519D"/>
    <w:rsid w:val="0079522A"/>
    <w:rsid w:val="0079547E"/>
    <w:rsid w:val="00795D7A"/>
    <w:rsid w:val="00796453"/>
    <w:rsid w:val="007964FC"/>
    <w:rsid w:val="00796D4E"/>
    <w:rsid w:val="00796F86"/>
    <w:rsid w:val="007974D9"/>
    <w:rsid w:val="007975AF"/>
    <w:rsid w:val="007976F3"/>
    <w:rsid w:val="007A0109"/>
    <w:rsid w:val="007A0716"/>
    <w:rsid w:val="007A098E"/>
    <w:rsid w:val="007A0E0F"/>
    <w:rsid w:val="007A0F36"/>
    <w:rsid w:val="007A0FC3"/>
    <w:rsid w:val="007A1141"/>
    <w:rsid w:val="007A18D7"/>
    <w:rsid w:val="007A198F"/>
    <w:rsid w:val="007A19CB"/>
    <w:rsid w:val="007A19D2"/>
    <w:rsid w:val="007A1B53"/>
    <w:rsid w:val="007A2219"/>
    <w:rsid w:val="007A24FB"/>
    <w:rsid w:val="007A2D03"/>
    <w:rsid w:val="007A300D"/>
    <w:rsid w:val="007A3746"/>
    <w:rsid w:val="007A3AD0"/>
    <w:rsid w:val="007A3E87"/>
    <w:rsid w:val="007A44B3"/>
    <w:rsid w:val="007A49B2"/>
    <w:rsid w:val="007A56A3"/>
    <w:rsid w:val="007A5D2D"/>
    <w:rsid w:val="007A5F70"/>
    <w:rsid w:val="007A5F72"/>
    <w:rsid w:val="007A5F83"/>
    <w:rsid w:val="007A627A"/>
    <w:rsid w:val="007A7E9F"/>
    <w:rsid w:val="007A7F46"/>
    <w:rsid w:val="007B0004"/>
    <w:rsid w:val="007B0021"/>
    <w:rsid w:val="007B074B"/>
    <w:rsid w:val="007B0FE9"/>
    <w:rsid w:val="007B105E"/>
    <w:rsid w:val="007B15A2"/>
    <w:rsid w:val="007B1647"/>
    <w:rsid w:val="007B16BA"/>
    <w:rsid w:val="007B1740"/>
    <w:rsid w:val="007B1A14"/>
    <w:rsid w:val="007B1A6A"/>
    <w:rsid w:val="007B1CF1"/>
    <w:rsid w:val="007B2074"/>
    <w:rsid w:val="007B25D9"/>
    <w:rsid w:val="007B275D"/>
    <w:rsid w:val="007B2D12"/>
    <w:rsid w:val="007B2EED"/>
    <w:rsid w:val="007B32A2"/>
    <w:rsid w:val="007B3822"/>
    <w:rsid w:val="007B3CF3"/>
    <w:rsid w:val="007B40BA"/>
    <w:rsid w:val="007B40CD"/>
    <w:rsid w:val="007B47BC"/>
    <w:rsid w:val="007B4FF5"/>
    <w:rsid w:val="007B5562"/>
    <w:rsid w:val="007B5607"/>
    <w:rsid w:val="007B5714"/>
    <w:rsid w:val="007B5967"/>
    <w:rsid w:val="007B6A26"/>
    <w:rsid w:val="007B6BA1"/>
    <w:rsid w:val="007B75DD"/>
    <w:rsid w:val="007C0B5F"/>
    <w:rsid w:val="007C0CCD"/>
    <w:rsid w:val="007C0F10"/>
    <w:rsid w:val="007C1381"/>
    <w:rsid w:val="007C1407"/>
    <w:rsid w:val="007C149C"/>
    <w:rsid w:val="007C253E"/>
    <w:rsid w:val="007C27D9"/>
    <w:rsid w:val="007C2A9E"/>
    <w:rsid w:val="007C2F67"/>
    <w:rsid w:val="007C315B"/>
    <w:rsid w:val="007C31AE"/>
    <w:rsid w:val="007C32B9"/>
    <w:rsid w:val="007C398B"/>
    <w:rsid w:val="007C3B97"/>
    <w:rsid w:val="007C3E86"/>
    <w:rsid w:val="007C3F73"/>
    <w:rsid w:val="007C4E23"/>
    <w:rsid w:val="007C518A"/>
    <w:rsid w:val="007C54FF"/>
    <w:rsid w:val="007C563C"/>
    <w:rsid w:val="007C56BE"/>
    <w:rsid w:val="007C56DD"/>
    <w:rsid w:val="007C5A8C"/>
    <w:rsid w:val="007C5D6B"/>
    <w:rsid w:val="007C64E8"/>
    <w:rsid w:val="007C6517"/>
    <w:rsid w:val="007C67E9"/>
    <w:rsid w:val="007C6C45"/>
    <w:rsid w:val="007C6CE4"/>
    <w:rsid w:val="007C6DBB"/>
    <w:rsid w:val="007C6FC5"/>
    <w:rsid w:val="007C7123"/>
    <w:rsid w:val="007C74CE"/>
    <w:rsid w:val="007C7744"/>
    <w:rsid w:val="007D0416"/>
    <w:rsid w:val="007D0EE5"/>
    <w:rsid w:val="007D114D"/>
    <w:rsid w:val="007D1411"/>
    <w:rsid w:val="007D196F"/>
    <w:rsid w:val="007D2061"/>
    <w:rsid w:val="007D233A"/>
    <w:rsid w:val="007D2516"/>
    <w:rsid w:val="007D2BDE"/>
    <w:rsid w:val="007D2DE8"/>
    <w:rsid w:val="007D3217"/>
    <w:rsid w:val="007D32CA"/>
    <w:rsid w:val="007D3B1E"/>
    <w:rsid w:val="007D3D2C"/>
    <w:rsid w:val="007D3D4F"/>
    <w:rsid w:val="007D3F50"/>
    <w:rsid w:val="007D43FB"/>
    <w:rsid w:val="007D44B5"/>
    <w:rsid w:val="007D5202"/>
    <w:rsid w:val="007D5718"/>
    <w:rsid w:val="007D59D3"/>
    <w:rsid w:val="007D5F95"/>
    <w:rsid w:val="007D6961"/>
    <w:rsid w:val="007D6DEB"/>
    <w:rsid w:val="007D72D1"/>
    <w:rsid w:val="007D73B0"/>
    <w:rsid w:val="007D7878"/>
    <w:rsid w:val="007E07D8"/>
    <w:rsid w:val="007E0A88"/>
    <w:rsid w:val="007E0BE0"/>
    <w:rsid w:val="007E0D27"/>
    <w:rsid w:val="007E144B"/>
    <w:rsid w:val="007E15B0"/>
    <w:rsid w:val="007E17D4"/>
    <w:rsid w:val="007E18A4"/>
    <w:rsid w:val="007E1A25"/>
    <w:rsid w:val="007E1D23"/>
    <w:rsid w:val="007E1EEF"/>
    <w:rsid w:val="007E2303"/>
    <w:rsid w:val="007E3103"/>
    <w:rsid w:val="007E33C5"/>
    <w:rsid w:val="007E45D3"/>
    <w:rsid w:val="007E46B8"/>
    <w:rsid w:val="007E46F7"/>
    <w:rsid w:val="007E48F7"/>
    <w:rsid w:val="007E4F46"/>
    <w:rsid w:val="007E505D"/>
    <w:rsid w:val="007E5467"/>
    <w:rsid w:val="007E5960"/>
    <w:rsid w:val="007E5A64"/>
    <w:rsid w:val="007E5C0F"/>
    <w:rsid w:val="007E6058"/>
    <w:rsid w:val="007E6862"/>
    <w:rsid w:val="007E7086"/>
    <w:rsid w:val="007E73E1"/>
    <w:rsid w:val="007E7B7D"/>
    <w:rsid w:val="007E7DCF"/>
    <w:rsid w:val="007F044C"/>
    <w:rsid w:val="007F0E52"/>
    <w:rsid w:val="007F19C0"/>
    <w:rsid w:val="007F1D05"/>
    <w:rsid w:val="007F1F69"/>
    <w:rsid w:val="007F2326"/>
    <w:rsid w:val="007F2374"/>
    <w:rsid w:val="007F261B"/>
    <w:rsid w:val="007F27F0"/>
    <w:rsid w:val="007F2E62"/>
    <w:rsid w:val="007F46F4"/>
    <w:rsid w:val="007F4A79"/>
    <w:rsid w:val="007F4E62"/>
    <w:rsid w:val="007F54BA"/>
    <w:rsid w:val="007F5E3F"/>
    <w:rsid w:val="007F608A"/>
    <w:rsid w:val="007F6BA6"/>
    <w:rsid w:val="007F7220"/>
    <w:rsid w:val="007F7787"/>
    <w:rsid w:val="007F7BB3"/>
    <w:rsid w:val="007F7EB6"/>
    <w:rsid w:val="008002DC"/>
    <w:rsid w:val="008008ED"/>
    <w:rsid w:val="00800F2A"/>
    <w:rsid w:val="00800F46"/>
    <w:rsid w:val="008010CC"/>
    <w:rsid w:val="008019E5"/>
    <w:rsid w:val="00801E46"/>
    <w:rsid w:val="008023F0"/>
    <w:rsid w:val="00802755"/>
    <w:rsid w:val="008027CE"/>
    <w:rsid w:val="00802E1A"/>
    <w:rsid w:val="0080327C"/>
    <w:rsid w:val="0080393D"/>
    <w:rsid w:val="00803CE8"/>
    <w:rsid w:val="00803E0B"/>
    <w:rsid w:val="008041AE"/>
    <w:rsid w:val="00804392"/>
    <w:rsid w:val="00804D47"/>
    <w:rsid w:val="00804D9B"/>
    <w:rsid w:val="0080504F"/>
    <w:rsid w:val="0080516A"/>
    <w:rsid w:val="008056DE"/>
    <w:rsid w:val="00805A65"/>
    <w:rsid w:val="0080665C"/>
    <w:rsid w:val="00806EB6"/>
    <w:rsid w:val="0080725B"/>
    <w:rsid w:val="008072FB"/>
    <w:rsid w:val="00807BC2"/>
    <w:rsid w:val="00807E9B"/>
    <w:rsid w:val="008103BD"/>
    <w:rsid w:val="008105BF"/>
    <w:rsid w:val="0081062A"/>
    <w:rsid w:val="0081066B"/>
    <w:rsid w:val="008108F0"/>
    <w:rsid w:val="00810D22"/>
    <w:rsid w:val="00811559"/>
    <w:rsid w:val="00811798"/>
    <w:rsid w:val="00811F0B"/>
    <w:rsid w:val="008124FC"/>
    <w:rsid w:val="00812C46"/>
    <w:rsid w:val="00812C4F"/>
    <w:rsid w:val="0081307D"/>
    <w:rsid w:val="0081337C"/>
    <w:rsid w:val="00813C16"/>
    <w:rsid w:val="00813D8F"/>
    <w:rsid w:val="00814570"/>
    <w:rsid w:val="00815147"/>
    <w:rsid w:val="00815D34"/>
    <w:rsid w:val="00815E0B"/>
    <w:rsid w:val="0081604F"/>
    <w:rsid w:val="008162DD"/>
    <w:rsid w:val="00816632"/>
    <w:rsid w:val="00816C4C"/>
    <w:rsid w:val="00816E4E"/>
    <w:rsid w:val="00817138"/>
    <w:rsid w:val="00817AA6"/>
    <w:rsid w:val="00817B67"/>
    <w:rsid w:val="00817D62"/>
    <w:rsid w:val="00820F7A"/>
    <w:rsid w:val="00821055"/>
    <w:rsid w:val="008211DB"/>
    <w:rsid w:val="008214DD"/>
    <w:rsid w:val="00821886"/>
    <w:rsid w:val="00821CA2"/>
    <w:rsid w:val="00821ED4"/>
    <w:rsid w:val="0082228F"/>
    <w:rsid w:val="00822AB8"/>
    <w:rsid w:val="00823010"/>
    <w:rsid w:val="008230AD"/>
    <w:rsid w:val="00823558"/>
    <w:rsid w:val="00823FFD"/>
    <w:rsid w:val="008241A1"/>
    <w:rsid w:val="0082451E"/>
    <w:rsid w:val="00824731"/>
    <w:rsid w:val="00824BE3"/>
    <w:rsid w:val="00824CD7"/>
    <w:rsid w:val="00824F28"/>
    <w:rsid w:val="008256D2"/>
    <w:rsid w:val="008259DF"/>
    <w:rsid w:val="00825AA9"/>
    <w:rsid w:val="0082602F"/>
    <w:rsid w:val="008265E0"/>
    <w:rsid w:val="00826930"/>
    <w:rsid w:val="00826A0C"/>
    <w:rsid w:val="00826D77"/>
    <w:rsid w:val="008270D9"/>
    <w:rsid w:val="008272B0"/>
    <w:rsid w:val="008275BB"/>
    <w:rsid w:val="00827A22"/>
    <w:rsid w:val="00827B8B"/>
    <w:rsid w:val="00830435"/>
    <w:rsid w:val="008305CB"/>
    <w:rsid w:val="008308E9"/>
    <w:rsid w:val="008311F0"/>
    <w:rsid w:val="00831348"/>
    <w:rsid w:val="008314CE"/>
    <w:rsid w:val="00831817"/>
    <w:rsid w:val="00831A90"/>
    <w:rsid w:val="00831BF7"/>
    <w:rsid w:val="00831D75"/>
    <w:rsid w:val="00831E47"/>
    <w:rsid w:val="00832CCC"/>
    <w:rsid w:val="00832DF1"/>
    <w:rsid w:val="008334EB"/>
    <w:rsid w:val="00833531"/>
    <w:rsid w:val="00833562"/>
    <w:rsid w:val="00833581"/>
    <w:rsid w:val="008337CF"/>
    <w:rsid w:val="008339F4"/>
    <w:rsid w:val="00833BA3"/>
    <w:rsid w:val="00833F00"/>
    <w:rsid w:val="0083486C"/>
    <w:rsid w:val="00834AF2"/>
    <w:rsid w:val="00834BF3"/>
    <w:rsid w:val="00834C2C"/>
    <w:rsid w:val="00834CBE"/>
    <w:rsid w:val="00835783"/>
    <w:rsid w:val="00836EC5"/>
    <w:rsid w:val="00837023"/>
    <w:rsid w:val="00837276"/>
    <w:rsid w:val="008378F3"/>
    <w:rsid w:val="00837F74"/>
    <w:rsid w:val="008404C3"/>
    <w:rsid w:val="00840537"/>
    <w:rsid w:val="008409C6"/>
    <w:rsid w:val="00841782"/>
    <w:rsid w:val="00841E89"/>
    <w:rsid w:val="00842050"/>
    <w:rsid w:val="008420BF"/>
    <w:rsid w:val="0084259B"/>
    <w:rsid w:val="00842AD5"/>
    <w:rsid w:val="008434C8"/>
    <w:rsid w:val="00843976"/>
    <w:rsid w:val="00843A3F"/>
    <w:rsid w:val="00843AE1"/>
    <w:rsid w:val="0084408A"/>
    <w:rsid w:val="0084414E"/>
    <w:rsid w:val="008446FB"/>
    <w:rsid w:val="00844733"/>
    <w:rsid w:val="00844D14"/>
    <w:rsid w:val="00844D55"/>
    <w:rsid w:val="0084522D"/>
    <w:rsid w:val="008454D5"/>
    <w:rsid w:val="00845A13"/>
    <w:rsid w:val="00845CA8"/>
    <w:rsid w:val="00845DBF"/>
    <w:rsid w:val="008463A8"/>
    <w:rsid w:val="008463E6"/>
    <w:rsid w:val="0084671C"/>
    <w:rsid w:val="0084695D"/>
    <w:rsid w:val="00846A89"/>
    <w:rsid w:val="008473BC"/>
    <w:rsid w:val="0084757A"/>
    <w:rsid w:val="00847DD1"/>
    <w:rsid w:val="00847EBE"/>
    <w:rsid w:val="0085000B"/>
    <w:rsid w:val="00850210"/>
    <w:rsid w:val="008502B7"/>
    <w:rsid w:val="00850383"/>
    <w:rsid w:val="00850492"/>
    <w:rsid w:val="0085061A"/>
    <w:rsid w:val="00850D4A"/>
    <w:rsid w:val="00850E04"/>
    <w:rsid w:val="00851057"/>
    <w:rsid w:val="008511D5"/>
    <w:rsid w:val="00851F2B"/>
    <w:rsid w:val="0085213F"/>
    <w:rsid w:val="00852309"/>
    <w:rsid w:val="0085295A"/>
    <w:rsid w:val="00852C98"/>
    <w:rsid w:val="0085310E"/>
    <w:rsid w:val="00853893"/>
    <w:rsid w:val="00853A6D"/>
    <w:rsid w:val="00853E46"/>
    <w:rsid w:val="00854067"/>
    <w:rsid w:val="00854954"/>
    <w:rsid w:val="00854995"/>
    <w:rsid w:val="008549BA"/>
    <w:rsid w:val="00854B70"/>
    <w:rsid w:val="0085592B"/>
    <w:rsid w:val="0085683D"/>
    <w:rsid w:val="008568AF"/>
    <w:rsid w:val="00856959"/>
    <w:rsid w:val="00856B41"/>
    <w:rsid w:val="00857974"/>
    <w:rsid w:val="00860050"/>
    <w:rsid w:val="0086020C"/>
    <w:rsid w:val="008602A8"/>
    <w:rsid w:val="0086081A"/>
    <w:rsid w:val="00860A0F"/>
    <w:rsid w:val="00860EFF"/>
    <w:rsid w:val="00862098"/>
    <w:rsid w:val="008625C5"/>
    <w:rsid w:val="0086263B"/>
    <w:rsid w:val="00862874"/>
    <w:rsid w:val="00862972"/>
    <w:rsid w:val="00862F3A"/>
    <w:rsid w:val="0086370A"/>
    <w:rsid w:val="00863B7E"/>
    <w:rsid w:val="00863BC5"/>
    <w:rsid w:val="00863C6B"/>
    <w:rsid w:val="00864255"/>
    <w:rsid w:val="008645F5"/>
    <w:rsid w:val="00864756"/>
    <w:rsid w:val="00864822"/>
    <w:rsid w:val="008648E8"/>
    <w:rsid w:val="00864CE8"/>
    <w:rsid w:val="00864E4C"/>
    <w:rsid w:val="00864E84"/>
    <w:rsid w:val="00865233"/>
    <w:rsid w:val="0086586A"/>
    <w:rsid w:val="00865B59"/>
    <w:rsid w:val="00866232"/>
    <w:rsid w:val="008666BE"/>
    <w:rsid w:val="00866DDD"/>
    <w:rsid w:val="00866F37"/>
    <w:rsid w:val="00867210"/>
    <w:rsid w:val="00867266"/>
    <w:rsid w:val="008675AE"/>
    <w:rsid w:val="008677E4"/>
    <w:rsid w:val="00867A66"/>
    <w:rsid w:val="00867B09"/>
    <w:rsid w:val="00867CA1"/>
    <w:rsid w:val="00867D7D"/>
    <w:rsid w:val="008700DF"/>
    <w:rsid w:val="00870120"/>
    <w:rsid w:val="008706D1"/>
    <w:rsid w:val="00870B7B"/>
    <w:rsid w:val="00870BDC"/>
    <w:rsid w:val="00870BFA"/>
    <w:rsid w:val="00870E39"/>
    <w:rsid w:val="00870F91"/>
    <w:rsid w:val="00871CB2"/>
    <w:rsid w:val="00871E43"/>
    <w:rsid w:val="00871EDA"/>
    <w:rsid w:val="008723BC"/>
    <w:rsid w:val="00872460"/>
    <w:rsid w:val="00872758"/>
    <w:rsid w:val="00872BAC"/>
    <w:rsid w:val="00873B4B"/>
    <w:rsid w:val="00873E8B"/>
    <w:rsid w:val="0087477E"/>
    <w:rsid w:val="0087483A"/>
    <w:rsid w:val="00874ADA"/>
    <w:rsid w:val="00874B69"/>
    <w:rsid w:val="008753D4"/>
    <w:rsid w:val="008755F7"/>
    <w:rsid w:val="00875805"/>
    <w:rsid w:val="00875AF4"/>
    <w:rsid w:val="00875C4A"/>
    <w:rsid w:val="0087614F"/>
    <w:rsid w:val="0087625B"/>
    <w:rsid w:val="0087659A"/>
    <w:rsid w:val="008765C2"/>
    <w:rsid w:val="00876FAB"/>
    <w:rsid w:val="00877B7B"/>
    <w:rsid w:val="00877C97"/>
    <w:rsid w:val="00880531"/>
    <w:rsid w:val="0088080C"/>
    <w:rsid w:val="008809B0"/>
    <w:rsid w:val="00880A34"/>
    <w:rsid w:val="00880F6A"/>
    <w:rsid w:val="00881029"/>
    <w:rsid w:val="00881B58"/>
    <w:rsid w:val="00881DE1"/>
    <w:rsid w:val="00882047"/>
    <w:rsid w:val="008821EF"/>
    <w:rsid w:val="0088243D"/>
    <w:rsid w:val="0088262F"/>
    <w:rsid w:val="008826FA"/>
    <w:rsid w:val="00882827"/>
    <w:rsid w:val="00882E30"/>
    <w:rsid w:val="00882E93"/>
    <w:rsid w:val="00882F0A"/>
    <w:rsid w:val="00883566"/>
    <w:rsid w:val="00883A0C"/>
    <w:rsid w:val="00883B4B"/>
    <w:rsid w:val="00883E29"/>
    <w:rsid w:val="00884851"/>
    <w:rsid w:val="00884B61"/>
    <w:rsid w:val="00884BB1"/>
    <w:rsid w:val="00884C81"/>
    <w:rsid w:val="00885079"/>
    <w:rsid w:val="008853D6"/>
    <w:rsid w:val="0088541B"/>
    <w:rsid w:val="0088560D"/>
    <w:rsid w:val="0088568B"/>
    <w:rsid w:val="008857CD"/>
    <w:rsid w:val="008858AF"/>
    <w:rsid w:val="008859E7"/>
    <w:rsid w:val="00885AA4"/>
    <w:rsid w:val="00885EB6"/>
    <w:rsid w:val="0088663F"/>
    <w:rsid w:val="00886F2E"/>
    <w:rsid w:val="0088701F"/>
    <w:rsid w:val="00887513"/>
    <w:rsid w:val="00887F24"/>
    <w:rsid w:val="008900D0"/>
    <w:rsid w:val="00890456"/>
    <w:rsid w:val="00891725"/>
    <w:rsid w:val="0089172F"/>
    <w:rsid w:val="008918A7"/>
    <w:rsid w:val="008918E7"/>
    <w:rsid w:val="008923D9"/>
    <w:rsid w:val="0089298D"/>
    <w:rsid w:val="00892B7E"/>
    <w:rsid w:val="008933D0"/>
    <w:rsid w:val="00893A59"/>
    <w:rsid w:val="00893BC7"/>
    <w:rsid w:val="00894049"/>
    <w:rsid w:val="00894163"/>
    <w:rsid w:val="0089453E"/>
    <w:rsid w:val="0089507B"/>
    <w:rsid w:val="00895BA6"/>
    <w:rsid w:val="00896502"/>
    <w:rsid w:val="00896533"/>
    <w:rsid w:val="00896538"/>
    <w:rsid w:val="00896757"/>
    <w:rsid w:val="00896D53"/>
    <w:rsid w:val="00896FB5"/>
    <w:rsid w:val="0089739A"/>
    <w:rsid w:val="0089739B"/>
    <w:rsid w:val="0089764A"/>
    <w:rsid w:val="008978C7"/>
    <w:rsid w:val="008A0235"/>
    <w:rsid w:val="008A0D0D"/>
    <w:rsid w:val="008A12F7"/>
    <w:rsid w:val="008A168A"/>
    <w:rsid w:val="008A173E"/>
    <w:rsid w:val="008A1F66"/>
    <w:rsid w:val="008A23C9"/>
    <w:rsid w:val="008A28D2"/>
    <w:rsid w:val="008A28DD"/>
    <w:rsid w:val="008A2AA5"/>
    <w:rsid w:val="008A2C25"/>
    <w:rsid w:val="008A302A"/>
    <w:rsid w:val="008A3AB9"/>
    <w:rsid w:val="008A3ABF"/>
    <w:rsid w:val="008A3C1E"/>
    <w:rsid w:val="008A3D08"/>
    <w:rsid w:val="008A4096"/>
    <w:rsid w:val="008A4978"/>
    <w:rsid w:val="008A4BC6"/>
    <w:rsid w:val="008A54F5"/>
    <w:rsid w:val="008A5B25"/>
    <w:rsid w:val="008A5C1C"/>
    <w:rsid w:val="008A636A"/>
    <w:rsid w:val="008A6670"/>
    <w:rsid w:val="008A68FB"/>
    <w:rsid w:val="008A6C28"/>
    <w:rsid w:val="008A7212"/>
    <w:rsid w:val="008A7651"/>
    <w:rsid w:val="008A76CE"/>
    <w:rsid w:val="008B0C71"/>
    <w:rsid w:val="008B11D4"/>
    <w:rsid w:val="008B12BA"/>
    <w:rsid w:val="008B1702"/>
    <w:rsid w:val="008B17FA"/>
    <w:rsid w:val="008B1828"/>
    <w:rsid w:val="008B18EA"/>
    <w:rsid w:val="008B1E3E"/>
    <w:rsid w:val="008B22C2"/>
    <w:rsid w:val="008B235A"/>
    <w:rsid w:val="008B245E"/>
    <w:rsid w:val="008B29C6"/>
    <w:rsid w:val="008B2AC3"/>
    <w:rsid w:val="008B2CBC"/>
    <w:rsid w:val="008B2F99"/>
    <w:rsid w:val="008B33DF"/>
    <w:rsid w:val="008B3A35"/>
    <w:rsid w:val="008B3FCC"/>
    <w:rsid w:val="008B42EC"/>
    <w:rsid w:val="008B445E"/>
    <w:rsid w:val="008B478E"/>
    <w:rsid w:val="008B48C5"/>
    <w:rsid w:val="008B4919"/>
    <w:rsid w:val="008B4A21"/>
    <w:rsid w:val="008B4AAB"/>
    <w:rsid w:val="008B4BAD"/>
    <w:rsid w:val="008B4CD0"/>
    <w:rsid w:val="008B521A"/>
    <w:rsid w:val="008B5A73"/>
    <w:rsid w:val="008B62BC"/>
    <w:rsid w:val="008B64A7"/>
    <w:rsid w:val="008B679E"/>
    <w:rsid w:val="008B6EAF"/>
    <w:rsid w:val="008B7F20"/>
    <w:rsid w:val="008C0012"/>
    <w:rsid w:val="008C01E3"/>
    <w:rsid w:val="008C0527"/>
    <w:rsid w:val="008C0C1C"/>
    <w:rsid w:val="008C14B8"/>
    <w:rsid w:val="008C1AB5"/>
    <w:rsid w:val="008C1B54"/>
    <w:rsid w:val="008C25DA"/>
    <w:rsid w:val="008C2697"/>
    <w:rsid w:val="008C2EC5"/>
    <w:rsid w:val="008C346B"/>
    <w:rsid w:val="008C42CB"/>
    <w:rsid w:val="008C4303"/>
    <w:rsid w:val="008C5D4F"/>
    <w:rsid w:val="008C600E"/>
    <w:rsid w:val="008C6858"/>
    <w:rsid w:val="008C7366"/>
    <w:rsid w:val="008C73BF"/>
    <w:rsid w:val="008C7676"/>
    <w:rsid w:val="008C7851"/>
    <w:rsid w:val="008D002A"/>
    <w:rsid w:val="008D01B9"/>
    <w:rsid w:val="008D021C"/>
    <w:rsid w:val="008D0AB7"/>
    <w:rsid w:val="008D119D"/>
    <w:rsid w:val="008D1257"/>
    <w:rsid w:val="008D140E"/>
    <w:rsid w:val="008D18BE"/>
    <w:rsid w:val="008D1AD4"/>
    <w:rsid w:val="008D1C92"/>
    <w:rsid w:val="008D277F"/>
    <w:rsid w:val="008D2DB6"/>
    <w:rsid w:val="008D355B"/>
    <w:rsid w:val="008D3CDB"/>
    <w:rsid w:val="008D3DED"/>
    <w:rsid w:val="008D468B"/>
    <w:rsid w:val="008D497C"/>
    <w:rsid w:val="008D4AA7"/>
    <w:rsid w:val="008D4E6D"/>
    <w:rsid w:val="008D4F34"/>
    <w:rsid w:val="008D5088"/>
    <w:rsid w:val="008D5153"/>
    <w:rsid w:val="008D539F"/>
    <w:rsid w:val="008D5D46"/>
    <w:rsid w:val="008D5DA4"/>
    <w:rsid w:val="008D6391"/>
    <w:rsid w:val="008D66D4"/>
    <w:rsid w:val="008D69CD"/>
    <w:rsid w:val="008D6A73"/>
    <w:rsid w:val="008D6A92"/>
    <w:rsid w:val="008D6E68"/>
    <w:rsid w:val="008D6F5A"/>
    <w:rsid w:val="008D6FD4"/>
    <w:rsid w:val="008D790C"/>
    <w:rsid w:val="008D7AE9"/>
    <w:rsid w:val="008D7DCB"/>
    <w:rsid w:val="008D7EA3"/>
    <w:rsid w:val="008E0264"/>
    <w:rsid w:val="008E0AD7"/>
    <w:rsid w:val="008E0DE2"/>
    <w:rsid w:val="008E123A"/>
    <w:rsid w:val="008E1518"/>
    <w:rsid w:val="008E1650"/>
    <w:rsid w:val="008E16FD"/>
    <w:rsid w:val="008E1E9C"/>
    <w:rsid w:val="008E1EF2"/>
    <w:rsid w:val="008E226C"/>
    <w:rsid w:val="008E2CBE"/>
    <w:rsid w:val="008E3115"/>
    <w:rsid w:val="008E33C7"/>
    <w:rsid w:val="008E3988"/>
    <w:rsid w:val="008E3A3B"/>
    <w:rsid w:val="008E3BC7"/>
    <w:rsid w:val="008E3D0E"/>
    <w:rsid w:val="008E4391"/>
    <w:rsid w:val="008E443D"/>
    <w:rsid w:val="008E4CDF"/>
    <w:rsid w:val="008E4DB1"/>
    <w:rsid w:val="008E505B"/>
    <w:rsid w:val="008E538B"/>
    <w:rsid w:val="008E5551"/>
    <w:rsid w:val="008E58EE"/>
    <w:rsid w:val="008E5D8D"/>
    <w:rsid w:val="008E5EF2"/>
    <w:rsid w:val="008E6416"/>
    <w:rsid w:val="008E657A"/>
    <w:rsid w:val="008E67D4"/>
    <w:rsid w:val="008E6809"/>
    <w:rsid w:val="008E6918"/>
    <w:rsid w:val="008E6C49"/>
    <w:rsid w:val="008E6CBF"/>
    <w:rsid w:val="008E6D7E"/>
    <w:rsid w:val="008E6E65"/>
    <w:rsid w:val="008E72C7"/>
    <w:rsid w:val="008E78EF"/>
    <w:rsid w:val="008E7DE9"/>
    <w:rsid w:val="008F0488"/>
    <w:rsid w:val="008F04A5"/>
    <w:rsid w:val="008F1001"/>
    <w:rsid w:val="008F20D8"/>
    <w:rsid w:val="008F22BF"/>
    <w:rsid w:val="008F22E7"/>
    <w:rsid w:val="008F2395"/>
    <w:rsid w:val="008F25CB"/>
    <w:rsid w:val="008F2849"/>
    <w:rsid w:val="008F29AB"/>
    <w:rsid w:val="008F2C9C"/>
    <w:rsid w:val="008F321F"/>
    <w:rsid w:val="008F3596"/>
    <w:rsid w:val="008F3739"/>
    <w:rsid w:val="008F3F52"/>
    <w:rsid w:val="008F42B0"/>
    <w:rsid w:val="008F4692"/>
    <w:rsid w:val="008F4E6F"/>
    <w:rsid w:val="008F5297"/>
    <w:rsid w:val="008F53F7"/>
    <w:rsid w:val="008F5C90"/>
    <w:rsid w:val="008F5EAF"/>
    <w:rsid w:val="008F63C2"/>
    <w:rsid w:val="008F67F3"/>
    <w:rsid w:val="008F69A2"/>
    <w:rsid w:val="008F6B54"/>
    <w:rsid w:val="008F6D70"/>
    <w:rsid w:val="008F6E26"/>
    <w:rsid w:val="008F7E4F"/>
    <w:rsid w:val="009007D0"/>
    <w:rsid w:val="00900B34"/>
    <w:rsid w:val="00900E05"/>
    <w:rsid w:val="0090193A"/>
    <w:rsid w:val="00902190"/>
    <w:rsid w:val="00902373"/>
    <w:rsid w:val="009027AD"/>
    <w:rsid w:val="00902F78"/>
    <w:rsid w:val="00903511"/>
    <w:rsid w:val="009038D6"/>
    <w:rsid w:val="00903C88"/>
    <w:rsid w:val="00903CA1"/>
    <w:rsid w:val="00903DDF"/>
    <w:rsid w:val="00903EF6"/>
    <w:rsid w:val="00904040"/>
    <w:rsid w:val="00904056"/>
    <w:rsid w:val="0090406C"/>
    <w:rsid w:val="00904467"/>
    <w:rsid w:val="00904F58"/>
    <w:rsid w:val="00905020"/>
    <w:rsid w:val="009050CE"/>
    <w:rsid w:val="0090546E"/>
    <w:rsid w:val="009054D3"/>
    <w:rsid w:val="00905602"/>
    <w:rsid w:val="009059DE"/>
    <w:rsid w:val="009063DC"/>
    <w:rsid w:val="0090656A"/>
    <w:rsid w:val="00906570"/>
    <w:rsid w:val="009069C3"/>
    <w:rsid w:val="00906A7F"/>
    <w:rsid w:val="00906BAD"/>
    <w:rsid w:val="00907977"/>
    <w:rsid w:val="00907BE0"/>
    <w:rsid w:val="00910F45"/>
    <w:rsid w:val="00910F69"/>
    <w:rsid w:val="009112E7"/>
    <w:rsid w:val="00911419"/>
    <w:rsid w:val="009114D2"/>
    <w:rsid w:val="0091159C"/>
    <w:rsid w:val="009117A0"/>
    <w:rsid w:val="0091197B"/>
    <w:rsid w:val="00911B5F"/>
    <w:rsid w:val="00911EE1"/>
    <w:rsid w:val="00911F07"/>
    <w:rsid w:val="009121FD"/>
    <w:rsid w:val="009124BE"/>
    <w:rsid w:val="009131D8"/>
    <w:rsid w:val="00913489"/>
    <w:rsid w:val="0091354F"/>
    <w:rsid w:val="0091393B"/>
    <w:rsid w:val="00913FB5"/>
    <w:rsid w:val="0091476F"/>
    <w:rsid w:val="00914DB7"/>
    <w:rsid w:val="009154B4"/>
    <w:rsid w:val="00915FF1"/>
    <w:rsid w:val="009161F1"/>
    <w:rsid w:val="0091691D"/>
    <w:rsid w:val="00917230"/>
    <w:rsid w:val="00917261"/>
    <w:rsid w:val="00917759"/>
    <w:rsid w:val="009179CF"/>
    <w:rsid w:val="00917B85"/>
    <w:rsid w:val="0092024A"/>
    <w:rsid w:val="009207F7"/>
    <w:rsid w:val="00920E50"/>
    <w:rsid w:val="009212BD"/>
    <w:rsid w:val="00921460"/>
    <w:rsid w:val="00921473"/>
    <w:rsid w:val="00921665"/>
    <w:rsid w:val="00921A12"/>
    <w:rsid w:val="00922117"/>
    <w:rsid w:val="00922272"/>
    <w:rsid w:val="0092259B"/>
    <w:rsid w:val="00922767"/>
    <w:rsid w:val="009230DD"/>
    <w:rsid w:val="00923463"/>
    <w:rsid w:val="00923714"/>
    <w:rsid w:val="00923C05"/>
    <w:rsid w:val="00923C35"/>
    <w:rsid w:val="00923D77"/>
    <w:rsid w:val="009240A6"/>
    <w:rsid w:val="00924BD2"/>
    <w:rsid w:val="0092514E"/>
    <w:rsid w:val="009257CA"/>
    <w:rsid w:val="00925D96"/>
    <w:rsid w:val="00925E1C"/>
    <w:rsid w:val="009260B1"/>
    <w:rsid w:val="009261E4"/>
    <w:rsid w:val="00926CEF"/>
    <w:rsid w:val="00926DC1"/>
    <w:rsid w:val="00926F0C"/>
    <w:rsid w:val="00926F1D"/>
    <w:rsid w:val="00926F8C"/>
    <w:rsid w:val="00927100"/>
    <w:rsid w:val="0092720C"/>
    <w:rsid w:val="0092775E"/>
    <w:rsid w:val="0092799D"/>
    <w:rsid w:val="00927C17"/>
    <w:rsid w:val="00930074"/>
    <w:rsid w:val="00930B83"/>
    <w:rsid w:val="00930C37"/>
    <w:rsid w:val="00930C98"/>
    <w:rsid w:val="009310F8"/>
    <w:rsid w:val="009319C6"/>
    <w:rsid w:val="00931B3A"/>
    <w:rsid w:val="00932003"/>
    <w:rsid w:val="00932184"/>
    <w:rsid w:val="009321F8"/>
    <w:rsid w:val="00932BBC"/>
    <w:rsid w:val="009330F6"/>
    <w:rsid w:val="009332CE"/>
    <w:rsid w:val="00933318"/>
    <w:rsid w:val="0093346E"/>
    <w:rsid w:val="009337FB"/>
    <w:rsid w:val="00933B93"/>
    <w:rsid w:val="00933F94"/>
    <w:rsid w:val="00934570"/>
    <w:rsid w:val="009345D9"/>
    <w:rsid w:val="0093463E"/>
    <w:rsid w:val="00934731"/>
    <w:rsid w:val="009347D2"/>
    <w:rsid w:val="00934B1B"/>
    <w:rsid w:val="009353E6"/>
    <w:rsid w:val="009358B3"/>
    <w:rsid w:val="00935C68"/>
    <w:rsid w:val="00936149"/>
    <w:rsid w:val="0093642C"/>
    <w:rsid w:val="00936950"/>
    <w:rsid w:val="00936CBF"/>
    <w:rsid w:val="0093723C"/>
    <w:rsid w:val="0093791F"/>
    <w:rsid w:val="00937978"/>
    <w:rsid w:val="009401D0"/>
    <w:rsid w:val="00940C70"/>
    <w:rsid w:val="00940C7F"/>
    <w:rsid w:val="00940D51"/>
    <w:rsid w:val="00941A2A"/>
    <w:rsid w:val="00941C2D"/>
    <w:rsid w:val="00941EA4"/>
    <w:rsid w:val="009422D3"/>
    <w:rsid w:val="00942B18"/>
    <w:rsid w:val="00942CDC"/>
    <w:rsid w:val="00943249"/>
    <w:rsid w:val="00943811"/>
    <w:rsid w:val="00943B32"/>
    <w:rsid w:val="00944000"/>
    <w:rsid w:val="0094463A"/>
    <w:rsid w:val="00944C2E"/>
    <w:rsid w:val="00944E37"/>
    <w:rsid w:val="0094546B"/>
    <w:rsid w:val="00945E29"/>
    <w:rsid w:val="00945E9B"/>
    <w:rsid w:val="00945F54"/>
    <w:rsid w:val="00945F60"/>
    <w:rsid w:val="00945F62"/>
    <w:rsid w:val="0094680A"/>
    <w:rsid w:val="00946BD4"/>
    <w:rsid w:val="00946C4B"/>
    <w:rsid w:val="00946C5E"/>
    <w:rsid w:val="009472C4"/>
    <w:rsid w:val="00947369"/>
    <w:rsid w:val="009476B1"/>
    <w:rsid w:val="009477A4"/>
    <w:rsid w:val="009479C4"/>
    <w:rsid w:val="00947B91"/>
    <w:rsid w:val="00947D9D"/>
    <w:rsid w:val="00947E2E"/>
    <w:rsid w:val="00950660"/>
    <w:rsid w:val="009509BF"/>
    <w:rsid w:val="00950B27"/>
    <w:rsid w:val="00950E13"/>
    <w:rsid w:val="00950EAA"/>
    <w:rsid w:val="0095107A"/>
    <w:rsid w:val="00951111"/>
    <w:rsid w:val="00951373"/>
    <w:rsid w:val="00951767"/>
    <w:rsid w:val="00951B2C"/>
    <w:rsid w:val="00951B82"/>
    <w:rsid w:val="00951BDF"/>
    <w:rsid w:val="009525E8"/>
    <w:rsid w:val="0095288D"/>
    <w:rsid w:val="00952CF1"/>
    <w:rsid w:val="00952E82"/>
    <w:rsid w:val="00952EB8"/>
    <w:rsid w:val="00952F90"/>
    <w:rsid w:val="0095335D"/>
    <w:rsid w:val="0095349C"/>
    <w:rsid w:val="00953851"/>
    <w:rsid w:val="00953BEE"/>
    <w:rsid w:val="00953D9A"/>
    <w:rsid w:val="00954323"/>
    <w:rsid w:val="00954338"/>
    <w:rsid w:val="00954379"/>
    <w:rsid w:val="009546D0"/>
    <w:rsid w:val="009547FD"/>
    <w:rsid w:val="009549C4"/>
    <w:rsid w:val="00954AE9"/>
    <w:rsid w:val="00954DF6"/>
    <w:rsid w:val="00955573"/>
    <w:rsid w:val="00956157"/>
    <w:rsid w:val="00956159"/>
    <w:rsid w:val="009561CB"/>
    <w:rsid w:val="009574DA"/>
    <w:rsid w:val="009578D0"/>
    <w:rsid w:val="00957AB4"/>
    <w:rsid w:val="00960226"/>
    <w:rsid w:val="0096031F"/>
    <w:rsid w:val="00960491"/>
    <w:rsid w:val="0096051D"/>
    <w:rsid w:val="00960670"/>
    <w:rsid w:val="00960933"/>
    <w:rsid w:val="00960A33"/>
    <w:rsid w:val="00960AB2"/>
    <w:rsid w:val="0096160B"/>
    <w:rsid w:val="00961D2A"/>
    <w:rsid w:val="00961D2F"/>
    <w:rsid w:val="0096219D"/>
    <w:rsid w:val="0096239C"/>
    <w:rsid w:val="00962483"/>
    <w:rsid w:val="00962625"/>
    <w:rsid w:val="00963325"/>
    <w:rsid w:val="00963EB0"/>
    <w:rsid w:val="00963EC1"/>
    <w:rsid w:val="0096404F"/>
    <w:rsid w:val="009640AD"/>
    <w:rsid w:val="00964DB2"/>
    <w:rsid w:val="00965365"/>
    <w:rsid w:val="009654B9"/>
    <w:rsid w:val="009654F3"/>
    <w:rsid w:val="00965582"/>
    <w:rsid w:val="00965603"/>
    <w:rsid w:val="00965A0D"/>
    <w:rsid w:val="00965B4C"/>
    <w:rsid w:val="009663BC"/>
    <w:rsid w:val="0096640D"/>
    <w:rsid w:val="0096695A"/>
    <w:rsid w:val="00966FB8"/>
    <w:rsid w:val="00970443"/>
    <w:rsid w:val="00970E66"/>
    <w:rsid w:val="00970EB6"/>
    <w:rsid w:val="00971033"/>
    <w:rsid w:val="009715BA"/>
    <w:rsid w:val="00971609"/>
    <w:rsid w:val="00971A2E"/>
    <w:rsid w:val="0097237E"/>
    <w:rsid w:val="009725A2"/>
    <w:rsid w:val="00972618"/>
    <w:rsid w:val="009728DD"/>
    <w:rsid w:val="00972BFA"/>
    <w:rsid w:val="00972CCE"/>
    <w:rsid w:val="0097339F"/>
    <w:rsid w:val="009733C3"/>
    <w:rsid w:val="00973D08"/>
    <w:rsid w:val="00974770"/>
    <w:rsid w:val="0097515E"/>
    <w:rsid w:val="009751FF"/>
    <w:rsid w:val="009753E6"/>
    <w:rsid w:val="0097584B"/>
    <w:rsid w:val="009758B3"/>
    <w:rsid w:val="00975981"/>
    <w:rsid w:val="00975DFC"/>
    <w:rsid w:val="009762AC"/>
    <w:rsid w:val="00976471"/>
    <w:rsid w:val="0097651A"/>
    <w:rsid w:val="00976839"/>
    <w:rsid w:val="00977086"/>
    <w:rsid w:val="0097714D"/>
    <w:rsid w:val="0097721C"/>
    <w:rsid w:val="00977408"/>
    <w:rsid w:val="00977D2B"/>
    <w:rsid w:val="00977EC3"/>
    <w:rsid w:val="00977F21"/>
    <w:rsid w:val="00977FCF"/>
    <w:rsid w:val="00980379"/>
    <w:rsid w:val="0098040C"/>
    <w:rsid w:val="00980501"/>
    <w:rsid w:val="009807B6"/>
    <w:rsid w:val="0098088F"/>
    <w:rsid w:val="00980953"/>
    <w:rsid w:val="00980BFF"/>
    <w:rsid w:val="00980E79"/>
    <w:rsid w:val="0098104B"/>
    <w:rsid w:val="009813FC"/>
    <w:rsid w:val="009814A7"/>
    <w:rsid w:val="009815C0"/>
    <w:rsid w:val="00981C5D"/>
    <w:rsid w:val="00981D8C"/>
    <w:rsid w:val="00981D91"/>
    <w:rsid w:val="009824E9"/>
    <w:rsid w:val="00982891"/>
    <w:rsid w:val="0098298D"/>
    <w:rsid w:val="00982BF2"/>
    <w:rsid w:val="00982E40"/>
    <w:rsid w:val="00982EB5"/>
    <w:rsid w:val="0098319B"/>
    <w:rsid w:val="009834C7"/>
    <w:rsid w:val="0098379B"/>
    <w:rsid w:val="00983EE2"/>
    <w:rsid w:val="00984400"/>
    <w:rsid w:val="00984494"/>
    <w:rsid w:val="00984559"/>
    <w:rsid w:val="0098464E"/>
    <w:rsid w:val="0098491C"/>
    <w:rsid w:val="00984A05"/>
    <w:rsid w:val="00984B74"/>
    <w:rsid w:val="009850B9"/>
    <w:rsid w:val="009856D0"/>
    <w:rsid w:val="0098576D"/>
    <w:rsid w:val="00985A0A"/>
    <w:rsid w:val="00985CB1"/>
    <w:rsid w:val="00985DF5"/>
    <w:rsid w:val="00985EA4"/>
    <w:rsid w:val="00986522"/>
    <w:rsid w:val="009867EB"/>
    <w:rsid w:val="009867F5"/>
    <w:rsid w:val="00986B82"/>
    <w:rsid w:val="00986DFF"/>
    <w:rsid w:val="00987555"/>
    <w:rsid w:val="0098768F"/>
    <w:rsid w:val="0098776F"/>
    <w:rsid w:val="00987E2D"/>
    <w:rsid w:val="00990003"/>
    <w:rsid w:val="0099022B"/>
    <w:rsid w:val="009908A3"/>
    <w:rsid w:val="00990CC7"/>
    <w:rsid w:val="00990DF2"/>
    <w:rsid w:val="00991187"/>
    <w:rsid w:val="009913B8"/>
    <w:rsid w:val="00991D8F"/>
    <w:rsid w:val="00992483"/>
    <w:rsid w:val="009926DF"/>
    <w:rsid w:val="009932D9"/>
    <w:rsid w:val="009939A1"/>
    <w:rsid w:val="00994671"/>
    <w:rsid w:val="00994A02"/>
    <w:rsid w:val="00994C87"/>
    <w:rsid w:val="00994DE5"/>
    <w:rsid w:val="00994FDB"/>
    <w:rsid w:val="00995212"/>
    <w:rsid w:val="0099558F"/>
    <w:rsid w:val="00995688"/>
    <w:rsid w:val="009958B8"/>
    <w:rsid w:val="00995CED"/>
    <w:rsid w:val="00996040"/>
    <w:rsid w:val="009962E8"/>
    <w:rsid w:val="00996E45"/>
    <w:rsid w:val="00996FE2"/>
    <w:rsid w:val="009973CC"/>
    <w:rsid w:val="009977D5"/>
    <w:rsid w:val="00997958"/>
    <w:rsid w:val="009979C4"/>
    <w:rsid w:val="009A00A1"/>
    <w:rsid w:val="009A0135"/>
    <w:rsid w:val="009A0488"/>
    <w:rsid w:val="009A079C"/>
    <w:rsid w:val="009A095B"/>
    <w:rsid w:val="009A0B1D"/>
    <w:rsid w:val="009A146D"/>
    <w:rsid w:val="009A1D26"/>
    <w:rsid w:val="009A2268"/>
    <w:rsid w:val="009A247C"/>
    <w:rsid w:val="009A2528"/>
    <w:rsid w:val="009A2591"/>
    <w:rsid w:val="009A25B9"/>
    <w:rsid w:val="009A2839"/>
    <w:rsid w:val="009A2B8C"/>
    <w:rsid w:val="009A2D8C"/>
    <w:rsid w:val="009A3073"/>
    <w:rsid w:val="009A33F3"/>
    <w:rsid w:val="009A372F"/>
    <w:rsid w:val="009A4DB7"/>
    <w:rsid w:val="009A5236"/>
    <w:rsid w:val="009A5340"/>
    <w:rsid w:val="009A556A"/>
    <w:rsid w:val="009A584B"/>
    <w:rsid w:val="009A5FFD"/>
    <w:rsid w:val="009A60C3"/>
    <w:rsid w:val="009A6102"/>
    <w:rsid w:val="009A6937"/>
    <w:rsid w:val="009A6D87"/>
    <w:rsid w:val="009A71E6"/>
    <w:rsid w:val="009A7221"/>
    <w:rsid w:val="009A7966"/>
    <w:rsid w:val="009B0343"/>
    <w:rsid w:val="009B078A"/>
    <w:rsid w:val="009B0D2E"/>
    <w:rsid w:val="009B0F41"/>
    <w:rsid w:val="009B1423"/>
    <w:rsid w:val="009B17AB"/>
    <w:rsid w:val="009B1851"/>
    <w:rsid w:val="009B22B8"/>
    <w:rsid w:val="009B293E"/>
    <w:rsid w:val="009B2997"/>
    <w:rsid w:val="009B2A33"/>
    <w:rsid w:val="009B2B5C"/>
    <w:rsid w:val="009B2BC9"/>
    <w:rsid w:val="009B3395"/>
    <w:rsid w:val="009B366D"/>
    <w:rsid w:val="009B40D0"/>
    <w:rsid w:val="009B4325"/>
    <w:rsid w:val="009B4ABB"/>
    <w:rsid w:val="009B4BF5"/>
    <w:rsid w:val="009B50FF"/>
    <w:rsid w:val="009B53AE"/>
    <w:rsid w:val="009B56F2"/>
    <w:rsid w:val="009B5800"/>
    <w:rsid w:val="009B5AF9"/>
    <w:rsid w:val="009B5BDB"/>
    <w:rsid w:val="009B5E18"/>
    <w:rsid w:val="009B60DC"/>
    <w:rsid w:val="009B61CA"/>
    <w:rsid w:val="009B6369"/>
    <w:rsid w:val="009B6485"/>
    <w:rsid w:val="009B68BA"/>
    <w:rsid w:val="009B6B6A"/>
    <w:rsid w:val="009B6C39"/>
    <w:rsid w:val="009B6E10"/>
    <w:rsid w:val="009B6E18"/>
    <w:rsid w:val="009B6F5A"/>
    <w:rsid w:val="009B7C6B"/>
    <w:rsid w:val="009B7F8B"/>
    <w:rsid w:val="009C0186"/>
    <w:rsid w:val="009C0B98"/>
    <w:rsid w:val="009C0CD7"/>
    <w:rsid w:val="009C1203"/>
    <w:rsid w:val="009C1939"/>
    <w:rsid w:val="009C1F71"/>
    <w:rsid w:val="009C205D"/>
    <w:rsid w:val="009C21EA"/>
    <w:rsid w:val="009C2E1A"/>
    <w:rsid w:val="009C347A"/>
    <w:rsid w:val="009C34D5"/>
    <w:rsid w:val="009C3CCA"/>
    <w:rsid w:val="009C3D1D"/>
    <w:rsid w:val="009C3DA6"/>
    <w:rsid w:val="009C3E81"/>
    <w:rsid w:val="009C3FAB"/>
    <w:rsid w:val="009C4C86"/>
    <w:rsid w:val="009C4F30"/>
    <w:rsid w:val="009C54D0"/>
    <w:rsid w:val="009C5609"/>
    <w:rsid w:val="009C5AEB"/>
    <w:rsid w:val="009C608E"/>
    <w:rsid w:val="009C60FF"/>
    <w:rsid w:val="009C6148"/>
    <w:rsid w:val="009C62B5"/>
    <w:rsid w:val="009C6E9C"/>
    <w:rsid w:val="009C713F"/>
    <w:rsid w:val="009C762F"/>
    <w:rsid w:val="009C7DEC"/>
    <w:rsid w:val="009D02E6"/>
    <w:rsid w:val="009D070D"/>
    <w:rsid w:val="009D1482"/>
    <w:rsid w:val="009D1692"/>
    <w:rsid w:val="009D1985"/>
    <w:rsid w:val="009D1DE4"/>
    <w:rsid w:val="009D2149"/>
    <w:rsid w:val="009D26AB"/>
    <w:rsid w:val="009D2C36"/>
    <w:rsid w:val="009D2E17"/>
    <w:rsid w:val="009D3183"/>
    <w:rsid w:val="009D33A5"/>
    <w:rsid w:val="009D3AA5"/>
    <w:rsid w:val="009D4506"/>
    <w:rsid w:val="009D458A"/>
    <w:rsid w:val="009D498E"/>
    <w:rsid w:val="009D4A94"/>
    <w:rsid w:val="009D4E1A"/>
    <w:rsid w:val="009D52AC"/>
    <w:rsid w:val="009D5723"/>
    <w:rsid w:val="009D5ABE"/>
    <w:rsid w:val="009D6418"/>
    <w:rsid w:val="009D6482"/>
    <w:rsid w:val="009D6741"/>
    <w:rsid w:val="009D69E6"/>
    <w:rsid w:val="009D6B24"/>
    <w:rsid w:val="009D7EB9"/>
    <w:rsid w:val="009E074F"/>
    <w:rsid w:val="009E075B"/>
    <w:rsid w:val="009E079D"/>
    <w:rsid w:val="009E081E"/>
    <w:rsid w:val="009E0DD7"/>
    <w:rsid w:val="009E102B"/>
    <w:rsid w:val="009E134C"/>
    <w:rsid w:val="009E1BB3"/>
    <w:rsid w:val="009E1D4B"/>
    <w:rsid w:val="009E1EC4"/>
    <w:rsid w:val="009E24D0"/>
    <w:rsid w:val="009E28E8"/>
    <w:rsid w:val="009E2D65"/>
    <w:rsid w:val="009E32FD"/>
    <w:rsid w:val="009E3542"/>
    <w:rsid w:val="009E3570"/>
    <w:rsid w:val="009E367A"/>
    <w:rsid w:val="009E3A77"/>
    <w:rsid w:val="009E4057"/>
    <w:rsid w:val="009E42CB"/>
    <w:rsid w:val="009E430E"/>
    <w:rsid w:val="009E44B8"/>
    <w:rsid w:val="009E4ECE"/>
    <w:rsid w:val="009E53DE"/>
    <w:rsid w:val="009E5924"/>
    <w:rsid w:val="009E5A42"/>
    <w:rsid w:val="009E5AF7"/>
    <w:rsid w:val="009E6547"/>
    <w:rsid w:val="009E7130"/>
    <w:rsid w:val="009E773A"/>
    <w:rsid w:val="009E7878"/>
    <w:rsid w:val="009E7E6E"/>
    <w:rsid w:val="009E7F57"/>
    <w:rsid w:val="009F03FA"/>
    <w:rsid w:val="009F07B5"/>
    <w:rsid w:val="009F07BB"/>
    <w:rsid w:val="009F092A"/>
    <w:rsid w:val="009F0D83"/>
    <w:rsid w:val="009F0E45"/>
    <w:rsid w:val="009F1400"/>
    <w:rsid w:val="009F1514"/>
    <w:rsid w:val="009F1ACD"/>
    <w:rsid w:val="009F1BF1"/>
    <w:rsid w:val="009F1DA5"/>
    <w:rsid w:val="009F2CC4"/>
    <w:rsid w:val="009F346A"/>
    <w:rsid w:val="009F38B5"/>
    <w:rsid w:val="009F3EFA"/>
    <w:rsid w:val="009F4344"/>
    <w:rsid w:val="009F453C"/>
    <w:rsid w:val="009F45EB"/>
    <w:rsid w:val="009F4636"/>
    <w:rsid w:val="009F46D6"/>
    <w:rsid w:val="009F50BD"/>
    <w:rsid w:val="009F54C0"/>
    <w:rsid w:val="009F55C2"/>
    <w:rsid w:val="009F5636"/>
    <w:rsid w:val="009F5644"/>
    <w:rsid w:val="009F635B"/>
    <w:rsid w:val="009F681C"/>
    <w:rsid w:val="009F6E39"/>
    <w:rsid w:val="009F7506"/>
    <w:rsid w:val="009F7AE8"/>
    <w:rsid w:val="009F7F3D"/>
    <w:rsid w:val="009F7FEC"/>
    <w:rsid w:val="00A00113"/>
    <w:rsid w:val="00A003B7"/>
    <w:rsid w:val="00A00444"/>
    <w:rsid w:val="00A00C25"/>
    <w:rsid w:val="00A015C9"/>
    <w:rsid w:val="00A0174F"/>
    <w:rsid w:val="00A01F9D"/>
    <w:rsid w:val="00A0222B"/>
    <w:rsid w:val="00A02239"/>
    <w:rsid w:val="00A022C1"/>
    <w:rsid w:val="00A02548"/>
    <w:rsid w:val="00A02E6A"/>
    <w:rsid w:val="00A03392"/>
    <w:rsid w:val="00A03919"/>
    <w:rsid w:val="00A04364"/>
    <w:rsid w:val="00A0486A"/>
    <w:rsid w:val="00A04B77"/>
    <w:rsid w:val="00A04C3C"/>
    <w:rsid w:val="00A04E7C"/>
    <w:rsid w:val="00A04F01"/>
    <w:rsid w:val="00A05294"/>
    <w:rsid w:val="00A0563E"/>
    <w:rsid w:val="00A05978"/>
    <w:rsid w:val="00A060EB"/>
    <w:rsid w:val="00A061CE"/>
    <w:rsid w:val="00A063FD"/>
    <w:rsid w:val="00A0677D"/>
    <w:rsid w:val="00A06A4C"/>
    <w:rsid w:val="00A07236"/>
    <w:rsid w:val="00A074C3"/>
    <w:rsid w:val="00A1062B"/>
    <w:rsid w:val="00A10691"/>
    <w:rsid w:val="00A1096A"/>
    <w:rsid w:val="00A10BC0"/>
    <w:rsid w:val="00A10D69"/>
    <w:rsid w:val="00A1117C"/>
    <w:rsid w:val="00A11686"/>
    <w:rsid w:val="00A117E5"/>
    <w:rsid w:val="00A1187A"/>
    <w:rsid w:val="00A12202"/>
    <w:rsid w:val="00A126AC"/>
    <w:rsid w:val="00A12B4B"/>
    <w:rsid w:val="00A12B55"/>
    <w:rsid w:val="00A12E1E"/>
    <w:rsid w:val="00A1302D"/>
    <w:rsid w:val="00A13473"/>
    <w:rsid w:val="00A1374F"/>
    <w:rsid w:val="00A13882"/>
    <w:rsid w:val="00A139B6"/>
    <w:rsid w:val="00A13B3C"/>
    <w:rsid w:val="00A14C71"/>
    <w:rsid w:val="00A14E93"/>
    <w:rsid w:val="00A15149"/>
    <w:rsid w:val="00A15247"/>
    <w:rsid w:val="00A15490"/>
    <w:rsid w:val="00A154FC"/>
    <w:rsid w:val="00A15AD3"/>
    <w:rsid w:val="00A165A4"/>
    <w:rsid w:val="00A166C9"/>
    <w:rsid w:val="00A16887"/>
    <w:rsid w:val="00A16AD4"/>
    <w:rsid w:val="00A1728B"/>
    <w:rsid w:val="00A173DA"/>
    <w:rsid w:val="00A1746F"/>
    <w:rsid w:val="00A17AF0"/>
    <w:rsid w:val="00A204CA"/>
    <w:rsid w:val="00A207C5"/>
    <w:rsid w:val="00A20A35"/>
    <w:rsid w:val="00A20B57"/>
    <w:rsid w:val="00A20CD3"/>
    <w:rsid w:val="00A21257"/>
    <w:rsid w:val="00A213CA"/>
    <w:rsid w:val="00A2161D"/>
    <w:rsid w:val="00A216E3"/>
    <w:rsid w:val="00A2181E"/>
    <w:rsid w:val="00A21CC0"/>
    <w:rsid w:val="00A21D86"/>
    <w:rsid w:val="00A21EE0"/>
    <w:rsid w:val="00A21EE7"/>
    <w:rsid w:val="00A223B9"/>
    <w:rsid w:val="00A228C4"/>
    <w:rsid w:val="00A229E0"/>
    <w:rsid w:val="00A22BCF"/>
    <w:rsid w:val="00A22C58"/>
    <w:rsid w:val="00A23126"/>
    <w:rsid w:val="00A23494"/>
    <w:rsid w:val="00A23799"/>
    <w:rsid w:val="00A23894"/>
    <w:rsid w:val="00A23AE5"/>
    <w:rsid w:val="00A23E9B"/>
    <w:rsid w:val="00A243E5"/>
    <w:rsid w:val="00A247DF"/>
    <w:rsid w:val="00A247E2"/>
    <w:rsid w:val="00A24ACB"/>
    <w:rsid w:val="00A24C71"/>
    <w:rsid w:val="00A251B9"/>
    <w:rsid w:val="00A25302"/>
    <w:rsid w:val="00A25610"/>
    <w:rsid w:val="00A25F5C"/>
    <w:rsid w:val="00A262CA"/>
    <w:rsid w:val="00A26586"/>
    <w:rsid w:val="00A26C47"/>
    <w:rsid w:val="00A26DB8"/>
    <w:rsid w:val="00A26F01"/>
    <w:rsid w:val="00A270B7"/>
    <w:rsid w:val="00A2730E"/>
    <w:rsid w:val="00A278FE"/>
    <w:rsid w:val="00A279F1"/>
    <w:rsid w:val="00A30CCF"/>
    <w:rsid w:val="00A30DC0"/>
    <w:rsid w:val="00A30E03"/>
    <w:rsid w:val="00A31AD6"/>
    <w:rsid w:val="00A323DB"/>
    <w:rsid w:val="00A32663"/>
    <w:rsid w:val="00A32D88"/>
    <w:rsid w:val="00A33155"/>
    <w:rsid w:val="00A33617"/>
    <w:rsid w:val="00A33866"/>
    <w:rsid w:val="00A34491"/>
    <w:rsid w:val="00A3483F"/>
    <w:rsid w:val="00A35966"/>
    <w:rsid w:val="00A359AD"/>
    <w:rsid w:val="00A35F36"/>
    <w:rsid w:val="00A360DC"/>
    <w:rsid w:val="00A362E4"/>
    <w:rsid w:val="00A367FD"/>
    <w:rsid w:val="00A36897"/>
    <w:rsid w:val="00A36A8E"/>
    <w:rsid w:val="00A36E55"/>
    <w:rsid w:val="00A374AA"/>
    <w:rsid w:val="00A378E8"/>
    <w:rsid w:val="00A37F9B"/>
    <w:rsid w:val="00A402B1"/>
    <w:rsid w:val="00A4039F"/>
    <w:rsid w:val="00A409E7"/>
    <w:rsid w:val="00A410B1"/>
    <w:rsid w:val="00A41326"/>
    <w:rsid w:val="00A419FC"/>
    <w:rsid w:val="00A41BF5"/>
    <w:rsid w:val="00A41CA9"/>
    <w:rsid w:val="00A41CF6"/>
    <w:rsid w:val="00A41DD5"/>
    <w:rsid w:val="00A41E49"/>
    <w:rsid w:val="00A41EA1"/>
    <w:rsid w:val="00A42375"/>
    <w:rsid w:val="00A42559"/>
    <w:rsid w:val="00A4257A"/>
    <w:rsid w:val="00A4298A"/>
    <w:rsid w:val="00A42F2F"/>
    <w:rsid w:val="00A4308C"/>
    <w:rsid w:val="00A43272"/>
    <w:rsid w:val="00A43346"/>
    <w:rsid w:val="00A435EE"/>
    <w:rsid w:val="00A4368F"/>
    <w:rsid w:val="00A43AF2"/>
    <w:rsid w:val="00A43B98"/>
    <w:rsid w:val="00A43D6B"/>
    <w:rsid w:val="00A447B0"/>
    <w:rsid w:val="00A449A5"/>
    <w:rsid w:val="00A44BC1"/>
    <w:rsid w:val="00A44D2A"/>
    <w:rsid w:val="00A44D45"/>
    <w:rsid w:val="00A45699"/>
    <w:rsid w:val="00A4585F"/>
    <w:rsid w:val="00A45872"/>
    <w:rsid w:val="00A45C84"/>
    <w:rsid w:val="00A45ED1"/>
    <w:rsid w:val="00A45F4F"/>
    <w:rsid w:val="00A46BA6"/>
    <w:rsid w:val="00A4756C"/>
    <w:rsid w:val="00A4766B"/>
    <w:rsid w:val="00A501FB"/>
    <w:rsid w:val="00A50558"/>
    <w:rsid w:val="00A5085C"/>
    <w:rsid w:val="00A508D2"/>
    <w:rsid w:val="00A50933"/>
    <w:rsid w:val="00A5096A"/>
    <w:rsid w:val="00A50EE2"/>
    <w:rsid w:val="00A5108B"/>
    <w:rsid w:val="00A511E4"/>
    <w:rsid w:val="00A512BC"/>
    <w:rsid w:val="00A51E5B"/>
    <w:rsid w:val="00A51F84"/>
    <w:rsid w:val="00A523CD"/>
    <w:rsid w:val="00A5289D"/>
    <w:rsid w:val="00A52A02"/>
    <w:rsid w:val="00A52B95"/>
    <w:rsid w:val="00A52C94"/>
    <w:rsid w:val="00A53483"/>
    <w:rsid w:val="00A53782"/>
    <w:rsid w:val="00A542BA"/>
    <w:rsid w:val="00A54818"/>
    <w:rsid w:val="00A548F7"/>
    <w:rsid w:val="00A54979"/>
    <w:rsid w:val="00A55477"/>
    <w:rsid w:val="00A55A13"/>
    <w:rsid w:val="00A55A9E"/>
    <w:rsid w:val="00A55DEE"/>
    <w:rsid w:val="00A55E81"/>
    <w:rsid w:val="00A56226"/>
    <w:rsid w:val="00A56274"/>
    <w:rsid w:val="00A56686"/>
    <w:rsid w:val="00A567CA"/>
    <w:rsid w:val="00A56858"/>
    <w:rsid w:val="00A570B7"/>
    <w:rsid w:val="00A5775D"/>
    <w:rsid w:val="00A577B7"/>
    <w:rsid w:val="00A57C4C"/>
    <w:rsid w:val="00A57C90"/>
    <w:rsid w:val="00A60067"/>
    <w:rsid w:val="00A600BD"/>
    <w:rsid w:val="00A61007"/>
    <w:rsid w:val="00A6104A"/>
    <w:rsid w:val="00A61825"/>
    <w:rsid w:val="00A61AC5"/>
    <w:rsid w:val="00A61C56"/>
    <w:rsid w:val="00A628BB"/>
    <w:rsid w:val="00A62F9F"/>
    <w:rsid w:val="00A63941"/>
    <w:rsid w:val="00A639BD"/>
    <w:rsid w:val="00A63DFB"/>
    <w:rsid w:val="00A6446F"/>
    <w:rsid w:val="00A64933"/>
    <w:rsid w:val="00A6499C"/>
    <w:rsid w:val="00A64C74"/>
    <w:rsid w:val="00A655CE"/>
    <w:rsid w:val="00A6577C"/>
    <w:rsid w:val="00A65981"/>
    <w:rsid w:val="00A65BA3"/>
    <w:rsid w:val="00A660C3"/>
    <w:rsid w:val="00A6611E"/>
    <w:rsid w:val="00A6617F"/>
    <w:rsid w:val="00A663BB"/>
    <w:rsid w:val="00A668A1"/>
    <w:rsid w:val="00A67BB6"/>
    <w:rsid w:val="00A67F91"/>
    <w:rsid w:val="00A70349"/>
    <w:rsid w:val="00A70946"/>
    <w:rsid w:val="00A70A86"/>
    <w:rsid w:val="00A70BB8"/>
    <w:rsid w:val="00A710C2"/>
    <w:rsid w:val="00A7148F"/>
    <w:rsid w:val="00A714B6"/>
    <w:rsid w:val="00A71946"/>
    <w:rsid w:val="00A71BCE"/>
    <w:rsid w:val="00A723DD"/>
    <w:rsid w:val="00A72FA2"/>
    <w:rsid w:val="00A72FCF"/>
    <w:rsid w:val="00A72FF1"/>
    <w:rsid w:val="00A73433"/>
    <w:rsid w:val="00A73476"/>
    <w:rsid w:val="00A73988"/>
    <w:rsid w:val="00A73B4C"/>
    <w:rsid w:val="00A743B5"/>
    <w:rsid w:val="00A7446E"/>
    <w:rsid w:val="00A747A8"/>
    <w:rsid w:val="00A747B9"/>
    <w:rsid w:val="00A74FEC"/>
    <w:rsid w:val="00A7507C"/>
    <w:rsid w:val="00A751D8"/>
    <w:rsid w:val="00A758CF"/>
    <w:rsid w:val="00A75A88"/>
    <w:rsid w:val="00A75B69"/>
    <w:rsid w:val="00A763A8"/>
    <w:rsid w:val="00A76842"/>
    <w:rsid w:val="00A769EC"/>
    <w:rsid w:val="00A76B05"/>
    <w:rsid w:val="00A76D73"/>
    <w:rsid w:val="00A77220"/>
    <w:rsid w:val="00A77782"/>
    <w:rsid w:val="00A7794A"/>
    <w:rsid w:val="00A77AC7"/>
    <w:rsid w:val="00A77D1E"/>
    <w:rsid w:val="00A8135F"/>
    <w:rsid w:val="00A81E08"/>
    <w:rsid w:val="00A81EB8"/>
    <w:rsid w:val="00A820A5"/>
    <w:rsid w:val="00A825F7"/>
    <w:rsid w:val="00A826D9"/>
    <w:rsid w:val="00A827E9"/>
    <w:rsid w:val="00A82D02"/>
    <w:rsid w:val="00A830B1"/>
    <w:rsid w:val="00A8339C"/>
    <w:rsid w:val="00A83523"/>
    <w:rsid w:val="00A8390C"/>
    <w:rsid w:val="00A839E4"/>
    <w:rsid w:val="00A83CD1"/>
    <w:rsid w:val="00A83D40"/>
    <w:rsid w:val="00A8434A"/>
    <w:rsid w:val="00A84518"/>
    <w:rsid w:val="00A84D6A"/>
    <w:rsid w:val="00A851AB"/>
    <w:rsid w:val="00A85A5E"/>
    <w:rsid w:val="00A86195"/>
    <w:rsid w:val="00A8661E"/>
    <w:rsid w:val="00A867EF"/>
    <w:rsid w:val="00A86927"/>
    <w:rsid w:val="00A86EB7"/>
    <w:rsid w:val="00A86FFE"/>
    <w:rsid w:val="00A872CB"/>
    <w:rsid w:val="00A87D8A"/>
    <w:rsid w:val="00A87DF7"/>
    <w:rsid w:val="00A87EB6"/>
    <w:rsid w:val="00A87FBD"/>
    <w:rsid w:val="00A90430"/>
    <w:rsid w:val="00A90587"/>
    <w:rsid w:val="00A9085D"/>
    <w:rsid w:val="00A90C15"/>
    <w:rsid w:val="00A90CDC"/>
    <w:rsid w:val="00A90DC1"/>
    <w:rsid w:val="00A90ED3"/>
    <w:rsid w:val="00A9130C"/>
    <w:rsid w:val="00A91350"/>
    <w:rsid w:val="00A92511"/>
    <w:rsid w:val="00A92D9E"/>
    <w:rsid w:val="00A92F2E"/>
    <w:rsid w:val="00A9329C"/>
    <w:rsid w:val="00A936A2"/>
    <w:rsid w:val="00A93BAE"/>
    <w:rsid w:val="00A93DCA"/>
    <w:rsid w:val="00A93E7C"/>
    <w:rsid w:val="00A94290"/>
    <w:rsid w:val="00A942DD"/>
    <w:rsid w:val="00A94E1A"/>
    <w:rsid w:val="00A94ED3"/>
    <w:rsid w:val="00A956FF"/>
    <w:rsid w:val="00A95A21"/>
    <w:rsid w:val="00A962BE"/>
    <w:rsid w:val="00A96715"/>
    <w:rsid w:val="00A96BAE"/>
    <w:rsid w:val="00A97014"/>
    <w:rsid w:val="00A97402"/>
    <w:rsid w:val="00A974C6"/>
    <w:rsid w:val="00A97589"/>
    <w:rsid w:val="00A97795"/>
    <w:rsid w:val="00A978B0"/>
    <w:rsid w:val="00A978DF"/>
    <w:rsid w:val="00A979CD"/>
    <w:rsid w:val="00A97BF0"/>
    <w:rsid w:val="00A97C6E"/>
    <w:rsid w:val="00AA04CB"/>
    <w:rsid w:val="00AA05E8"/>
    <w:rsid w:val="00AA0970"/>
    <w:rsid w:val="00AA0B20"/>
    <w:rsid w:val="00AA0D78"/>
    <w:rsid w:val="00AA0EEB"/>
    <w:rsid w:val="00AA0F36"/>
    <w:rsid w:val="00AA115E"/>
    <w:rsid w:val="00AA12E1"/>
    <w:rsid w:val="00AA146E"/>
    <w:rsid w:val="00AA1645"/>
    <w:rsid w:val="00AA1A06"/>
    <w:rsid w:val="00AA1A52"/>
    <w:rsid w:val="00AA2A01"/>
    <w:rsid w:val="00AA2B7D"/>
    <w:rsid w:val="00AA2F10"/>
    <w:rsid w:val="00AA2F56"/>
    <w:rsid w:val="00AA33B7"/>
    <w:rsid w:val="00AA3872"/>
    <w:rsid w:val="00AA390C"/>
    <w:rsid w:val="00AA3DE9"/>
    <w:rsid w:val="00AA4161"/>
    <w:rsid w:val="00AA4FD7"/>
    <w:rsid w:val="00AA58B4"/>
    <w:rsid w:val="00AA58FA"/>
    <w:rsid w:val="00AA5906"/>
    <w:rsid w:val="00AA675C"/>
    <w:rsid w:val="00AA6DB0"/>
    <w:rsid w:val="00AA701F"/>
    <w:rsid w:val="00AA725F"/>
    <w:rsid w:val="00AA72AC"/>
    <w:rsid w:val="00AA781F"/>
    <w:rsid w:val="00AB0879"/>
    <w:rsid w:val="00AB0C15"/>
    <w:rsid w:val="00AB0CE8"/>
    <w:rsid w:val="00AB0E20"/>
    <w:rsid w:val="00AB0EAB"/>
    <w:rsid w:val="00AB16D1"/>
    <w:rsid w:val="00AB17C4"/>
    <w:rsid w:val="00AB1846"/>
    <w:rsid w:val="00AB1B6F"/>
    <w:rsid w:val="00AB1ED4"/>
    <w:rsid w:val="00AB1F80"/>
    <w:rsid w:val="00AB2083"/>
    <w:rsid w:val="00AB22C0"/>
    <w:rsid w:val="00AB259F"/>
    <w:rsid w:val="00AB2A0D"/>
    <w:rsid w:val="00AB2A15"/>
    <w:rsid w:val="00AB2D91"/>
    <w:rsid w:val="00AB310A"/>
    <w:rsid w:val="00AB315F"/>
    <w:rsid w:val="00AB3491"/>
    <w:rsid w:val="00AB3541"/>
    <w:rsid w:val="00AB3DFF"/>
    <w:rsid w:val="00AB3FAC"/>
    <w:rsid w:val="00AB4541"/>
    <w:rsid w:val="00AB46F8"/>
    <w:rsid w:val="00AB47B4"/>
    <w:rsid w:val="00AB4FBF"/>
    <w:rsid w:val="00AB54E6"/>
    <w:rsid w:val="00AB5AD0"/>
    <w:rsid w:val="00AB5B70"/>
    <w:rsid w:val="00AB5C36"/>
    <w:rsid w:val="00AB5D1B"/>
    <w:rsid w:val="00AB5F3D"/>
    <w:rsid w:val="00AB5FEA"/>
    <w:rsid w:val="00AB6DE9"/>
    <w:rsid w:val="00AC0185"/>
    <w:rsid w:val="00AC03FA"/>
    <w:rsid w:val="00AC0481"/>
    <w:rsid w:val="00AC0634"/>
    <w:rsid w:val="00AC0F96"/>
    <w:rsid w:val="00AC0F9E"/>
    <w:rsid w:val="00AC1026"/>
    <w:rsid w:val="00AC118F"/>
    <w:rsid w:val="00AC1239"/>
    <w:rsid w:val="00AC12EE"/>
    <w:rsid w:val="00AC13D1"/>
    <w:rsid w:val="00AC1A35"/>
    <w:rsid w:val="00AC1FB8"/>
    <w:rsid w:val="00AC2078"/>
    <w:rsid w:val="00AC2343"/>
    <w:rsid w:val="00AC235F"/>
    <w:rsid w:val="00AC2592"/>
    <w:rsid w:val="00AC2DAD"/>
    <w:rsid w:val="00AC305C"/>
    <w:rsid w:val="00AC31D9"/>
    <w:rsid w:val="00AC3879"/>
    <w:rsid w:val="00AC3CC4"/>
    <w:rsid w:val="00AC3E3C"/>
    <w:rsid w:val="00AC40AD"/>
    <w:rsid w:val="00AC4A72"/>
    <w:rsid w:val="00AC52E9"/>
    <w:rsid w:val="00AC5481"/>
    <w:rsid w:val="00AC5603"/>
    <w:rsid w:val="00AC56D7"/>
    <w:rsid w:val="00AC57B1"/>
    <w:rsid w:val="00AC57D5"/>
    <w:rsid w:val="00AC5D66"/>
    <w:rsid w:val="00AC5E67"/>
    <w:rsid w:val="00AC6742"/>
    <w:rsid w:val="00AC6D82"/>
    <w:rsid w:val="00AC6FBC"/>
    <w:rsid w:val="00AC721E"/>
    <w:rsid w:val="00AC72B4"/>
    <w:rsid w:val="00AC7351"/>
    <w:rsid w:val="00AC784D"/>
    <w:rsid w:val="00AC7A43"/>
    <w:rsid w:val="00AC7C17"/>
    <w:rsid w:val="00AC7E46"/>
    <w:rsid w:val="00AC7E54"/>
    <w:rsid w:val="00AC7F5B"/>
    <w:rsid w:val="00AD0333"/>
    <w:rsid w:val="00AD03CF"/>
    <w:rsid w:val="00AD0834"/>
    <w:rsid w:val="00AD0C00"/>
    <w:rsid w:val="00AD0D3D"/>
    <w:rsid w:val="00AD1BE5"/>
    <w:rsid w:val="00AD2613"/>
    <w:rsid w:val="00AD26B9"/>
    <w:rsid w:val="00AD284C"/>
    <w:rsid w:val="00AD2A45"/>
    <w:rsid w:val="00AD2F1E"/>
    <w:rsid w:val="00AD32A8"/>
    <w:rsid w:val="00AD3774"/>
    <w:rsid w:val="00AD3930"/>
    <w:rsid w:val="00AD3C7B"/>
    <w:rsid w:val="00AD3CCF"/>
    <w:rsid w:val="00AD3D88"/>
    <w:rsid w:val="00AD441D"/>
    <w:rsid w:val="00AD5BDA"/>
    <w:rsid w:val="00AD5DFA"/>
    <w:rsid w:val="00AD68B3"/>
    <w:rsid w:val="00AD695B"/>
    <w:rsid w:val="00AD6A1B"/>
    <w:rsid w:val="00AD6E1D"/>
    <w:rsid w:val="00AD6E4E"/>
    <w:rsid w:val="00AD6F1D"/>
    <w:rsid w:val="00AD756D"/>
    <w:rsid w:val="00AD7602"/>
    <w:rsid w:val="00AD7F8E"/>
    <w:rsid w:val="00AE0017"/>
    <w:rsid w:val="00AE0771"/>
    <w:rsid w:val="00AE0A80"/>
    <w:rsid w:val="00AE0AF5"/>
    <w:rsid w:val="00AE14F1"/>
    <w:rsid w:val="00AE15A2"/>
    <w:rsid w:val="00AE15C7"/>
    <w:rsid w:val="00AE15D9"/>
    <w:rsid w:val="00AE184A"/>
    <w:rsid w:val="00AE1E15"/>
    <w:rsid w:val="00AE2030"/>
    <w:rsid w:val="00AE21EE"/>
    <w:rsid w:val="00AE23E5"/>
    <w:rsid w:val="00AE2989"/>
    <w:rsid w:val="00AE2BD1"/>
    <w:rsid w:val="00AE2DB7"/>
    <w:rsid w:val="00AE30A0"/>
    <w:rsid w:val="00AE30C9"/>
    <w:rsid w:val="00AE35D6"/>
    <w:rsid w:val="00AE3921"/>
    <w:rsid w:val="00AE3970"/>
    <w:rsid w:val="00AE3B00"/>
    <w:rsid w:val="00AE3D08"/>
    <w:rsid w:val="00AE3D1B"/>
    <w:rsid w:val="00AE3E81"/>
    <w:rsid w:val="00AE3FF1"/>
    <w:rsid w:val="00AE42EA"/>
    <w:rsid w:val="00AE5953"/>
    <w:rsid w:val="00AE5DA0"/>
    <w:rsid w:val="00AE68B3"/>
    <w:rsid w:val="00AE6EFC"/>
    <w:rsid w:val="00AE73DA"/>
    <w:rsid w:val="00AE7F48"/>
    <w:rsid w:val="00AF001C"/>
    <w:rsid w:val="00AF0529"/>
    <w:rsid w:val="00AF0FCD"/>
    <w:rsid w:val="00AF13E5"/>
    <w:rsid w:val="00AF155B"/>
    <w:rsid w:val="00AF1E49"/>
    <w:rsid w:val="00AF1E5B"/>
    <w:rsid w:val="00AF2466"/>
    <w:rsid w:val="00AF28EA"/>
    <w:rsid w:val="00AF2B18"/>
    <w:rsid w:val="00AF2D09"/>
    <w:rsid w:val="00AF3163"/>
    <w:rsid w:val="00AF33A0"/>
    <w:rsid w:val="00AF36D0"/>
    <w:rsid w:val="00AF3914"/>
    <w:rsid w:val="00AF3C12"/>
    <w:rsid w:val="00AF412F"/>
    <w:rsid w:val="00AF433E"/>
    <w:rsid w:val="00AF4545"/>
    <w:rsid w:val="00AF4556"/>
    <w:rsid w:val="00AF4E58"/>
    <w:rsid w:val="00AF543E"/>
    <w:rsid w:val="00AF5D9A"/>
    <w:rsid w:val="00AF5E9F"/>
    <w:rsid w:val="00AF60E0"/>
    <w:rsid w:val="00AF67AB"/>
    <w:rsid w:val="00AF6DD6"/>
    <w:rsid w:val="00AF70A5"/>
    <w:rsid w:val="00AF75D0"/>
    <w:rsid w:val="00AF79FC"/>
    <w:rsid w:val="00AF7FAD"/>
    <w:rsid w:val="00B001C5"/>
    <w:rsid w:val="00B0063C"/>
    <w:rsid w:val="00B00703"/>
    <w:rsid w:val="00B00868"/>
    <w:rsid w:val="00B00BB9"/>
    <w:rsid w:val="00B00EC2"/>
    <w:rsid w:val="00B012C1"/>
    <w:rsid w:val="00B0191C"/>
    <w:rsid w:val="00B024FB"/>
    <w:rsid w:val="00B0275E"/>
    <w:rsid w:val="00B027C8"/>
    <w:rsid w:val="00B027CE"/>
    <w:rsid w:val="00B02A17"/>
    <w:rsid w:val="00B02CA6"/>
    <w:rsid w:val="00B02F2B"/>
    <w:rsid w:val="00B03663"/>
    <w:rsid w:val="00B040CD"/>
    <w:rsid w:val="00B04209"/>
    <w:rsid w:val="00B04213"/>
    <w:rsid w:val="00B0511D"/>
    <w:rsid w:val="00B057A7"/>
    <w:rsid w:val="00B05BF6"/>
    <w:rsid w:val="00B05C0D"/>
    <w:rsid w:val="00B06288"/>
    <w:rsid w:val="00B0629B"/>
    <w:rsid w:val="00B064AD"/>
    <w:rsid w:val="00B067A4"/>
    <w:rsid w:val="00B067E6"/>
    <w:rsid w:val="00B067EC"/>
    <w:rsid w:val="00B06E0D"/>
    <w:rsid w:val="00B06E94"/>
    <w:rsid w:val="00B072E8"/>
    <w:rsid w:val="00B074D0"/>
    <w:rsid w:val="00B107D8"/>
    <w:rsid w:val="00B10C51"/>
    <w:rsid w:val="00B110CC"/>
    <w:rsid w:val="00B1154C"/>
    <w:rsid w:val="00B11AF6"/>
    <w:rsid w:val="00B11F80"/>
    <w:rsid w:val="00B1227C"/>
    <w:rsid w:val="00B12648"/>
    <w:rsid w:val="00B1273E"/>
    <w:rsid w:val="00B12B39"/>
    <w:rsid w:val="00B12B45"/>
    <w:rsid w:val="00B12C03"/>
    <w:rsid w:val="00B13012"/>
    <w:rsid w:val="00B13587"/>
    <w:rsid w:val="00B137DD"/>
    <w:rsid w:val="00B138E2"/>
    <w:rsid w:val="00B13AAA"/>
    <w:rsid w:val="00B13D4E"/>
    <w:rsid w:val="00B13E6E"/>
    <w:rsid w:val="00B150E1"/>
    <w:rsid w:val="00B150F5"/>
    <w:rsid w:val="00B15231"/>
    <w:rsid w:val="00B15BEC"/>
    <w:rsid w:val="00B15E6A"/>
    <w:rsid w:val="00B166AB"/>
    <w:rsid w:val="00B167F2"/>
    <w:rsid w:val="00B169DE"/>
    <w:rsid w:val="00B16CB8"/>
    <w:rsid w:val="00B16FAA"/>
    <w:rsid w:val="00B171CF"/>
    <w:rsid w:val="00B175F0"/>
    <w:rsid w:val="00B17AC1"/>
    <w:rsid w:val="00B17D72"/>
    <w:rsid w:val="00B20683"/>
    <w:rsid w:val="00B20C80"/>
    <w:rsid w:val="00B20D13"/>
    <w:rsid w:val="00B2102B"/>
    <w:rsid w:val="00B218D4"/>
    <w:rsid w:val="00B21E45"/>
    <w:rsid w:val="00B21F6F"/>
    <w:rsid w:val="00B229B8"/>
    <w:rsid w:val="00B22A24"/>
    <w:rsid w:val="00B2307D"/>
    <w:rsid w:val="00B23FDC"/>
    <w:rsid w:val="00B2409C"/>
    <w:rsid w:val="00B24105"/>
    <w:rsid w:val="00B2419F"/>
    <w:rsid w:val="00B24486"/>
    <w:rsid w:val="00B24712"/>
    <w:rsid w:val="00B24D75"/>
    <w:rsid w:val="00B24D9A"/>
    <w:rsid w:val="00B24F2C"/>
    <w:rsid w:val="00B2508E"/>
    <w:rsid w:val="00B25C77"/>
    <w:rsid w:val="00B25E19"/>
    <w:rsid w:val="00B25EC5"/>
    <w:rsid w:val="00B26101"/>
    <w:rsid w:val="00B262C2"/>
    <w:rsid w:val="00B2642C"/>
    <w:rsid w:val="00B276D6"/>
    <w:rsid w:val="00B27BCE"/>
    <w:rsid w:val="00B27D23"/>
    <w:rsid w:val="00B30586"/>
    <w:rsid w:val="00B305B5"/>
    <w:rsid w:val="00B305FF"/>
    <w:rsid w:val="00B30D64"/>
    <w:rsid w:val="00B3127D"/>
    <w:rsid w:val="00B3138D"/>
    <w:rsid w:val="00B31E8A"/>
    <w:rsid w:val="00B3231E"/>
    <w:rsid w:val="00B325FA"/>
    <w:rsid w:val="00B32806"/>
    <w:rsid w:val="00B329C5"/>
    <w:rsid w:val="00B32C94"/>
    <w:rsid w:val="00B32D0C"/>
    <w:rsid w:val="00B32F28"/>
    <w:rsid w:val="00B33614"/>
    <w:rsid w:val="00B33748"/>
    <w:rsid w:val="00B338F6"/>
    <w:rsid w:val="00B33980"/>
    <w:rsid w:val="00B339BD"/>
    <w:rsid w:val="00B339E9"/>
    <w:rsid w:val="00B34907"/>
    <w:rsid w:val="00B34BD4"/>
    <w:rsid w:val="00B350FE"/>
    <w:rsid w:val="00B35441"/>
    <w:rsid w:val="00B35498"/>
    <w:rsid w:val="00B3564A"/>
    <w:rsid w:val="00B35685"/>
    <w:rsid w:val="00B35B5D"/>
    <w:rsid w:val="00B36399"/>
    <w:rsid w:val="00B369F4"/>
    <w:rsid w:val="00B36B93"/>
    <w:rsid w:val="00B36FC0"/>
    <w:rsid w:val="00B37067"/>
    <w:rsid w:val="00B3754C"/>
    <w:rsid w:val="00B37722"/>
    <w:rsid w:val="00B378CA"/>
    <w:rsid w:val="00B40007"/>
    <w:rsid w:val="00B40129"/>
    <w:rsid w:val="00B4088D"/>
    <w:rsid w:val="00B40BEE"/>
    <w:rsid w:val="00B40C7D"/>
    <w:rsid w:val="00B41644"/>
    <w:rsid w:val="00B422A9"/>
    <w:rsid w:val="00B422E1"/>
    <w:rsid w:val="00B4251B"/>
    <w:rsid w:val="00B4269A"/>
    <w:rsid w:val="00B42726"/>
    <w:rsid w:val="00B42CFF"/>
    <w:rsid w:val="00B42DBA"/>
    <w:rsid w:val="00B43793"/>
    <w:rsid w:val="00B43BBA"/>
    <w:rsid w:val="00B44402"/>
    <w:rsid w:val="00B44695"/>
    <w:rsid w:val="00B447CD"/>
    <w:rsid w:val="00B449E0"/>
    <w:rsid w:val="00B44D0B"/>
    <w:rsid w:val="00B45443"/>
    <w:rsid w:val="00B45471"/>
    <w:rsid w:val="00B459E9"/>
    <w:rsid w:val="00B462BE"/>
    <w:rsid w:val="00B4699C"/>
    <w:rsid w:val="00B46A1B"/>
    <w:rsid w:val="00B46DDD"/>
    <w:rsid w:val="00B4782E"/>
    <w:rsid w:val="00B479F3"/>
    <w:rsid w:val="00B47AE7"/>
    <w:rsid w:val="00B50514"/>
    <w:rsid w:val="00B50B72"/>
    <w:rsid w:val="00B50D42"/>
    <w:rsid w:val="00B510F4"/>
    <w:rsid w:val="00B512D3"/>
    <w:rsid w:val="00B513A2"/>
    <w:rsid w:val="00B51531"/>
    <w:rsid w:val="00B51A8C"/>
    <w:rsid w:val="00B5252D"/>
    <w:rsid w:val="00B529AD"/>
    <w:rsid w:val="00B52A3F"/>
    <w:rsid w:val="00B5301C"/>
    <w:rsid w:val="00B53075"/>
    <w:rsid w:val="00B531FF"/>
    <w:rsid w:val="00B535D1"/>
    <w:rsid w:val="00B53BAC"/>
    <w:rsid w:val="00B549CC"/>
    <w:rsid w:val="00B54DC8"/>
    <w:rsid w:val="00B558B6"/>
    <w:rsid w:val="00B55D4E"/>
    <w:rsid w:val="00B55FF3"/>
    <w:rsid w:val="00B5630D"/>
    <w:rsid w:val="00B564A2"/>
    <w:rsid w:val="00B567FA"/>
    <w:rsid w:val="00B56D5E"/>
    <w:rsid w:val="00B5715A"/>
    <w:rsid w:val="00B57396"/>
    <w:rsid w:val="00B573DC"/>
    <w:rsid w:val="00B577C7"/>
    <w:rsid w:val="00B57A57"/>
    <w:rsid w:val="00B57B1F"/>
    <w:rsid w:val="00B57BE6"/>
    <w:rsid w:val="00B60111"/>
    <w:rsid w:val="00B6019B"/>
    <w:rsid w:val="00B603B5"/>
    <w:rsid w:val="00B6081E"/>
    <w:rsid w:val="00B613A3"/>
    <w:rsid w:val="00B614B2"/>
    <w:rsid w:val="00B615BB"/>
    <w:rsid w:val="00B61BA6"/>
    <w:rsid w:val="00B62831"/>
    <w:rsid w:val="00B63866"/>
    <w:rsid w:val="00B639B3"/>
    <w:rsid w:val="00B64279"/>
    <w:rsid w:val="00B643F0"/>
    <w:rsid w:val="00B6477D"/>
    <w:rsid w:val="00B6492E"/>
    <w:rsid w:val="00B64BA1"/>
    <w:rsid w:val="00B64F13"/>
    <w:rsid w:val="00B65BFE"/>
    <w:rsid w:val="00B65EBC"/>
    <w:rsid w:val="00B670B6"/>
    <w:rsid w:val="00B67483"/>
    <w:rsid w:val="00B67856"/>
    <w:rsid w:val="00B67EF7"/>
    <w:rsid w:val="00B70472"/>
    <w:rsid w:val="00B704A8"/>
    <w:rsid w:val="00B70E86"/>
    <w:rsid w:val="00B71373"/>
    <w:rsid w:val="00B714C7"/>
    <w:rsid w:val="00B71517"/>
    <w:rsid w:val="00B71830"/>
    <w:rsid w:val="00B71B34"/>
    <w:rsid w:val="00B7215F"/>
    <w:rsid w:val="00B72A81"/>
    <w:rsid w:val="00B72B73"/>
    <w:rsid w:val="00B73221"/>
    <w:rsid w:val="00B73E79"/>
    <w:rsid w:val="00B73F65"/>
    <w:rsid w:val="00B7422C"/>
    <w:rsid w:val="00B7425A"/>
    <w:rsid w:val="00B74A91"/>
    <w:rsid w:val="00B74F07"/>
    <w:rsid w:val="00B7576C"/>
    <w:rsid w:val="00B75AD6"/>
    <w:rsid w:val="00B75D1B"/>
    <w:rsid w:val="00B75E98"/>
    <w:rsid w:val="00B76858"/>
    <w:rsid w:val="00B76C88"/>
    <w:rsid w:val="00B77CD3"/>
    <w:rsid w:val="00B8055D"/>
    <w:rsid w:val="00B808D7"/>
    <w:rsid w:val="00B80D49"/>
    <w:rsid w:val="00B810CA"/>
    <w:rsid w:val="00B811EF"/>
    <w:rsid w:val="00B81727"/>
    <w:rsid w:val="00B8183A"/>
    <w:rsid w:val="00B81F44"/>
    <w:rsid w:val="00B81F48"/>
    <w:rsid w:val="00B8242B"/>
    <w:rsid w:val="00B82DDB"/>
    <w:rsid w:val="00B8304F"/>
    <w:rsid w:val="00B832B4"/>
    <w:rsid w:val="00B83488"/>
    <w:rsid w:val="00B83864"/>
    <w:rsid w:val="00B838B1"/>
    <w:rsid w:val="00B83A7D"/>
    <w:rsid w:val="00B83DCB"/>
    <w:rsid w:val="00B83DF7"/>
    <w:rsid w:val="00B84074"/>
    <w:rsid w:val="00B84167"/>
    <w:rsid w:val="00B842B2"/>
    <w:rsid w:val="00B8430F"/>
    <w:rsid w:val="00B8449D"/>
    <w:rsid w:val="00B8463E"/>
    <w:rsid w:val="00B84944"/>
    <w:rsid w:val="00B84B39"/>
    <w:rsid w:val="00B853DE"/>
    <w:rsid w:val="00B85AD3"/>
    <w:rsid w:val="00B85B93"/>
    <w:rsid w:val="00B85CB8"/>
    <w:rsid w:val="00B85D25"/>
    <w:rsid w:val="00B863D3"/>
    <w:rsid w:val="00B86957"/>
    <w:rsid w:val="00B86B07"/>
    <w:rsid w:val="00B8778B"/>
    <w:rsid w:val="00B878A6"/>
    <w:rsid w:val="00B878C2"/>
    <w:rsid w:val="00B878EB"/>
    <w:rsid w:val="00B90379"/>
    <w:rsid w:val="00B90566"/>
    <w:rsid w:val="00B909F3"/>
    <w:rsid w:val="00B90F02"/>
    <w:rsid w:val="00B91611"/>
    <w:rsid w:val="00B92126"/>
    <w:rsid w:val="00B922F8"/>
    <w:rsid w:val="00B93284"/>
    <w:rsid w:val="00B934EA"/>
    <w:rsid w:val="00B94C04"/>
    <w:rsid w:val="00B95088"/>
    <w:rsid w:val="00B9697D"/>
    <w:rsid w:val="00B96D82"/>
    <w:rsid w:val="00B973D7"/>
    <w:rsid w:val="00BA09A3"/>
    <w:rsid w:val="00BA1195"/>
    <w:rsid w:val="00BA1F05"/>
    <w:rsid w:val="00BA1F11"/>
    <w:rsid w:val="00BA1F8D"/>
    <w:rsid w:val="00BA2458"/>
    <w:rsid w:val="00BA278E"/>
    <w:rsid w:val="00BA27E2"/>
    <w:rsid w:val="00BA29E9"/>
    <w:rsid w:val="00BA2C76"/>
    <w:rsid w:val="00BA2D20"/>
    <w:rsid w:val="00BA32D6"/>
    <w:rsid w:val="00BA3819"/>
    <w:rsid w:val="00BA40F9"/>
    <w:rsid w:val="00BA429E"/>
    <w:rsid w:val="00BA4330"/>
    <w:rsid w:val="00BA4621"/>
    <w:rsid w:val="00BA4D70"/>
    <w:rsid w:val="00BA516F"/>
    <w:rsid w:val="00BA5884"/>
    <w:rsid w:val="00BA599C"/>
    <w:rsid w:val="00BA673F"/>
    <w:rsid w:val="00BA677C"/>
    <w:rsid w:val="00BA6BD2"/>
    <w:rsid w:val="00BA6CEE"/>
    <w:rsid w:val="00BA6FE5"/>
    <w:rsid w:val="00BA732A"/>
    <w:rsid w:val="00BA7464"/>
    <w:rsid w:val="00BA75E6"/>
    <w:rsid w:val="00BA7C9A"/>
    <w:rsid w:val="00BA7CE2"/>
    <w:rsid w:val="00BA7D2D"/>
    <w:rsid w:val="00BB02EB"/>
    <w:rsid w:val="00BB094E"/>
    <w:rsid w:val="00BB0B29"/>
    <w:rsid w:val="00BB0BED"/>
    <w:rsid w:val="00BB17DD"/>
    <w:rsid w:val="00BB195D"/>
    <w:rsid w:val="00BB1BE1"/>
    <w:rsid w:val="00BB1E86"/>
    <w:rsid w:val="00BB1FF0"/>
    <w:rsid w:val="00BB209C"/>
    <w:rsid w:val="00BB213D"/>
    <w:rsid w:val="00BB2C98"/>
    <w:rsid w:val="00BB31E0"/>
    <w:rsid w:val="00BB3283"/>
    <w:rsid w:val="00BB330E"/>
    <w:rsid w:val="00BB345A"/>
    <w:rsid w:val="00BB361C"/>
    <w:rsid w:val="00BB384D"/>
    <w:rsid w:val="00BB38A7"/>
    <w:rsid w:val="00BB3DB4"/>
    <w:rsid w:val="00BB3E27"/>
    <w:rsid w:val="00BB42D2"/>
    <w:rsid w:val="00BB4C29"/>
    <w:rsid w:val="00BB518B"/>
    <w:rsid w:val="00BB5369"/>
    <w:rsid w:val="00BB57F8"/>
    <w:rsid w:val="00BB670A"/>
    <w:rsid w:val="00BB6823"/>
    <w:rsid w:val="00BB6E97"/>
    <w:rsid w:val="00BB75E4"/>
    <w:rsid w:val="00BB75F1"/>
    <w:rsid w:val="00BB7837"/>
    <w:rsid w:val="00BC039D"/>
    <w:rsid w:val="00BC0CB1"/>
    <w:rsid w:val="00BC1027"/>
    <w:rsid w:val="00BC1207"/>
    <w:rsid w:val="00BC1238"/>
    <w:rsid w:val="00BC1374"/>
    <w:rsid w:val="00BC169B"/>
    <w:rsid w:val="00BC16BC"/>
    <w:rsid w:val="00BC1988"/>
    <w:rsid w:val="00BC27F5"/>
    <w:rsid w:val="00BC2AC2"/>
    <w:rsid w:val="00BC2D98"/>
    <w:rsid w:val="00BC37BB"/>
    <w:rsid w:val="00BC3B82"/>
    <w:rsid w:val="00BC3F42"/>
    <w:rsid w:val="00BC4009"/>
    <w:rsid w:val="00BC4386"/>
    <w:rsid w:val="00BC4B7B"/>
    <w:rsid w:val="00BC5B95"/>
    <w:rsid w:val="00BC5F8A"/>
    <w:rsid w:val="00BC6263"/>
    <w:rsid w:val="00BC6417"/>
    <w:rsid w:val="00BC6426"/>
    <w:rsid w:val="00BC65F3"/>
    <w:rsid w:val="00BC7258"/>
    <w:rsid w:val="00BC74C8"/>
    <w:rsid w:val="00BC7B20"/>
    <w:rsid w:val="00BC7B30"/>
    <w:rsid w:val="00BC7CA4"/>
    <w:rsid w:val="00BD0116"/>
    <w:rsid w:val="00BD026C"/>
    <w:rsid w:val="00BD0F25"/>
    <w:rsid w:val="00BD1024"/>
    <w:rsid w:val="00BD105F"/>
    <w:rsid w:val="00BD10E6"/>
    <w:rsid w:val="00BD128D"/>
    <w:rsid w:val="00BD139D"/>
    <w:rsid w:val="00BD19B7"/>
    <w:rsid w:val="00BD1AB2"/>
    <w:rsid w:val="00BD1B46"/>
    <w:rsid w:val="00BD1B62"/>
    <w:rsid w:val="00BD1DD7"/>
    <w:rsid w:val="00BD1E2B"/>
    <w:rsid w:val="00BD2BA8"/>
    <w:rsid w:val="00BD2BE2"/>
    <w:rsid w:val="00BD30F1"/>
    <w:rsid w:val="00BD318B"/>
    <w:rsid w:val="00BD3468"/>
    <w:rsid w:val="00BD3C32"/>
    <w:rsid w:val="00BD3C83"/>
    <w:rsid w:val="00BD3F2C"/>
    <w:rsid w:val="00BD45FA"/>
    <w:rsid w:val="00BD480E"/>
    <w:rsid w:val="00BD5583"/>
    <w:rsid w:val="00BD5711"/>
    <w:rsid w:val="00BD5713"/>
    <w:rsid w:val="00BD586E"/>
    <w:rsid w:val="00BD5995"/>
    <w:rsid w:val="00BD59D0"/>
    <w:rsid w:val="00BD5A27"/>
    <w:rsid w:val="00BD5C42"/>
    <w:rsid w:val="00BD604F"/>
    <w:rsid w:val="00BD6470"/>
    <w:rsid w:val="00BD6522"/>
    <w:rsid w:val="00BD661A"/>
    <w:rsid w:val="00BD67AE"/>
    <w:rsid w:val="00BD6C68"/>
    <w:rsid w:val="00BD6F9F"/>
    <w:rsid w:val="00BD71CD"/>
    <w:rsid w:val="00BD7461"/>
    <w:rsid w:val="00BD7505"/>
    <w:rsid w:val="00BD78F8"/>
    <w:rsid w:val="00BD792E"/>
    <w:rsid w:val="00BD7DA2"/>
    <w:rsid w:val="00BD7FB3"/>
    <w:rsid w:val="00BE06D4"/>
    <w:rsid w:val="00BE076A"/>
    <w:rsid w:val="00BE0C0F"/>
    <w:rsid w:val="00BE1234"/>
    <w:rsid w:val="00BE1860"/>
    <w:rsid w:val="00BE1C64"/>
    <w:rsid w:val="00BE2409"/>
    <w:rsid w:val="00BE2C6C"/>
    <w:rsid w:val="00BE2EA1"/>
    <w:rsid w:val="00BE36AC"/>
    <w:rsid w:val="00BE3B3F"/>
    <w:rsid w:val="00BE3BCF"/>
    <w:rsid w:val="00BE4048"/>
    <w:rsid w:val="00BE41B1"/>
    <w:rsid w:val="00BE480F"/>
    <w:rsid w:val="00BE50CA"/>
    <w:rsid w:val="00BE55BE"/>
    <w:rsid w:val="00BE60CA"/>
    <w:rsid w:val="00BE6B8E"/>
    <w:rsid w:val="00BE6BDC"/>
    <w:rsid w:val="00BE6C08"/>
    <w:rsid w:val="00BE7142"/>
    <w:rsid w:val="00BE722E"/>
    <w:rsid w:val="00BE7E82"/>
    <w:rsid w:val="00BF0567"/>
    <w:rsid w:val="00BF081F"/>
    <w:rsid w:val="00BF11BC"/>
    <w:rsid w:val="00BF16BB"/>
    <w:rsid w:val="00BF1729"/>
    <w:rsid w:val="00BF19F1"/>
    <w:rsid w:val="00BF1AF8"/>
    <w:rsid w:val="00BF1E9E"/>
    <w:rsid w:val="00BF21BE"/>
    <w:rsid w:val="00BF24C6"/>
    <w:rsid w:val="00BF2520"/>
    <w:rsid w:val="00BF278B"/>
    <w:rsid w:val="00BF27E9"/>
    <w:rsid w:val="00BF31FD"/>
    <w:rsid w:val="00BF34A9"/>
    <w:rsid w:val="00BF36B2"/>
    <w:rsid w:val="00BF376A"/>
    <w:rsid w:val="00BF4023"/>
    <w:rsid w:val="00BF40C2"/>
    <w:rsid w:val="00BF40FF"/>
    <w:rsid w:val="00BF4146"/>
    <w:rsid w:val="00BF4D4C"/>
    <w:rsid w:val="00BF56A5"/>
    <w:rsid w:val="00BF5DB7"/>
    <w:rsid w:val="00BF62EC"/>
    <w:rsid w:val="00BF6315"/>
    <w:rsid w:val="00BF6597"/>
    <w:rsid w:val="00BF697A"/>
    <w:rsid w:val="00BF6AB7"/>
    <w:rsid w:val="00BF6B49"/>
    <w:rsid w:val="00BF6D64"/>
    <w:rsid w:val="00BF73E8"/>
    <w:rsid w:val="00BF75E3"/>
    <w:rsid w:val="00BF7788"/>
    <w:rsid w:val="00BF795E"/>
    <w:rsid w:val="00C007A6"/>
    <w:rsid w:val="00C00DD4"/>
    <w:rsid w:val="00C014CF"/>
    <w:rsid w:val="00C01792"/>
    <w:rsid w:val="00C017C5"/>
    <w:rsid w:val="00C01B5B"/>
    <w:rsid w:val="00C020F4"/>
    <w:rsid w:val="00C0235A"/>
    <w:rsid w:val="00C02C5C"/>
    <w:rsid w:val="00C02FCA"/>
    <w:rsid w:val="00C03174"/>
    <w:rsid w:val="00C033C9"/>
    <w:rsid w:val="00C03A44"/>
    <w:rsid w:val="00C03E77"/>
    <w:rsid w:val="00C04044"/>
    <w:rsid w:val="00C04599"/>
    <w:rsid w:val="00C051AE"/>
    <w:rsid w:val="00C0559F"/>
    <w:rsid w:val="00C0570C"/>
    <w:rsid w:val="00C05B36"/>
    <w:rsid w:val="00C06ABE"/>
    <w:rsid w:val="00C06B4F"/>
    <w:rsid w:val="00C06E28"/>
    <w:rsid w:val="00C07015"/>
    <w:rsid w:val="00C076BE"/>
    <w:rsid w:val="00C079C8"/>
    <w:rsid w:val="00C07A99"/>
    <w:rsid w:val="00C10324"/>
    <w:rsid w:val="00C10490"/>
    <w:rsid w:val="00C10844"/>
    <w:rsid w:val="00C10B5C"/>
    <w:rsid w:val="00C1111A"/>
    <w:rsid w:val="00C11F17"/>
    <w:rsid w:val="00C12807"/>
    <w:rsid w:val="00C1296F"/>
    <w:rsid w:val="00C1299C"/>
    <w:rsid w:val="00C12E55"/>
    <w:rsid w:val="00C12ED2"/>
    <w:rsid w:val="00C130E6"/>
    <w:rsid w:val="00C13A51"/>
    <w:rsid w:val="00C14016"/>
    <w:rsid w:val="00C14788"/>
    <w:rsid w:val="00C14A50"/>
    <w:rsid w:val="00C14BAA"/>
    <w:rsid w:val="00C14CCC"/>
    <w:rsid w:val="00C14CF1"/>
    <w:rsid w:val="00C14E33"/>
    <w:rsid w:val="00C15733"/>
    <w:rsid w:val="00C15A54"/>
    <w:rsid w:val="00C15C55"/>
    <w:rsid w:val="00C15E25"/>
    <w:rsid w:val="00C1605F"/>
    <w:rsid w:val="00C16C6F"/>
    <w:rsid w:val="00C179E4"/>
    <w:rsid w:val="00C17F34"/>
    <w:rsid w:val="00C20372"/>
    <w:rsid w:val="00C204A1"/>
    <w:rsid w:val="00C20B41"/>
    <w:rsid w:val="00C20C81"/>
    <w:rsid w:val="00C20DBD"/>
    <w:rsid w:val="00C214E1"/>
    <w:rsid w:val="00C21D8D"/>
    <w:rsid w:val="00C2205E"/>
    <w:rsid w:val="00C22428"/>
    <w:rsid w:val="00C228CE"/>
    <w:rsid w:val="00C22ABD"/>
    <w:rsid w:val="00C22BB7"/>
    <w:rsid w:val="00C22E3E"/>
    <w:rsid w:val="00C23234"/>
    <w:rsid w:val="00C2366A"/>
    <w:rsid w:val="00C238A1"/>
    <w:rsid w:val="00C238D5"/>
    <w:rsid w:val="00C23CFE"/>
    <w:rsid w:val="00C23E66"/>
    <w:rsid w:val="00C23FEE"/>
    <w:rsid w:val="00C24798"/>
    <w:rsid w:val="00C24CAF"/>
    <w:rsid w:val="00C24EBC"/>
    <w:rsid w:val="00C24F5B"/>
    <w:rsid w:val="00C258DF"/>
    <w:rsid w:val="00C25996"/>
    <w:rsid w:val="00C25AA2"/>
    <w:rsid w:val="00C25D76"/>
    <w:rsid w:val="00C26009"/>
    <w:rsid w:val="00C268CA"/>
    <w:rsid w:val="00C26981"/>
    <w:rsid w:val="00C26DD7"/>
    <w:rsid w:val="00C26F5C"/>
    <w:rsid w:val="00C276EF"/>
    <w:rsid w:val="00C2786B"/>
    <w:rsid w:val="00C27BD6"/>
    <w:rsid w:val="00C30318"/>
    <w:rsid w:val="00C306CF"/>
    <w:rsid w:val="00C30C7D"/>
    <w:rsid w:val="00C30CEF"/>
    <w:rsid w:val="00C30EC1"/>
    <w:rsid w:val="00C31308"/>
    <w:rsid w:val="00C31759"/>
    <w:rsid w:val="00C318F3"/>
    <w:rsid w:val="00C31B94"/>
    <w:rsid w:val="00C320AE"/>
    <w:rsid w:val="00C32228"/>
    <w:rsid w:val="00C32476"/>
    <w:rsid w:val="00C32E66"/>
    <w:rsid w:val="00C3383B"/>
    <w:rsid w:val="00C3389D"/>
    <w:rsid w:val="00C33B90"/>
    <w:rsid w:val="00C33D69"/>
    <w:rsid w:val="00C340DF"/>
    <w:rsid w:val="00C345F1"/>
    <w:rsid w:val="00C34D79"/>
    <w:rsid w:val="00C3535F"/>
    <w:rsid w:val="00C35ECC"/>
    <w:rsid w:val="00C35F90"/>
    <w:rsid w:val="00C35FE6"/>
    <w:rsid w:val="00C362F8"/>
    <w:rsid w:val="00C369D2"/>
    <w:rsid w:val="00C36CCB"/>
    <w:rsid w:val="00C36CE4"/>
    <w:rsid w:val="00C36E39"/>
    <w:rsid w:val="00C378B1"/>
    <w:rsid w:val="00C378B2"/>
    <w:rsid w:val="00C401DA"/>
    <w:rsid w:val="00C402E2"/>
    <w:rsid w:val="00C40379"/>
    <w:rsid w:val="00C40412"/>
    <w:rsid w:val="00C40748"/>
    <w:rsid w:val="00C4081C"/>
    <w:rsid w:val="00C40A71"/>
    <w:rsid w:val="00C40C47"/>
    <w:rsid w:val="00C40CEC"/>
    <w:rsid w:val="00C40D06"/>
    <w:rsid w:val="00C41277"/>
    <w:rsid w:val="00C413CB"/>
    <w:rsid w:val="00C41417"/>
    <w:rsid w:val="00C414B7"/>
    <w:rsid w:val="00C41A4D"/>
    <w:rsid w:val="00C41B24"/>
    <w:rsid w:val="00C41E93"/>
    <w:rsid w:val="00C42A22"/>
    <w:rsid w:val="00C42EB9"/>
    <w:rsid w:val="00C42F07"/>
    <w:rsid w:val="00C42FD2"/>
    <w:rsid w:val="00C4383C"/>
    <w:rsid w:val="00C43922"/>
    <w:rsid w:val="00C43A07"/>
    <w:rsid w:val="00C43FCC"/>
    <w:rsid w:val="00C447CF"/>
    <w:rsid w:val="00C44D39"/>
    <w:rsid w:val="00C452C0"/>
    <w:rsid w:val="00C45B95"/>
    <w:rsid w:val="00C45D3A"/>
    <w:rsid w:val="00C46562"/>
    <w:rsid w:val="00C467C4"/>
    <w:rsid w:val="00C46AD9"/>
    <w:rsid w:val="00C46D81"/>
    <w:rsid w:val="00C46E25"/>
    <w:rsid w:val="00C46FCC"/>
    <w:rsid w:val="00C4713B"/>
    <w:rsid w:val="00C4761B"/>
    <w:rsid w:val="00C47749"/>
    <w:rsid w:val="00C47A39"/>
    <w:rsid w:val="00C47E70"/>
    <w:rsid w:val="00C507DF"/>
    <w:rsid w:val="00C50E8C"/>
    <w:rsid w:val="00C50F07"/>
    <w:rsid w:val="00C510A9"/>
    <w:rsid w:val="00C510BB"/>
    <w:rsid w:val="00C51267"/>
    <w:rsid w:val="00C51754"/>
    <w:rsid w:val="00C51813"/>
    <w:rsid w:val="00C51936"/>
    <w:rsid w:val="00C519B9"/>
    <w:rsid w:val="00C51E58"/>
    <w:rsid w:val="00C52CC4"/>
    <w:rsid w:val="00C53186"/>
    <w:rsid w:val="00C53859"/>
    <w:rsid w:val="00C53B69"/>
    <w:rsid w:val="00C54088"/>
    <w:rsid w:val="00C54122"/>
    <w:rsid w:val="00C547A7"/>
    <w:rsid w:val="00C54D58"/>
    <w:rsid w:val="00C54E02"/>
    <w:rsid w:val="00C54E2B"/>
    <w:rsid w:val="00C54FC9"/>
    <w:rsid w:val="00C551AE"/>
    <w:rsid w:val="00C55FDE"/>
    <w:rsid w:val="00C56616"/>
    <w:rsid w:val="00C56686"/>
    <w:rsid w:val="00C569CF"/>
    <w:rsid w:val="00C56D34"/>
    <w:rsid w:val="00C56DB6"/>
    <w:rsid w:val="00C56DE6"/>
    <w:rsid w:val="00C56E9F"/>
    <w:rsid w:val="00C60008"/>
    <w:rsid w:val="00C60D25"/>
    <w:rsid w:val="00C61025"/>
    <w:rsid w:val="00C61911"/>
    <w:rsid w:val="00C62706"/>
    <w:rsid w:val="00C62707"/>
    <w:rsid w:val="00C630DF"/>
    <w:rsid w:val="00C631CA"/>
    <w:rsid w:val="00C631CF"/>
    <w:rsid w:val="00C635FE"/>
    <w:rsid w:val="00C64093"/>
    <w:rsid w:val="00C6484E"/>
    <w:rsid w:val="00C64CDF"/>
    <w:rsid w:val="00C64FFA"/>
    <w:rsid w:val="00C6533E"/>
    <w:rsid w:val="00C655EE"/>
    <w:rsid w:val="00C65847"/>
    <w:rsid w:val="00C65BFE"/>
    <w:rsid w:val="00C65DD1"/>
    <w:rsid w:val="00C65F44"/>
    <w:rsid w:val="00C65F61"/>
    <w:rsid w:val="00C66B58"/>
    <w:rsid w:val="00C66C62"/>
    <w:rsid w:val="00C66E4B"/>
    <w:rsid w:val="00C6756D"/>
    <w:rsid w:val="00C678B2"/>
    <w:rsid w:val="00C67C52"/>
    <w:rsid w:val="00C67C96"/>
    <w:rsid w:val="00C70239"/>
    <w:rsid w:val="00C70666"/>
    <w:rsid w:val="00C70D65"/>
    <w:rsid w:val="00C7111A"/>
    <w:rsid w:val="00C71168"/>
    <w:rsid w:val="00C7198B"/>
    <w:rsid w:val="00C71ECA"/>
    <w:rsid w:val="00C721B3"/>
    <w:rsid w:val="00C726AB"/>
    <w:rsid w:val="00C727ED"/>
    <w:rsid w:val="00C72B2F"/>
    <w:rsid w:val="00C72E6D"/>
    <w:rsid w:val="00C735EA"/>
    <w:rsid w:val="00C73781"/>
    <w:rsid w:val="00C73785"/>
    <w:rsid w:val="00C73D64"/>
    <w:rsid w:val="00C73EDC"/>
    <w:rsid w:val="00C73FA1"/>
    <w:rsid w:val="00C74021"/>
    <w:rsid w:val="00C74126"/>
    <w:rsid w:val="00C744DA"/>
    <w:rsid w:val="00C744E0"/>
    <w:rsid w:val="00C74BEF"/>
    <w:rsid w:val="00C74E86"/>
    <w:rsid w:val="00C74F32"/>
    <w:rsid w:val="00C753C0"/>
    <w:rsid w:val="00C75500"/>
    <w:rsid w:val="00C75552"/>
    <w:rsid w:val="00C75614"/>
    <w:rsid w:val="00C75658"/>
    <w:rsid w:val="00C75893"/>
    <w:rsid w:val="00C75FBF"/>
    <w:rsid w:val="00C763AA"/>
    <w:rsid w:val="00C76585"/>
    <w:rsid w:val="00C76A11"/>
    <w:rsid w:val="00C76EBF"/>
    <w:rsid w:val="00C7739D"/>
    <w:rsid w:val="00C7776E"/>
    <w:rsid w:val="00C778B1"/>
    <w:rsid w:val="00C7797C"/>
    <w:rsid w:val="00C77E89"/>
    <w:rsid w:val="00C80124"/>
    <w:rsid w:val="00C805D9"/>
    <w:rsid w:val="00C80E0A"/>
    <w:rsid w:val="00C80E91"/>
    <w:rsid w:val="00C81908"/>
    <w:rsid w:val="00C81A37"/>
    <w:rsid w:val="00C82145"/>
    <w:rsid w:val="00C821CE"/>
    <w:rsid w:val="00C82228"/>
    <w:rsid w:val="00C82265"/>
    <w:rsid w:val="00C8250A"/>
    <w:rsid w:val="00C82FB0"/>
    <w:rsid w:val="00C85226"/>
    <w:rsid w:val="00C85D1E"/>
    <w:rsid w:val="00C86385"/>
    <w:rsid w:val="00C8639B"/>
    <w:rsid w:val="00C8641B"/>
    <w:rsid w:val="00C8667A"/>
    <w:rsid w:val="00C86824"/>
    <w:rsid w:val="00C86BFD"/>
    <w:rsid w:val="00C870D3"/>
    <w:rsid w:val="00C87B28"/>
    <w:rsid w:val="00C87CF0"/>
    <w:rsid w:val="00C9000C"/>
    <w:rsid w:val="00C90053"/>
    <w:rsid w:val="00C90215"/>
    <w:rsid w:val="00C905F9"/>
    <w:rsid w:val="00C909C5"/>
    <w:rsid w:val="00C90B3A"/>
    <w:rsid w:val="00C90DDB"/>
    <w:rsid w:val="00C90F9F"/>
    <w:rsid w:val="00C91162"/>
    <w:rsid w:val="00C91588"/>
    <w:rsid w:val="00C91DF3"/>
    <w:rsid w:val="00C91FCF"/>
    <w:rsid w:val="00C92047"/>
    <w:rsid w:val="00C9216D"/>
    <w:rsid w:val="00C92363"/>
    <w:rsid w:val="00C9246D"/>
    <w:rsid w:val="00C926FE"/>
    <w:rsid w:val="00C92C9B"/>
    <w:rsid w:val="00C92EEE"/>
    <w:rsid w:val="00C92F87"/>
    <w:rsid w:val="00C93222"/>
    <w:rsid w:val="00C93481"/>
    <w:rsid w:val="00C93571"/>
    <w:rsid w:val="00C9379E"/>
    <w:rsid w:val="00C93DDE"/>
    <w:rsid w:val="00C93E2E"/>
    <w:rsid w:val="00C94BD0"/>
    <w:rsid w:val="00C94C76"/>
    <w:rsid w:val="00C94DC3"/>
    <w:rsid w:val="00C9511B"/>
    <w:rsid w:val="00C9529B"/>
    <w:rsid w:val="00C95533"/>
    <w:rsid w:val="00C95603"/>
    <w:rsid w:val="00C957F2"/>
    <w:rsid w:val="00C9596B"/>
    <w:rsid w:val="00C960CA"/>
    <w:rsid w:val="00C9645F"/>
    <w:rsid w:val="00C96CDA"/>
    <w:rsid w:val="00C97418"/>
    <w:rsid w:val="00C97D7A"/>
    <w:rsid w:val="00CA01D2"/>
    <w:rsid w:val="00CA02B7"/>
    <w:rsid w:val="00CA04F1"/>
    <w:rsid w:val="00CA0849"/>
    <w:rsid w:val="00CA0C0E"/>
    <w:rsid w:val="00CA0F53"/>
    <w:rsid w:val="00CA0FDA"/>
    <w:rsid w:val="00CA10C8"/>
    <w:rsid w:val="00CA173C"/>
    <w:rsid w:val="00CA1CA4"/>
    <w:rsid w:val="00CA2362"/>
    <w:rsid w:val="00CA2EC4"/>
    <w:rsid w:val="00CA396F"/>
    <w:rsid w:val="00CA3CB3"/>
    <w:rsid w:val="00CA44B9"/>
    <w:rsid w:val="00CA479E"/>
    <w:rsid w:val="00CA4903"/>
    <w:rsid w:val="00CA4D45"/>
    <w:rsid w:val="00CA501A"/>
    <w:rsid w:val="00CA5143"/>
    <w:rsid w:val="00CA5243"/>
    <w:rsid w:val="00CA58E2"/>
    <w:rsid w:val="00CA5A1C"/>
    <w:rsid w:val="00CA5CE9"/>
    <w:rsid w:val="00CA5D9E"/>
    <w:rsid w:val="00CA5DFF"/>
    <w:rsid w:val="00CA63E4"/>
    <w:rsid w:val="00CA6A66"/>
    <w:rsid w:val="00CA6BCD"/>
    <w:rsid w:val="00CA6E9D"/>
    <w:rsid w:val="00CA70A2"/>
    <w:rsid w:val="00CA71EB"/>
    <w:rsid w:val="00CA72DA"/>
    <w:rsid w:val="00CA731D"/>
    <w:rsid w:val="00CA77E8"/>
    <w:rsid w:val="00CA79AE"/>
    <w:rsid w:val="00CA7E25"/>
    <w:rsid w:val="00CA7E71"/>
    <w:rsid w:val="00CB011E"/>
    <w:rsid w:val="00CB053B"/>
    <w:rsid w:val="00CB0567"/>
    <w:rsid w:val="00CB0937"/>
    <w:rsid w:val="00CB0AB7"/>
    <w:rsid w:val="00CB0D75"/>
    <w:rsid w:val="00CB0EFA"/>
    <w:rsid w:val="00CB234D"/>
    <w:rsid w:val="00CB2533"/>
    <w:rsid w:val="00CB25BF"/>
    <w:rsid w:val="00CB267B"/>
    <w:rsid w:val="00CB28F1"/>
    <w:rsid w:val="00CB2C8A"/>
    <w:rsid w:val="00CB2D13"/>
    <w:rsid w:val="00CB2E0A"/>
    <w:rsid w:val="00CB32EA"/>
    <w:rsid w:val="00CB3901"/>
    <w:rsid w:val="00CB3DE9"/>
    <w:rsid w:val="00CB4279"/>
    <w:rsid w:val="00CB43EE"/>
    <w:rsid w:val="00CB4884"/>
    <w:rsid w:val="00CB4A82"/>
    <w:rsid w:val="00CB4CA1"/>
    <w:rsid w:val="00CB50B7"/>
    <w:rsid w:val="00CB5266"/>
    <w:rsid w:val="00CB590E"/>
    <w:rsid w:val="00CB676C"/>
    <w:rsid w:val="00CB6A82"/>
    <w:rsid w:val="00CB6B0D"/>
    <w:rsid w:val="00CB7B80"/>
    <w:rsid w:val="00CB7F96"/>
    <w:rsid w:val="00CB7FD6"/>
    <w:rsid w:val="00CC091C"/>
    <w:rsid w:val="00CC09EF"/>
    <w:rsid w:val="00CC0B1A"/>
    <w:rsid w:val="00CC0CB7"/>
    <w:rsid w:val="00CC0DDD"/>
    <w:rsid w:val="00CC0F33"/>
    <w:rsid w:val="00CC1294"/>
    <w:rsid w:val="00CC12E9"/>
    <w:rsid w:val="00CC14B6"/>
    <w:rsid w:val="00CC1522"/>
    <w:rsid w:val="00CC1B67"/>
    <w:rsid w:val="00CC1B74"/>
    <w:rsid w:val="00CC1C8A"/>
    <w:rsid w:val="00CC1EF7"/>
    <w:rsid w:val="00CC2699"/>
    <w:rsid w:val="00CC2C7C"/>
    <w:rsid w:val="00CC2D97"/>
    <w:rsid w:val="00CC3376"/>
    <w:rsid w:val="00CC3A9A"/>
    <w:rsid w:val="00CC3E37"/>
    <w:rsid w:val="00CC4623"/>
    <w:rsid w:val="00CC4791"/>
    <w:rsid w:val="00CC48A6"/>
    <w:rsid w:val="00CC4E8D"/>
    <w:rsid w:val="00CC5096"/>
    <w:rsid w:val="00CC5247"/>
    <w:rsid w:val="00CC5A41"/>
    <w:rsid w:val="00CC5CC8"/>
    <w:rsid w:val="00CC5DB8"/>
    <w:rsid w:val="00CC5E89"/>
    <w:rsid w:val="00CC6195"/>
    <w:rsid w:val="00CC6209"/>
    <w:rsid w:val="00CC65CF"/>
    <w:rsid w:val="00CC6768"/>
    <w:rsid w:val="00CC6807"/>
    <w:rsid w:val="00CC6EC0"/>
    <w:rsid w:val="00CC6F5A"/>
    <w:rsid w:val="00CC7D16"/>
    <w:rsid w:val="00CD0BE1"/>
    <w:rsid w:val="00CD1029"/>
    <w:rsid w:val="00CD1A31"/>
    <w:rsid w:val="00CD1BE3"/>
    <w:rsid w:val="00CD1C26"/>
    <w:rsid w:val="00CD1EF9"/>
    <w:rsid w:val="00CD23E4"/>
    <w:rsid w:val="00CD2466"/>
    <w:rsid w:val="00CD273B"/>
    <w:rsid w:val="00CD2856"/>
    <w:rsid w:val="00CD3575"/>
    <w:rsid w:val="00CD36C0"/>
    <w:rsid w:val="00CD3737"/>
    <w:rsid w:val="00CD3740"/>
    <w:rsid w:val="00CD3901"/>
    <w:rsid w:val="00CD39D1"/>
    <w:rsid w:val="00CD3C18"/>
    <w:rsid w:val="00CD44BA"/>
    <w:rsid w:val="00CD47FD"/>
    <w:rsid w:val="00CD485F"/>
    <w:rsid w:val="00CD4B78"/>
    <w:rsid w:val="00CD4C04"/>
    <w:rsid w:val="00CD59D1"/>
    <w:rsid w:val="00CD61B2"/>
    <w:rsid w:val="00CD6821"/>
    <w:rsid w:val="00CD6E79"/>
    <w:rsid w:val="00CD732B"/>
    <w:rsid w:val="00CD7AB1"/>
    <w:rsid w:val="00CD7CB6"/>
    <w:rsid w:val="00CD7D06"/>
    <w:rsid w:val="00CD7D80"/>
    <w:rsid w:val="00CE070A"/>
    <w:rsid w:val="00CE0A0F"/>
    <w:rsid w:val="00CE0B65"/>
    <w:rsid w:val="00CE0CD0"/>
    <w:rsid w:val="00CE12EA"/>
    <w:rsid w:val="00CE164F"/>
    <w:rsid w:val="00CE1895"/>
    <w:rsid w:val="00CE1A0F"/>
    <w:rsid w:val="00CE1B20"/>
    <w:rsid w:val="00CE1D60"/>
    <w:rsid w:val="00CE217C"/>
    <w:rsid w:val="00CE29CA"/>
    <w:rsid w:val="00CE2A92"/>
    <w:rsid w:val="00CE361C"/>
    <w:rsid w:val="00CE37C1"/>
    <w:rsid w:val="00CE38EB"/>
    <w:rsid w:val="00CE3A53"/>
    <w:rsid w:val="00CE3D30"/>
    <w:rsid w:val="00CE4210"/>
    <w:rsid w:val="00CE4525"/>
    <w:rsid w:val="00CE4AE9"/>
    <w:rsid w:val="00CE4B53"/>
    <w:rsid w:val="00CE579F"/>
    <w:rsid w:val="00CE5BB0"/>
    <w:rsid w:val="00CE657F"/>
    <w:rsid w:val="00CE6A95"/>
    <w:rsid w:val="00CE6D96"/>
    <w:rsid w:val="00CE6F64"/>
    <w:rsid w:val="00CE748F"/>
    <w:rsid w:val="00CE75DA"/>
    <w:rsid w:val="00CE76B2"/>
    <w:rsid w:val="00CE7B2E"/>
    <w:rsid w:val="00CF009B"/>
    <w:rsid w:val="00CF0286"/>
    <w:rsid w:val="00CF040E"/>
    <w:rsid w:val="00CF0450"/>
    <w:rsid w:val="00CF0749"/>
    <w:rsid w:val="00CF0BEA"/>
    <w:rsid w:val="00CF0CFB"/>
    <w:rsid w:val="00CF0DC5"/>
    <w:rsid w:val="00CF103E"/>
    <w:rsid w:val="00CF1179"/>
    <w:rsid w:val="00CF131F"/>
    <w:rsid w:val="00CF1321"/>
    <w:rsid w:val="00CF1459"/>
    <w:rsid w:val="00CF149D"/>
    <w:rsid w:val="00CF1664"/>
    <w:rsid w:val="00CF16FA"/>
    <w:rsid w:val="00CF17ED"/>
    <w:rsid w:val="00CF1A11"/>
    <w:rsid w:val="00CF1CDB"/>
    <w:rsid w:val="00CF2289"/>
    <w:rsid w:val="00CF2290"/>
    <w:rsid w:val="00CF2772"/>
    <w:rsid w:val="00CF2AAD"/>
    <w:rsid w:val="00CF2F79"/>
    <w:rsid w:val="00CF349B"/>
    <w:rsid w:val="00CF378B"/>
    <w:rsid w:val="00CF41B9"/>
    <w:rsid w:val="00CF469C"/>
    <w:rsid w:val="00CF4706"/>
    <w:rsid w:val="00CF4743"/>
    <w:rsid w:val="00CF4D39"/>
    <w:rsid w:val="00CF4F9D"/>
    <w:rsid w:val="00CF53C7"/>
    <w:rsid w:val="00CF54F6"/>
    <w:rsid w:val="00CF5C31"/>
    <w:rsid w:val="00CF61A8"/>
    <w:rsid w:val="00CF65D5"/>
    <w:rsid w:val="00CF6A9A"/>
    <w:rsid w:val="00CF6D89"/>
    <w:rsid w:val="00D007DC"/>
    <w:rsid w:val="00D00CC3"/>
    <w:rsid w:val="00D00EAD"/>
    <w:rsid w:val="00D015AC"/>
    <w:rsid w:val="00D0162E"/>
    <w:rsid w:val="00D017C3"/>
    <w:rsid w:val="00D01948"/>
    <w:rsid w:val="00D019AF"/>
    <w:rsid w:val="00D01A0E"/>
    <w:rsid w:val="00D01AF5"/>
    <w:rsid w:val="00D02144"/>
    <w:rsid w:val="00D02678"/>
    <w:rsid w:val="00D02E5D"/>
    <w:rsid w:val="00D032EE"/>
    <w:rsid w:val="00D033DE"/>
    <w:rsid w:val="00D03519"/>
    <w:rsid w:val="00D03C2C"/>
    <w:rsid w:val="00D03C98"/>
    <w:rsid w:val="00D0403F"/>
    <w:rsid w:val="00D044E2"/>
    <w:rsid w:val="00D04A44"/>
    <w:rsid w:val="00D04D0E"/>
    <w:rsid w:val="00D04EB1"/>
    <w:rsid w:val="00D0535A"/>
    <w:rsid w:val="00D05381"/>
    <w:rsid w:val="00D0564C"/>
    <w:rsid w:val="00D0616D"/>
    <w:rsid w:val="00D06200"/>
    <w:rsid w:val="00D0642B"/>
    <w:rsid w:val="00D06DA0"/>
    <w:rsid w:val="00D0707B"/>
    <w:rsid w:val="00D070AF"/>
    <w:rsid w:val="00D0766F"/>
    <w:rsid w:val="00D078DA"/>
    <w:rsid w:val="00D07BB6"/>
    <w:rsid w:val="00D07F54"/>
    <w:rsid w:val="00D1013B"/>
    <w:rsid w:val="00D1049A"/>
    <w:rsid w:val="00D109FF"/>
    <w:rsid w:val="00D10AE1"/>
    <w:rsid w:val="00D10CB6"/>
    <w:rsid w:val="00D1103C"/>
    <w:rsid w:val="00D112FC"/>
    <w:rsid w:val="00D114BE"/>
    <w:rsid w:val="00D1161E"/>
    <w:rsid w:val="00D11F0A"/>
    <w:rsid w:val="00D12032"/>
    <w:rsid w:val="00D1248A"/>
    <w:rsid w:val="00D12546"/>
    <w:rsid w:val="00D12ACD"/>
    <w:rsid w:val="00D131FE"/>
    <w:rsid w:val="00D1359C"/>
    <w:rsid w:val="00D14107"/>
    <w:rsid w:val="00D14653"/>
    <w:rsid w:val="00D146AC"/>
    <w:rsid w:val="00D14F2B"/>
    <w:rsid w:val="00D15381"/>
    <w:rsid w:val="00D15441"/>
    <w:rsid w:val="00D163D6"/>
    <w:rsid w:val="00D1685A"/>
    <w:rsid w:val="00D16C16"/>
    <w:rsid w:val="00D16D50"/>
    <w:rsid w:val="00D16FB0"/>
    <w:rsid w:val="00D173E8"/>
    <w:rsid w:val="00D17446"/>
    <w:rsid w:val="00D17814"/>
    <w:rsid w:val="00D17B0D"/>
    <w:rsid w:val="00D17C74"/>
    <w:rsid w:val="00D17DB0"/>
    <w:rsid w:val="00D17F07"/>
    <w:rsid w:val="00D20922"/>
    <w:rsid w:val="00D20BDF"/>
    <w:rsid w:val="00D2156F"/>
    <w:rsid w:val="00D21921"/>
    <w:rsid w:val="00D21A9E"/>
    <w:rsid w:val="00D21AE8"/>
    <w:rsid w:val="00D21AF8"/>
    <w:rsid w:val="00D21C9A"/>
    <w:rsid w:val="00D21C9E"/>
    <w:rsid w:val="00D2200E"/>
    <w:rsid w:val="00D2231A"/>
    <w:rsid w:val="00D223FA"/>
    <w:rsid w:val="00D226EC"/>
    <w:rsid w:val="00D2276C"/>
    <w:rsid w:val="00D22A12"/>
    <w:rsid w:val="00D22DA6"/>
    <w:rsid w:val="00D2320E"/>
    <w:rsid w:val="00D243D7"/>
    <w:rsid w:val="00D24958"/>
    <w:rsid w:val="00D24C6F"/>
    <w:rsid w:val="00D24DCD"/>
    <w:rsid w:val="00D2568F"/>
    <w:rsid w:val="00D25D42"/>
    <w:rsid w:val="00D25F82"/>
    <w:rsid w:val="00D2603F"/>
    <w:rsid w:val="00D2612D"/>
    <w:rsid w:val="00D26427"/>
    <w:rsid w:val="00D266A2"/>
    <w:rsid w:val="00D26A32"/>
    <w:rsid w:val="00D26B6B"/>
    <w:rsid w:val="00D26B89"/>
    <w:rsid w:val="00D26D52"/>
    <w:rsid w:val="00D2757A"/>
    <w:rsid w:val="00D275B4"/>
    <w:rsid w:val="00D2775C"/>
    <w:rsid w:val="00D27A0C"/>
    <w:rsid w:val="00D27A9D"/>
    <w:rsid w:val="00D27B1D"/>
    <w:rsid w:val="00D30168"/>
    <w:rsid w:val="00D30785"/>
    <w:rsid w:val="00D311D4"/>
    <w:rsid w:val="00D3127B"/>
    <w:rsid w:val="00D318A5"/>
    <w:rsid w:val="00D31F57"/>
    <w:rsid w:val="00D31F98"/>
    <w:rsid w:val="00D32093"/>
    <w:rsid w:val="00D325C1"/>
    <w:rsid w:val="00D32607"/>
    <w:rsid w:val="00D32782"/>
    <w:rsid w:val="00D32847"/>
    <w:rsid w:val="00D32A54"/>
    <w:rsid w:val="00D32D33"/>
    <w:rsid w:val="00D32D75"/>
    <w:rsid w:val="00D32FD7"/>
    <w:rsid w:val="00D33891"/>
    <w:rsid w:val="00D33F15"/>
    <w:rsid w:val="00D3405A"/>
    <w:rsid w:val="00D34690"/>
    <w:rsid w:val="00D3547F"/>
    <w:rsid w:val="00D35E7B"/>
    <w:rsid w:val="00D35EA5"/>
    <w:rsid w:val="00D3629E"/>
    <w:rsid w:val="00D362C3"/>
    <w:rsid w:val="00D3676B"/>
    <w:rsid w:val="00D36842"/>
    <w:rsid w:val="00D36C51"/>
    <w:rsid w:val="00D36F83"/>
    <w:rsid w:val="00D371DB"/>
    <w:rsid w:val="00D3772B"/>
    <w:rsid w:val="00D37878"/>
    <w:rsid w:val="00D37957"/>
    <w:rsid w:val="00D37B8E"/>
    <w:rsid w:val="00D37BF8"/>
    <w:rsid w:val="00D37C53"/>
    <w:rsid w:val="00D401E2"/>
    <w:rsid w:val="00D4041B"/>
    <w:rsid w:val="00D408F3"/>
    <w:rsid w:val="00D40AA8"/>
    <w:rsid w:val="00D40B8A"/>
    <w:rsid w:val="00D40C24"/>
    <w:rsid w:val="00D41006"/>
    <w:rsid w:val="00D41661"/>
    <w:rsid w:val="00D41A6E"/>
    <w:rsid w:val="00D41D6B"/>
    <w:rsid w:val="00D420BF"/>
    <w:rsid w:val="00D42487"/>
    <w:rsid w:val="00D4250E"/>
    <w:rsid w:val="00D42C64"/>
    <w:rsid w:val="00D42E17"/>
    <w:rsid w:val="00D42E49"/>
    <w:rsid w:val="00D42EDB"/>
    <w:rsid w:val="00D42FAC"/>
    <w:rsid w:val="00D435A2"/>
    <w:rsid w:val="00D4394B"/>
    <w:rsid w:val="00D43BE0"/>
    <w:rsid w:val="00D43E43"/>
    <w:rsid w:val="00D44099"/>
    <w:rsid w:val="00D443A2"/>
    <w:rsid w:val="00D4440A"/>
    <w:rsid w:val="00D44BCE"/>
    <w:rsid w:val="00D458FB"/>
    <w:rsid w:val="00D461B3"/>
    <w:rsid w:val="00D4756C"/>
    <w:rsid w:val="00D47AD7"/>
    <w:rsid w:val="00D47BBB"/>
    <w:rsid w:val="00D500AD"/>
    <w:rsid w:val="00D502D4"/>
    <w:rsid w:val="00D50486"/>
    <w:rsid w:val="00D50620"/>
    <w:rsid w:val="00D50A19"/>
    <w:rsid w:val="00D50A5F"/>
    <w:rsid w:val="00D51402"/>
    <w:rsid w:val="00D515F4"/>
    <w:rsid w:val="00D5178B"/>
    <w:rsid w:val="00D51A9F"/>
    <w:rsid w:val="00D51BEE"/>
    <w:rsid w:val="00D51E4B"/>
    <w:rsid w:val="00D5231A"/>
    <w:rsid w:val="00D52B58"/>
    <w:rsid w:val="00D5339E"/>
    <w:rsid w:val="00D53A2A"/>
    <w:rsid w:val="00D53D03"/>
    <w:rsid w:val="00D53D4E"/>
    <w:rsid w:val="00D53DBE"/>
    <w:rsid w:val="00D53F6A"/>
    <w:rsid w:val="00D5458B"/>
    <w:rsid w:val="00D54974"/>
    <w:rsid w:val="00D55532"/>
    <w:rsid w:val="00D561D0"/>
    <w:rsid w:val="00D56231"/>
    <w:rsid w:val="00D565C4"/>
    <w:rsid w:val="00D56618"/>
    <w:rsid w:val="00D5690C"/>
    <w:rsid w:val="00D56EF0"/>
    <w:rsid w:val="00D56F76"/>
    <w:rsid w:val="00D57C74"/>
    <w:rsid w:val="00D6043D"/>
    <w:rsid w:val="00D60496"/>
    <w:rsid w:val="00D6056F"/>
    <w:rsid w:val="00D60DCD"/>
    <w:rsid w:val="00D61251"/>
    <w:rsid w:val="00D61A94"/>
    <w:rsid w:val="00D6249E"/>
    <w:rsid w:val="00D62801"/>
    <w:rsid w:val="00D62CA3"/>
    <w:rsid w:val="00D62F37"/>
    <w:rsid w:val="00D62F42"/>
    <w:rsid w:val="00D637D7"/>
    <w:rsid w:val="00D63B29"/>
    <w:rsid w:val="00D63BC0"/>
    <w:rsid w:val="00D644C5"/>
    <w:rsid w:val="00D644D1"/>
    <w:rsid w:val="00D64CAC"/>
    <w:rsid w:val="00D650AA"/>
    <w:rsid w:val="00D65164"/>
    <w:rsid w:val="00D654DB"/>
    <w:rsid w:val="00D65562"/>
    <w:rsid w:val="00D656F8"/>
    <w:rsid w:val="00D65A5A"/>
    <w:rsid w:val="00D65CC7"/>
    <w:rsid w:val="00D65CE8"/>
    <w:rsid w:val="00D65DE9"/>
    <w:rsid w:val="00D662A0"/>
    <w:rsid w:val="00D666D5"/>
    <w:rsid w:val="00D669EC"/>
    <w:rsid w:val="00D677DC"/>
    <w:rsid w:val="00D678D1"/>
    <w:rsid w:val="00D67B2B"/>
    <w:rsid w:val="00D67B6C"/>
    <w:rsid w:val="00D70009"/>
    <w:rsid w:val="00D7024A"/>
    <w:rsid w:val="00D70540"/>
    <w:rsid w:val="00D709B4"/>
    <w:rsid w:val="00D70B7C"/>
    <w:rsid w:val="00D70BC9"/>
    <w:rsid w:val="00D70C21"/>
    <w:rsid w:val="00D70D1B"/>
    <w:rsid w:val="00D7195B"/>
    <w:rsid w:val="00D719B7"/>
    <w:rsid w:val="00D721D7"/>
    <w:rsid w:val="00D725D3"/>
    <w:rsid w:val="00D72717"/>
    <w:rsid w:val="00D7291C"/>
    <w:rsid w:val="00D72AAC"/>
    <w:rsid w:val="00D734A1"/>
    <w:rsid w:val="00D73696"/>
    <w:rsid w:val="00D73FA5"/>
    <w:rsid w:val="00D74004"/>
    <w:rsid w:val="00D7401A"/>
    <w:rsid w:val="00D74117"/>
    <w:rsid w:val="00D74A91"/>
    <w:rsid w:val="00D74AE7"/>
    <w:rsid w:val="00D74CA2"/>
    <w:rsid w:val="00D74CC2"/>
    <w:rsid w:val="00D74DC7"/>
    <w:rsid w:val="00D75AA7"/>
    <w:rsid w:val="00D75B1F"/>
    <w:rsid w:val="00D76506"/>
    <w:rsid w:val="00D76B56"/>
    <w:rsid w:val="00D802AC"/>
    <w:rsid w:val="00D80917"/>
    <w:rsid w:val="00D817C8"/>
    <w:rsid w:val="00D82676"/>
    <w:rsid w:val="00D82F53"/>
    <w:rsid w:val="00D83163"/>
    <w:rsid w:val="00D83268"/>
    <w:rsid w:val="00D835B1"/>
    <w:rsid w:val="00D8381B"/>
    <w:rsid w:val="00D83C05"/>
    <w:rsid w:val="00D83D5F"/>
    <w:rsid w:val="00D83E66"/>
    <w:rsid w:val="00D84C1E"/>
    <w:rsid w:val="00D84CF3"/>
    <w:rsid w:val="00D85E2F"/>
    <w:rsid w:val="00D864BC"/>
    <w:rsid w:val="00D8668E"/>
    <w:rsid w:val="00D86A1D"/>
    <w:rsid w:val="00D871C3"/>
    <w:rsid w:val="00D87274"/>
    <w:rsid w:val="00D87B4E"/>
    <w:rsid w:val="00D90A3D"/>
    <w:rsid w:val="00D911FE"/>
    <w:rsid w:val="00D9141B"/>
    <w:rsid w:val="00D914FE"/>
    <w:rsid w:val="00D919E5"/>
    <w:rsid w:val="00D91D82"/>
    <w:rsid w:val="00D91EF6"/>
    <w:rsid w:val="00D92115"/>
    <w:rsid w:val="00D9218B"/>
    <w:rsid w:val="00D9225D"/>
    <w:rsid w:val="00D9285A"/>
    <w:rsid w:val="00D92C6B"/>
    <w:rsid w:val="00D93522"/>
    <w:rsid w:val="00D9371E"/>
    <w:rsid w:val="00D937CC"/>
    <w:rsid w:val="00D93965"/>
    <w:rsid w:val="00D939AC"/>
    <w:rsid w:val="00D93DFA"/>
    <w:rsid w:val="00D93F01"/>
    <w:rsid w:val="00D9408A"/>
    <w:rsid w:val="00D9435D"/>
    <w:rsid w:val="00D943E0"/>
    <w:rsid w:val="00D9490A"/>
    <w:rsid w:val="00D94BD5"/>
    <w:rsid w:val="00D94C29"/>
    <w:rsid w:val="00D95367"/>
    <w:rsid w:val="00D95854"/>
    <w:rsid w:val="00D9595E"/>
    <w:rsid w:val="00D95F1E"/>
    <w:rsid w:val="00D960EB"/>
    <w:rsid w:val="00D96A54"/>
    <w:rsid w:val="00D97018"/>
    <w:rsid w:val="00D97232"/>
    <w:rsid w:val="00D9759E"/>
    <w:rsid w:val="00D9781B"/>
    <w:rsid w:val="00D97D29"/>
    <w:rsid w:val="00DA00BC"/>
    <w:rsid w:val="00DA01CA"/>
    <w:rsid w:val="00DA023E"/>
    <w:rsid w:val="00DA0AFC"/>
    <w:rsid w:val="00DA12D2"/>
    <w:rsid w:val="00DA12E8"/>
    <w:rsid w:val="00DA1A84"/>
    <w:rsid w:val="00DA1BCE"/>
    <w:rsid w:val="00DA21FB"/>
    <w:rsid w:val="00DA2A3D"/>
    <w:rsid w:val="00DA2BDD"/>
    <w:rsid w:val="00DA2D29"/>
    <w:rsid w:val="00DA316B"/>
    <w:rsid w:val="00DA317F"/>
    <w:rsid w:val="00DA38A8"/>
    <w:rsid w:val="00DA40CB"/>
    <w:rsid w:val="00DA430E"/>
    <w:rsid w:val="00DA4621"/>
    <w:rsid w:val="00DA4935"/>
    <w:rsid w:val="00DA62C3"/>
    <w:rsid w:val="00DA6676"/>
    <w:rsid w:val="00DA6C06"/>
    <w:rsid w:val="00DA6CFF"/>
    <w:rsid w:val="00DA6FA8"/>
    <w:rsid w:val="00DA74A3"/>
    <w:rsid w:val="00DA77FA"/>
    <w:rsid w:val="00DA78AA"/>
    <w:rsid w:val="00DA7B90"/>
    <w:rsid w:val="00DA7EB8"/>
    <w:rsid w:val="00DB04A9"/>
    <w:rsid w:val="00DB0C92"/>
    <w:rsid w:val="00DB1007"/>
    <w:rsid w:val="00DB1119"/>
    <w:rsid w:val="00DB163C"/>
    <w:rsid w:val="00DB1764"/>
    <w:rsid w:val="00DB1C0D"/>
    <w:rsid w:val="00DB2100"/>
    <w:rsid w:val="00DB214D"/>
    <w:rsid w:val="00DB21A7"/>
    <w:rsid w:val="00DB21DD"/>
    <w:rsid w:val="00DB2291"/>
    <w:rsid w:val="00DB2360"/>
    <w:rsid w:val="00DB2AFA"/>
    <w:rsid w:val="00DB2E38"/>
    <w:rsid w:val="00DB3150"/>
    <w:rsid w:val="00DB3613"/>
    <w:rsid w:val="00DB379C"/>
    <w:rsid w:val="00DB383A"/>
    <w:rsid w:val="00DB3BCB"/>
    <w:rsid w:val="00DB3C16"/>
    <w:rsid w:val="00DB4397"/>
    <w:rsid w:val="00DB477A"/>
    <w:rsid w:val="00DB48EC"/>
    <w:rsid w:val="00DB4C3C"/>
    <w:rsid w:val="00DB4E9F"/>
    <w:rsid w:val="00DB4EA0"/>
    <w:rsid w:val="00DB4F3F"/>
    <w:rsid w:val="00DB513B"/>
    <w:rsid w:val="00DB5465"/>
    <w:rsid w:val="00DB56CE"/>
    <w:rsid w:val="00DB575C"/>
    <w:rsid w:val="00DB57E6"/>
    <w:rsid w:val="00DB5B4D"/>
    <w:rsid w:val="00DB5E13"/>
    <w:rsid w:val="00DB5E4A"/>
    <w:rsid w:val="00DB5F1A"/>
    <w:rsid w:val="00DB6916"/>
    <w:rsid w:val="00DB6EB4"/>
    <w:rsid w:val="00DB7347"/>
    <w:rsid w:val="00DB7599"/>
    <w:rsid w:val="00DB762F"/>
    <w:rsid w:val="00DB7917"/>
    <w:rsid w:val="00DB798F"/>
    <w:rsid w:val="00DB79F1"/>
    <w:rsid w:val="00DB7AD5"/>
    <w:rsid w:val="00DC0303"/>
    <w:rsid w:val="00DC0777"/>
    <w:rsid w:val="00DC0909"/>
    <w:rsid w:val="00DC0A09"/>
    <w:rsid w:val="00DC0DC9"/>
    <w:rsid w:val="00DC1258"/>
    <w:rsid w:val="00DC1E02"/>
    <w:rsid w:val="00DC1F76"/>
    <w:rsid w:val="00DC2057"/>
    <w:rsid w:val="00DC2A8D"/>
    <w:rsid w:val="00DC2F3D"/>
    <w:rsid w:val="00DC3599"/>
    <w:rsid w:val="00DC3B74"/>
    <w:rsid w:val="00DC3C94"/>
    <w:rsid w:val="00DC4022"/>
    <w:rsid w:val="00DC41CB"/>
    <w:rsid w:val="00DC464C"/>
    <w:rsid w:val="00DC47EA"/>
    <w:rsid w:val="00DC4B1C"/>
    <w:rsid w:val="00DC4BCA"/>
    <w:rsid w:val="00DC4C29"/>
    <w:rsid w:val="00DC4EC1"/>
    <w:rsid w:val="00DC500F"/>
    <w:rsid w:val="00DC51CD"/>
    <w:rsid w:val="00DC5A0C"/>
    <w:rsid w:val="00DC6418"/>
    <w:rsid w:val="00DC6963"/>
    <w:rsid w:val="00DC73A1"/>
    <w:rsid w:val="00DC740C"/>
    <w:rsid w:val="00DC7E5D"/>
    <w:rsid w:val="00DD0209"/>
    <w:rsid w:val="00DD027D"/>
    <w:rsid w:val="00DD03BC"/>
    <w:rsid w:val="00DD052B"/>
    <w:rsid w:val="00DD060C"/>
    <w:rsid w:val="00DD0675"/>
    <w:rsid w:val="00DD0E7D"/>
    <w:rsid w:val="00DD111F"/>
    <w:rsid w:val="00DD1372"/>
    <w:rsid w:val="00DD2002"/>
    <w:rsid w:val="00DD26E5"/>
    <w:rsid w:val="00DD2743"/>
    <w:rsid w:val="00DD2759"/>
    <w:rsid w:val="00DD2B01"/>
    <w:rsid w:val="00DD2CE9"/>
    <w:rsid w:val="00DD2FB6"/>
    <w:rsid w:val="00DD3154"/>
    <w:rsid w:val="00DD373F"/>
    <w:rsid w:val="00DD39AB"/>
    <w:rsid w:val="00DD3EFF"/>
    <w:rsid w:val="00DD4014"/>
    <w:rsid w:val="00DD40C9"/>
    <w:rsid w:val="00DD4313"/>
    <w:rsid w:val="00DD49C1"/>
    <w:rsid w:val="00DD4AD8"/>
    <w:rsid w:val="00DD4E36"/>
    <w:rsid w:val="00DD4F7F"/>
    <w:rsid w:val="00DD4FF8"/>
    <w:rsid w:val="00DD5152"/>
    <w:rsid w:val="00DD5F38"/>
    <w:rsid w:val="00DD5FFB"/>
    <w:rsid w:val="00DD6014"/>
    <w:rsid w:val="00DD62BB"/>
    <w:rsid w:val="00DD662F"/>
    <w:rsid w:val="00DD6CC9"/>
    <w:rsid w:val="00DD6E3B"/>
    <w:rsid w:val="00DD7805"/>
    <w:rsid w:val="00DE07BC"/>
    <w:rsid w:val="00DE09E3"/>
    <w:rsid w:val="00DE0F57"/>
    <w:rsid w:val="00DE101C"/>
    <w:rsid w:val="00DE11FA"/>
    <w:rsid w:val="00DE12CF"/>
    <w:rsid w:val="00DE1598"/>
    <w:rsid w:val="00DE1EBA"/>
    <w:rsid w:val="00DE1F65"/>
    <w:rsid w:val="00DE2278"/>
    <w:rsid w:val="00DE238B"/>
    <w:rsid w:val="00DE25A9"/>
    <w:rsid w:val="00DE3703"/>
    <w:rsid w:val="00DE38F6"/>
    <w:rsid w:val="00DE3B12"/>
    <w:rsid w:val="00DE3E53"/>
    <w:rsid w:val="00DE407A"/>
    <w:rsid w:val="00DE4393"/>
    <w:rsid w:val="00DE49C3"/>
    <w:rsid w:val="00DE4A00"/>
    <w:rsid w:val="00DE5265"/>
    <w:rsid w:val="00DE5544"/>
    <w:rsid w:val="00DE55A9"/>
    <w:rsid w:val="00DE58FC"/>
    <w:rsid w:val="00DE5A13"/>
    <w:rsid w:val="00DE5AAB"/>
    <w:rsid w:val="00DE5C0E"/>
    <w:rsid w:val="00DE5CA1"/>
    <w:rsid w:val="00DE5DCC"/>
    <w:rsid w:val="00DE5F1E"/>
    <w:rsid w:val="00DE6128"/>
    <w:rsid w:val="00DE6370"/>
    <w:rsid w:val="00DE6558"/>
    <w:rsid w:val="00DE692A"/>
    <w:rsid w:val="00DE709D"/>
    <w:rsid w:val="00DE7318"/>
    <w:rsid w:val="00DE7804"/>
    <w:rsid w:val="00DE7841"/>
    <w:rsid w:val="00DE7CA2"/>
    <w:rsid w:val="00DE7D0D"/>
    <w:rsid w:val="00DF040B"/>
    <w:rsid w:val="00DF04CD"/>
    <w:rsid w:val="00DF0738"/>
    <w:rsid w:val="00DF0A3A"/>
    <w:rsid w:val="00DF0C8B"/>
    <w:rsid w:val="00DF0D7F"/>
    <w:rsid w:val="00DF1688"/>
    <w:rsid w:val="00DF199A"/>
    <w:rsid w:val="00DF1A5D"/>
    <w:rsid w:val="00DF1E54"/>
    <w:rsid w:val="00DF1FD9"/>
    <w:rsid w:val="00DF2115"/>
    <w:rsid w:val="00DF2FCF"/>
    <w:rsid w:val="00DF37BA"/>
    <w:rsid w:val="00DF38B4"/>
    <w:rsid w:val="00DF4B5D"/>
    <w:rsid w:val="00DF500A"/>
    <w:rsid w:val="00DF531B"/>
    <w:rsid w:val="00DF534E"/>
    <w:rsid w:val="00DF5A38"/>
    <w:rsid w:val="00DF5B7D"/>
    <w:rsid w:val="00DF5BE1"/>
    <w:rsid w:val="00DF62DB"/>
    <w:rsid w:val="00DF63D9"/>
    <w:rsid w:val="00DF732D"/>
    <w:rsid w:val="00DF73BC"/>
    <w:rsid w:val="00DF756F"/>
    <w:rsid w:val="00DF77D5"/>
    <w:rsid w:val="00DF7C66"/>
    <w:rsid w:val="00DF7CC6"/>
    <w:rsid w:val="00E001BF"/>
    <w:rsid w:val="00E008FF"/>
    <w:rsid w:val="00E00C2C"/>
    <w:rsid w:val="00E00C89"/>
    <w:rsid w:val="00E00F0B"/>
    <w:rsid w:val="00E012CB"/>
    <w:rsid w:val="00E01539"/>
    <w:rsid w:val="00E01962"/>
    <w:rsid w:val="00E02B42"/>
    <w:rsid w:val="00E032FB"/>
    <w:rsid w:val="00E035DB"/>
    <w:rsid w:val="00E03F2B"/>
    <w:rsid w:val="00E03FE7"/>
    <w:rsid w:val="00E0414F"/>
    <w:rsid w:val="00E04959"/>
    <w:rsid w:val="00E04BA3"/>
    <w:rsid w:val="00E04D3A"/>
    <w:rsid w:val="00E05111"/>
    <w:rsid w:val="00E059F6"/>
    <w:rsid w:val="00E05BF2"/>
    <w:rsid w:val="00E06A8D"/>
    <w:rsid w:val="00E06C94"/>
    <w:rsid w:val="00E070E0"/>
    <w:rsid w:val="00E07102"/>
    <w:rsid w:val="00E0712A"/>
    <w:rsid w:val="00E072AB"/>
    <w:rsid w:val="00E07925"/>
    <w:rsid w:val="00E07BA9"/>
    <w:rsid w:val="00E07BDB"/>
    <w:rsid w:val="00E10155"/>
    <w:rsid w:val="00E104E3"/>
    <w:rsid w:val="00E10601"/>
    <w:rsid w:val="00E1062A"/>
    <w:rsid w:val="00E10930"/>
    <w:rsid w:val="00E10B44"/>
    <w:rsid w:val="00E11227"/>
    <w:rsid w:val="00E113D3"/>
    <w:rsid w:val="00E117FF"/>
    <w:rsid w:val="00E1197F"/>
    <w:rsid w:val="00E12220"/>
    <w:rsid w:val="00E127E9"/>
    <w:rsid w:val="00E12F6A"/>
    <w:rsid w:val="00E132CD"/>
    <w:rsid w:val="00E133A4"/>
    <w:rsid w:val="00E133E4"/>
    <w:rsid w:val="00E135D1"/>
    <w:rsid w:val="00E13C68"/>
    <w:rsid w:val="00E13C83"/>
    <w:rsid w:val="00E146E6"/>
    <w:rsid w:val="00E14A8B"/>
    <w:rsid w:val="00E14B3A"/>
    <w:rsid w:val="00E14D8D"/>
    <w:rsid w:val="00E15648"/>
    <w:rsid w:val="00E156FD"/>
    <w:rsid w:val="00E15C45"/>
    <w:rsid w:val="00E15DA0"/>
    <w:rsid w:val="00E15F52"/>
    <w:rsid w:val="00E16D64"/>
    <w:rsid w:val="00E17034"/>
    <w:rsid w:val="00E172B3"/>
    <w:rsid w:val="00E1741F"/>
    <w:rsid w:val="00E175C0"/>
    <w:rsid w:val="00E179FF"/>
    <w:rsid w:val="00E17AFC"/>
    <w:rsid w:val="00E17B98"/>
    <w:rsid w:val="00E17F5B"/>
    <w:rsid w:val="00E17F9E"/>
    <w:rsid w:val="00E2047F"/>
    <w:rsid w:val="00E205D6"/>
    <w:rsid w:val="00E20A82"/>
    <w:rsid w:val="00E20AE1"/>
    <w:rsid w:val="00E20C53"/>
    <w:rsid w:val="00E20C73"/>
    <w:rsid w:val="00E20DFB"/>
    <w:rsid w:val="00E20F0B"/>
    <w:rsid w:val="00E21172"/>
    <w:rsid w:val="00E2166F"/>
    <w:rsid w:val="00E21673"/>
    <w:rsid w:val="00E2184E"/>
    <w:rsid w:val="00E218BB"/>
    <w:rsid w:val="00E2194A"/>
    <w:rsid w:val="00E21BF7"/>
    <w:rsid w:val="00E21CCD"/>
    <w:rsid w:val="00E21D37"/>
    <w:rsid w:val="00E21D68"/>
    <w:rsid w:val="00E21E25"/>
    <w:rsid w:val="00E22A03"/>
    <w:rsid w:val="00E22AB1"/>
    <w:rsid w:val="00E22AC9"/>
    <w:rsid w:val="00E23738"/>
    <w:rsid w:val="00E23CA1"/>
    <w:rsid w:val="00E23FC2"/>
    <w:rsid w:val="00E240C9"/>
    <w:rsid w:val="00E248F3"/>
    <w:rsid w:val="00E249FD"/>
    <w:rsid w:val="00E24D16"/>
    <w:rsid w:val="00E24DEE"/>
    <w:rsid w:val="00E261DA"/>
    <w:rsid w:val="00E2627E"/>
    <w:rsid w:val="00E2644C"/>
    <w:rsid w:val="00E269CF"/>
    <w:rsid w:val="00E27104"/>
    <w:rsid w:val="00E27774"/>
    <w:rsid w:val="00E27A77"/>
    <w:rsid w:val="00E27AFC"/>
    <w:rsid w:val="00E27B26"/>
    <w:rsid w:val="00E27D37"/>
    <w:rsid w:val="00E27D71"/>
    <w:rsid w:val="00E302EF"/>
    <w:rsid w:val="00E303B3"/>
    <w:rsid w:val="00E30496"/>
    <w:rsid w:val="00E30684"/>
    <w:rsid w:val="00E30CF4"/>
    <w:rsid w:val="00E30DEE"/>
    <w:rsid w:val="00E31460"/>
    <w:rsid w:val="00E31AE3"/>
    <w:rsid w:val="00E31AF8"/>
    <w:rsid w:val="00E31D60"/>
    <w:rsid w:val="00E31F8E"/>
    <w:rsid w:val="00E32126"/>
    <w:rsid w:val="00E32923"/>
    <w:rsid w:val="00E32ECF"/>
    <w:rsid w:val="00E3334B"/>
    <w:rsid w:val="00E3347B"/>
    <w:rsid w:val="00E33566"/>
    <w:rsid w:val="00E33947"/>
    <w:rsid w:val="00E33AEF"/>
    <w:rsid w:val="00E34258"/>
    <w:rsid w:val="00E34911"/>
    <w:rsid w:val="00E353A1"/>
    <w:rsid w:val="00E35753"/>
    <w:rsid w:val="00E35F9B"/>
    <w:rsid w:val="00E35FAF"/>
    <w:rsid w:val="00E36186"/>
    <w:rsid w:val="00E36520"/>
    <w:rsid w:val="00E36ABE"/>
    <w:rsid w:val="00E3714E"/>
    <w:rsid w:val="00E375CF"/>
    <w:rsid w:val="00E37672"/>
    <w:rsid w:val="00E37680"/>
    <w:rsid w:val="00E376A3"/>
    <w:rsid w:val="00E379DE"/>
    <w:rsid w:val="00E37B75"/>
    <w:rsid w:val="00E37BFF"/>
    <w:rsid w:val="00E37EEB"/>
    <w:rsid w:val="00E401A8"/>
    <w:rsid w:val="00E40311"/>
    <w:rsid w:val="00E40407"/>
    <w:rsid w:val="00E404FF"/>
    <w:rsid w:val="00E408B9"/>
    <w:rsid w:val="00E4095A"/>
    <w:rsid w:val="00E40C28"/>
    <w:rsid w:val="00E40E0B"/>
    <w:rsid w:val="00E40EC1"/>
    <w:rsid w:val="00E40FC4"/>
    <w:rsid w:val="00E411E6"/>
    <w:rsid w:val="00E4182A"/>
    <w:rsid w:val="00E41ABF"/>
    <w:rsid w:val="00E41B71"/>
    <w:rsid w:val="00E41CBA"/>
    <w:rsid w:val="00E41F12"/>
    <w:rsid w:val="00E423BC"/>
    <w:rsid w:val="00E42A84"/>
    <w:rsid w:val="00E42D9D"/>
    <w:rsid w:val="00E42F4B"/>
    <w:rsid w:val="00E4327B"/>
    <w:rsid w:val="00E436E4"/>
    <w:rsid w:val="00E43744"/>
    <w:rsid w:val="00E43E14"/>
    <w:rsid w:val="00E44D61"/>
    <w:rsid w:val="00E44E6C"/>
    <w:rsid w:val="00E45207"/>
    <w:rsid w:val="00E45292"/>
    <w:rsid w:val="00E45431"/>
    <w:rsid w:val="00E45542"/>
    <w:rsid w:val="00E4594B"/>
    <w:rsid w:val="00E467E4"/>
    <w:rsid w:val="00E4683D"/>
    <w:rsid w:val="00E46B1E"/>
    <w:rsid w:val="00E46F74"/>
    <w:rsid w:val="00E472F7"/>
    <w:rsid w:val="00E474A7"/>
    <w:rsid w:val="00E47A69"/>
    <w:rsid w:val="00E50236"/>
    <w:rsid w:val="00E5029D"/>
    <w:rsid w:val="00E504DA"/>
    <w:rsid w:val="00E5054F"/>
    <w:rsid w:val="00E50768"/>
    <w:rsid w:val="00E50A23"/>
    <w:rsid w:val="00E50A8C"/>
    <w:rsid w:val="00E510B3"/>
    <w:rsid w:val="00E510D0"/>
    <w:rsid w:val="00E513D6"/>
    <w:rsid w:val="00E51C25"/>
    <w:rsid w:val="00E51F1C"/>
    <w:rsid w:val="00E51FB1"/>
    <w:rsid w:val="00E521AA"/>
    <w:rsid w:val="00E52604"/>
    <w:rsid w:val="00E52A26"/>
    <w:rsid w:val="00E52A42"/>
    <w:rsid w:val="00E52C00"/>
    <w:rsid w:val="00E5379A"/>
    <w:rsid w:val="00E53BAA"/>
    <w:rsid w:val="00E53DC2"/>
    <w:rsid w:val="00E53EAB"/>
    <w:rsid w:val="00E546C8"/>
    <w:rsid w:val="00E54989"/>
    <w:rsid w:val="00E549C0"/>
    <w:rsid w:val="00E54CDB"/>
    <w:rsid w:val="00E551BC"/>
    <w:rsid w:val="00E5538B"/>
    <w:rsid w:val="00E55764"/>
    <w:rsid w:val="00E55B3A"/>
    <w:rsid w:val="00E55CA3"/>
    <w:rsid w:val="00E55D50"/>
    <w:rsid w:val="00E55F54"/>
    <w:rsid w:val="00E56184"/>
    <w:rsid w:val="00E56272"/>
    <w:rsid w:val="00E5629A"/>
    <w:rsid w:val="00E562B4"/>
    <w:rsid w:val="00E562C7"/>
    <w:rsid w:val="00E56629"/>
    <w:rsid w:val="00E56AC2"/>
    <w:rsid w:val="00E570A6"/>
    <w:rsid w:val="00E575C2"/>
    <w:rsid w:val="00E576DF"/>
    <w:rsid w:val="00E578A5"/>
    <w:rsid w:val="00E57AAD"/>
    <w:rsid w:val="00E57CFA"/>
    <w:rsid w:val="00E57F56"/>
    <w:rsid w:val="00E60649"/>
    <w:rsid w:val="00E60F14"/>
    <w:rsid w:val="00E60FA9"/>
    <w:rsid w:val="00E616D2"/>
    <w:rsid w:val="00E61C10"/>
    <w:rsid w:val="00E62497"/>
    <w:rsid w:val="00E624A0"/>
    <w:rsid w:val="00E62FC8"/>
    <w:rsid w:val="00E631ED"/>
    <w:rsid w:val="00E633A4"/>
    <w:rsid w:val="00E6354C"/>
    <w:rsid w:val="00E63869"/>
    <w:rsid w:val="00E63BDC"/>
    <w:rsid w:val="00E63FBD"/>
    <w:rsid w:val="00E642F4"/>
    <w:rsid w:val="00E647CE"/>
    <w:rsid w:val="00E64C2D"/>
    <w:rsid w:val="00E65062"/>
    <w:rsid w:val="00E65552"/>
    <w:rsid w:val="00E660A1"/>
    <w:rsid w:val="00E66182"/>
    <w:rsid w:val="00E66A88"/>
    <w:rsid w:val="00E66AB1"/>
    <w:rsid w:val="00E66DEB"/>
    <w:rsid w:val="00E66F45"/>
    <w:rsid w:val="00E66F46"/>
    <w:rsid w:val="00E66F8E"/>
    <w:rsid w:val="00E66FA0"/>
    <w:rsid w:val="00E6765B"/>
    <w:rsid w:val="00E679A4"/>
    <w:rsid w:val="00E67D6B"/>
    <w:rsid w:val="00E67DD9"/>
    <w:rsid w:val="00E7018C"/>
    <w:rsid w:val="00E704C3"/>
    <w:rsid w:val="00E70559"/>
    <w:rsid w:val="00E705EC"/>
    <w:rsid w:val="00E70730"/>
    <w:rsid w:val="00E7088F"/>
    <w:rsid w:val="00E70B4F"/>
    <w:rsid w:val="00E70BB6"/>
    <w:rsid w:val="00E70C5D"/>
    <w:rsid w:val="00E71561"/>
    <w:rsid w:val="00E71BE4"/>
    <w:rsid w:val="00E7208C"/>
    <w:rsid w:val="00E722AB"/>
    <w:rsid w:val="00E72ACD"/>
    <w:rsid w:val="00E73826"/>
    <w:rsid w:val="00E73993"/>
    <w:rsid w:val="00E741B7"/>
    <w:rsid w:val="00E74805"/>
    <w:rsid w:val="00E7486E"/>
    <w:rsid w:val="00E74899"/>
    <w:rsid w:val="00E749A7"/>
    <w:rsid w:val="00E750C7"/>
    <w:rsid w:val="00E753A3"/>
    <w:rsid w:val="00E75922"/>
    <w:rsid w:val="00E75B43"/>
    <w:rsid w:val="00E75CD8"/>
    <w:rsid w:val="00E7617C"/>
    <w:rsid w:val="00E76215"/>
    <w:rsid w:val="00E7720E"/>
    <w:rsid w:val="00E8038F"/>
    <w:rsid w:val="00E80C24"/>
    <w:rsid w:val="00E81041"/>
    <w:rsid w:val="00E810EA"/>
    <w:rsid w:val="00E814E2"/>
    <w:rsid w:val="00E81820"/>
    <w:rsid w:val="00E82878"/>
    <w:rsid w:val="00E82AF7"/>
    <w:rsid w:val="00E82FD3"/>
    <w:rsid w:val="00E83267"/>
    <w:rsid w:val="00E8348F"/>
    <w:rsid w:val="00E8351D"/>
    <w:rsid w:val="00E83713"/>
    <w:rsid w:val="00E837BA"/>
    <w:rsid w:val="00E83EAE"/>
    <w:rsid w:val="00E84100"/>
    <w:rsid w:val="00E842B8"/>
    <w:rsid w:val="00E8533E"/>
    <w:rsid w:val="00E85430"/>
    <w:rsid w:val="00E85EB0"/>
    <w:rsid w:val="00E86AEE"/>
    <w:rsid w:val="00E86B78"/>
    <w:rsid w:val="00E86D3B"/>
    <w:rsid w:val="00E87354"/>
    <w:rsid w:val="00E8781B"/>
    <w:rsid w:val="00E87FB0"/>
    <w:rsid w:val="00E902C6"/>
    <w:rsid w:val="00E908AE"/>
    <w:rsid w:val="00E90990"/>
    <w:rsid w:val="00E915C3"/>
    <w:rsid w:val="00E91660"/>
    <w:rsid w:val="00E919E2"/>
    <w:rsid w:val="00E91C6C"/>
    <w:rsid w:val="00E924FA"/>
    <w:rsid w:val="00E9282F"/>
    <w:rsid w:val="00E9296E"/>
    <w:rsid w:val="00E930A1"/>
    <w:rsid w:val="00E935BE"/>
    <w:rsid w:val="00E935C8"/>
    <w:rsid w:val="00E93D00"/>
    <w:rsid w:val="00E93F9C"/>
    <w:rsid w:val="00E9450C"/>
    <w:rsid w:val="00E945B6"/>
    <w:rsid w:val="00E94648"/>
    <w:rsid w:val="00E951F7"/>
    <w:rsid w:val="00E9521F"/>
    <w:rsid w:val="00E952F2"/>
    <w:rsid w:val="00E95D21"/>
    <w:rsid w:val="00E95D73"/>
    <w:rsid w:val="00E95E74"/>
    <w:rsid w:val="00E95E86"/>
    <w:rsid w:val="00E9631A"/>
    <w:rsid w:val="00E96475"/>
    <w:rsid w:val="00E96E6D"/>
    <w:rsid w:val="00E96F7C"/>
    <w:rsid w:val="00E97114"/>
    <w:rsid w:val="00E97270"/>
    <w:rsid w:val="00E97F88"/>
    <w:rsid w:val="00EA015E"/>
    <w:rsid w:val="00EA110C"/>
    <w:rsid w:val="00EA12D7"/>
    <w:rsid w:val="00EA1413"/>
    <w:rsid w:val="00EA141D"/>
    <w:rsid w:val="00EA2344"/>
    <w:rsid w:val="00EA240C"/>
    <w:rsid w:val="00EA285C"/>
    <w:rsid w:val="00EA29A6"/>
    <w:rsid w:val="00EA2C55"/>
    <w:rsid w:val="00EA2E09"/>
    <w:rsid w:val="00EA3AE6"/>
    <w:rsid w:val="00EA3B9C"/>
    <w:rsid w:val="00EA3BFF"/>
    <w:rsid w:val="00EA4240"/>
    <w:rsid w:val="00EA48A2"/>
    <w:rsid w:val="00EA4E53"/>
    <w:rsid w:val="00EA5164"/>
    <w:rsid w:val="00EA56CD"/>
    <w:rsid w:val="00EA56D2"/>
    <w:rsid w:val="00EA5853"/>
    <w:rsid w:val="00EA5A16"/>
    <w:rsid w:val="00EA5D10"/>
    <w:rsid w:val="00EA5FC0"/>
    <w:rsid w:val="00EA660B"/>
    <w:rsid w:val="00EA662B"/>
    <w:rsid w:val="00EA6EAA"/>
    <w:rsid w:val="00EA70AC"/>
    <w:rsid w:val="00EA72C4"/>
    <w:rsid w:val="00EA755B"/>
    <w:rsid w:val="00EA759A"/>
    <w:rsid w:val="00EA78EF"/>
    <w:rsid w:val="00EA7D3E"/>
    <w:rsid w:val="00EB0009"/>
    <w:rsid w:val="00EB04C5"/>
    <w:rsid w:val="00EB04DF"/>
    <w:rsid w:val="00EB0ADF"/>
    <w:rsid w:val="00EB0C80"/>
    <w:rsid w:val="00EB1023"/>
    <w:rsid w:val="00EB15F3"/>
    <w:rsid w:val="00EB1B37"/>
    <w:rsid w:val="00EB2290"/>
    <w:rsid w:val="00EB2331"/>
    <w:rsid w:val="00EB2E0D"/>
    <w:rsid w:val="00EB2FF3"/>
    <w:rsid w:val="00EB390D"/>
    <w:rsid w:val="00EB3CD0"/>
    <w:rsid w:val="00EB3D5F"/>
    <w:rsid w:val="00EB3D67"/>
    <w:rsid w:val="00EB429D"/>
    <w:rsid w:val="00EB42DD"/>
    <w:rsid w:val="00EB4427"/>
    <w:rsid w:val="00EB4511"/>
    <w:rsid w:val="00EB4CE0"/>
    <w:rsid w:val="00EB525C"/>
    <w:rsid w:val="00EB5586"/>
    <w:rsid w:val="00EB5AE0"/>
    <w:rsid w:val="00EB5CFB"/>
    <w:rsid w:val="00EB5D75"/>
    <w:rsid w:val="00EB5E43"/>
    <w:rsid w:val="00EB64A9"/>
    <w:rsid w:val="00EB64EE"/>
    <w:rsid w:val="00EB65F6"/>
    <w:rsid w:val="00EB6911"/>
    <w:rsid w:val="00EB6A3A"/>
    <w:rsid w:val="00EB6B47"/>
    <w:rsid w:val="00EB6BC3"/>
    <w:rsid w:val="00EB6EAF"/>
    <w:rsid w:val="00EB71CC"/>
    <w:rsid w:val="00EB7724"/>
    <w:rsid w:val="00EC00C4"/>
    <w:rsid w:val="00EC09B4"/>
    <w:rsid w:val="00EC0C9F"/>
    <w:rsid w:val="00EC0DB6"/>
    <w:rsid w:val="00EC1345"/>
    <w:rsid w:val="00EC1941"/>
    <w:rsid w:val="00EC1A21"/>
    <w:rsid w:val="00EC1F1A"/>
    <w:rsid w:val="00EC200D"/>
    <w:rsid w:val="00EC27EC"/>
    <w:rsid w:val="00EC320B"/>
    <w:rsid w:val="00EC3444"/>
    <w:rsid w:val="00EC3625"/>
    <w:rsid w:val="00EC36CF"/>
    <w:rsid w:val="00EC385F"/>
    <w:rsid w:val="00EC393D"/>
    <w:rsid w:val="00EC3CE1"/>
    <w:rsid w:val="00EC4282"/>
    <w:rsid w:val="00EC452A"/>
    <w:rsid w:val="00EC47EF"/>
    <w:rsid w:val="00EC4D32"/>
    <w:rsid w:val="00EC4E6C"/>
    <w:rsid w:val="00EC4EE0"/>
    <w:rsid w:val="00EC6119"/>
    <w:rsid w:val="00EC6129"/>
    <w:rsid w:val="00EC68C8"/>
    <w:rsid w:val="00EC6A4E"/>
    <w:rsid w:val="00EC740F"/>
    <w:rsid w:val="00EC74D0"/>
    <w:rsid w:val="00EC7765"/>
    <w:rsid w:val="00EC77E8"/>
    <w:rsid w:val="00EC7876"/>
    <w:rsid w:val="00EC7E39"/>
    <w:rsid w:val="00ED05AF"/>
    <w:rsid w:val="00ED076C"/>
    <w:rsid w:val="00ED0D4B"/>
    <w:rsid w:val="00ED0DC2"/>
    <w:rsid w:val="00ED0DC8"/>
    <w:rsid w:val="00ED0DCC"/>
    <w:rsid w:val="00ED131F"/>
    <w:rsid w:val="00ED13B1"/>
    <w:rsid w:val="00ED17CA"/>
    <w:rsid w:val="00ED1831"/>
    <w:rsid w:val="00ED19EB"/>
    <w:rsid w:val="00ED1A02"/>
    <w:rsid w:val="00ED1AB9"/>
    <w:rsid w:val="00ED1CBC"/>
    <w:rsid w:val="00ED1E91"/>
    <w:rsid w:val="00ED1EFE"/>
    <w:rsid w:val="00ED2E68"/>
    <w:rsid w:val="00ED301D"/>
    <w:rsid w:val="00ED44CB"/>
    <w:rsid w:val="00ED4568"/>
    <w:rsid w:val="00ED47D4"/>
    <w:rsid w:val="00ED4A8A"/>
    <w:rsid w:val="00ED4DAF"/>
    <w:rsid w:val="00ED53C5"/>
    <w:rsid w:val="00ED5779"/>
    <w:rsid w:val="00ED6064"/>
    <w:rsid w:val="00ED6434"/>
    <w:rsid w:val="00ED650E"/>
    <w:rsid w:val="00ED6B80"/>
    <w:rsid w:val="00ED6F0D"/>
    <w:rsid w:val="00ED6F52"/>
    <w:rsid w:val="00ED752C"/>
    <w:rsid w:val="00ED767E"/>
    <w:rsid w:val="00ED76B3"/>
    <w:rsid w:val="00ED78C2"/>
    <w:rsid w:val="00ED7B76"/>
    <w:rsid w:val="00ED7CD0"/>
    <w:rsid w:val="00ED7D23"/>
    <w:rsid w:val="00EE0591"/>
    <w:rsid w:val="00EE07D0"/>
    <w:rsid w:val="00EE0805"/>
    <w:rsid w:val="00EE08B4"/>
    <w:rsid w:val="00EE0B0D"/>
    <w:rsid w:val="00EE115F"/>
    <w:rsid w:val="00EE12B1"/>
    <w:rsid w:val="00EE141A"/>
    <w:rsid w:val="00EE16E8"/>
    <w:rsid w:val="00EE1F5D"/>
    <w:rsid w:val="00EE2036"/>
    <w:rsid w:val="00EE2EAA"/>
    <w:rsid w:val="00EE4154"/>
    <w:rsid w:val="00EE43B5"/>
    <w:rsid w:val="00EE46BE"/>
    <w:rsid w:val="00EE4B8E"/>
    <w:rsid w:val="00EE4CB6"/>
    <w:rsid w:val="00EE4DEA"/>
    <w:rsid w:val="00EE51EB"/>
    <w:rsid w:val="00EE5245"/>
    <w:rsid w:val="00EE53AB"/>
    <w:rsid w:val="00EE58FB"/>
    <w:rsid w:val="00EE5F40"/>
    <w:rsid w:val="00EE65A2"/>
    <w:rsid w:val="00EE6B9E"/>
    <w:rsid w:val="00EE7954"/>
    <w:rsid w:val="00EE7CA5"/>
    <w:rsid w:val="00EE7D36"/>
    <w:rsid w:val="00EF02E1"/>
    <w:rsid w:val="00EF036A"/>
    <w:rsid w:val="00EF06A7"/>
    <w:rsid w:val="00EF08E8"/>
    <w:rsid w:val="00EF0FA9"/>
    <w:rsid w:val="00EF0FB3"/>
    <w:rsid w:val="00EF0FBD"/>
    <w:rsid w:val="00EF129E"/>
    <w:rsid w:val="00EF167F"/>
    <w:rsid w:val="00EF191B"/>
    <w:rsid w:val="00EF1E90"/>
    <w:rsid w:val="00EF1FA2"/>
    <w:rsid w:val="00EF209E"/>
    <w:rsid w:val="00EF262F"/>
    <w:rsid w:val="00EF2696"/>
    <w:rsid w:val="00EF2875"/>
    <w:rsid w:val="00EF29B3"/>
    <w:rsid w:val="00EF2B14"/>
    <w:rsid w:val="00EF2C29"/>
    <w:rsid w:val="00EF315D"/>
    <w:rsid w:val="00EF328D"/>
    <w:rsid w:val="00EF39DC"/>
    <w:rsid w:val="00EF3BC0"/>
    <w:rsid w:val="00EF44DF"/>
    <w:rsid w:val="00EF4643"/>
    <w:rsid w:val="00EF48A0"/>
    <w:rsid w:val="00EF4DA4"/>
    <w:rsid w:val="00EF4FEF"/>
    <w:rsid w:val="00EF50AC"/>
    <w:rsid w:val="00EF56FE"/>
    <w:rsid w:val="00EF5E5C"/>
    <w:rsid w:val="00EF61B9"/>
    <w:rsid w:val="00EF64FB"/>
    <w:rsid w:val="00EF66CA"/>
    <w:rsid w:val="00EF6791"/>
    <w:rsid w:val="00EF68FE"/>
    <w:rsid w:val="00EF70D0"/>
    <w:rsid w:val="00EF74B2"/>
    <w:rsid w:val="00EF75B4"/>
    <w:rsid w:val="00EF79FE"/>
    <w:rsid w:val="00EF7D5B"/>
    <w:rsid w:val="00F001F0"/>
    <w:rsid w:val="00F002BF"/>
    <w:rsid w:val="00F00385"/>
    <w:rsid w:val="00F00885"/>
    <w:rsid w:val="00F00E1F"/>
    <w:rsid w:val="00F010E3"/>
    <w:rsid w:val="00F019AA"/>
    <w:rsid w:val="00F01CC1"/>
    <w:rsid w:val="00F0246C"/>
    <w:rsid w:val="00F0251E"/>
    <w:rsid w:val="00F0268B"/>
    <w:rsid w:val="00F0268C"/>
    <w:rsid w:val="00F02E7E"/>
    <w:rsid w:val="00F02EA1"/>
    <w:rsid w:val="00F0300B"/>
    <w:rsid w:val="00F03186"/>
    <w:rsid w:val="00F0395C"/>
    <w:rsid w:val="00F041BC"/>
    <w:rsid w:val="00F042EA"/>
    <w:rsid w:val="00F047AF"/>
    <w:rsid w:val="00F04848"/>
    <w:rsid w:val="00F04D9C"/>
    <w:rsid w:val="00F04F6E"/>
    <w:rsid w:val="00F05008"/>
    <w:rsid w:val="00F05211"/>
    <w:rsid w:val="00F058D2"/>
    <w:rsid w:val="00F0594A"/>
    <w:rsid w:val="00F05BE3"/>
    <w:rsid w:val="00F05C81"/>
    <w:rsid w:val="00F05E76"/>
    <w:rsid w:val="00F0601F"/>
    <w:rsid w:val="00F067A5"/>
    <w:rsid w:val="00F067FD"/>
    <w:rsid w:val="00F06967"/>
    <w:rsid w:val="00F073A5"/>
    <w:rsid w:val="00F07DCC"/>
    <w:rsid w:val="00F10011"/>
    <w:rsid w:val="00F10077"/>
    <w:rsid w:val="00F1018F"/>
    <w:rsid w:val="00F101AE"/>
    <w:rsid w:val="00F101B9"/>
    <w:rsid w:val="00F103EA"/>
    <w:rsid w:val="00F103FA"/>
    <w:rsid w:val="00F10699"/>
    <w:rsid w:val="00F1071E"/>
    <w:rsid w:val="00F10C39"/>
    <w:rsid w:val="00F10D1D"/>
    <w:rsid w:val="00F10F6E"/>
    <w:rsid w:val="00F10FAC"/>
    <w:rsid w:val="00F11353"/>
    <w:rsid w:val="00F11461"/>
    <w:rsid w:val="00F11605"/>
    <w:rsid w:val="00F11773"/>
    <w:rsid w:val="00F11FCE"/>
    <w:rsid w:val="00F1265C"/>
    <w:rsid w:val="00F12B3A"/>
    <w:rsid w:val="00F131EF"/>
    <w:rsid w:val="00F13259"/>
    <w:rsid w:val="00F13F10"/>
    <w:rsid w:val="00F14138"/>
    <w:rsid w:val="00F14495"/>
    <w:rsid w:val="00F14DFC"/>
    <w:rsid w:val="00F15014"/>
    <w:rsid w:val="00F15211"/>
    <w:rsid w:val="00F1521B"/>
    <w:rsid w:val="00F154FE"/>
    <w:rsid w:val="00F157DB"/>
    <w:rsid w:val="00F15B3B"/>
    <w:rsid w:val="00F15BA4"/>
    <w:rsid w:val="00F1616C"/>
    <w:rsid w:val="00F167DB"/>
    <w:rsid w:val="00F16CD6"/>
    <w:rsid w:val="00F16F61"/>
    <w:rsid w:val="00F1707E"/>
    <w:rsid w:val="00F17142"/>
    <w:rsid w:val="00F17828"/>
    <w:rsid w:val="00F201EB"/>
    <w:rsid w:val="00F2075C"/>
    <w:rsid w:val="00F2087B"/>
    <w:rsid w:val="00F20C81"/>
    <w:rsid w:val="00F20DEC"/>
    <w:rsid w:val="00F21189"/>
    <w:rsid w:val="00F21193"/>
    <w:rsid w:val="00F21361"/>
    <w:rsid w:val="00F21A9A"/>
    <w:rsid w:val="00F21F07"/>
    <w:rsid w:val="00F220E8"/>
    <w:rsid w:val="00F22448"/>
    <w:rsid w:val="00F22754"/>
    <w:rsid w:val="00F22CC7"/>
    <w:rsid w:val="00F238AB"/>
    <w:rsid w:val="00F23B6D"/>
    <w:rsid w:val="00F23D7C"/>
    <w:rsid w:val="00F23FE9"/>
    <w:rsid w:val="00F2446B"/>
    <w:rsid w:val="00F244B2"/>
    <w:rsid w:val="00F24554"/>
    <w:rsid w:val="00F24563"/>
    <w:rsid w:val="00F247AF"/>
    <w:rsid w:val="00F2480A"/>
    <w:rsid w:val="00F24BBB"/>
    <w:rsid w:val="00F24DAD"/>
    <w:rsid w:val="00F254C4"/>
    <w:rsid w:val="00F254D4"/>
    <w:rsid w:val="00F256C5"/>
    <w:rsid w:val="00F259A8"/>
    <w:rsid w:val="00F25BD6"/>
    <w:rsid w:val="00F25DE1"/>
    <w:rsid w:val="00F25F66"/>
    <w:rsid w:val="00F26171"/>
    <w:rsid w:val="00F262FA"/>
    <w:rsid w:val="00F26486"/>
    <w:rsid w:val="00F265DB"/>
    <w:rsid w:val="00F26650"/>
    <w:rsid w:val="00F26BBB"/>
    <w:rsid w:val="00F2702E"/>
    <w:rsid w:val="00F2716E"/>
    <w:rsid w:val="00F2728E"/>
    <w:rsid w:val="00F2760D"/>
    <w:rsid w:val="00F2783D"/>
    <w:rsid w:val="00F2791F"/>
    <w:rsid w:val="00F279ED"/>
    <w:rsid w:val="00F27CD0"/>
    <w:rsid w:val="00F27E73"/>
    <w:rsid w:val="00F3001A"/>
    <w:rsid w:val="00F30062"/>
    <w:rsid w:val="00F3012C"/>
    <w:rsid w:val="00F30C29"/>
    <w:rsid w:val="00F30EEB"/>
    <w:rsid w:val="00F313ED"/>
    <w:rsid w:val="00F319B3"/>
    <w:rsid w:val="00F31B3E"/>
    <w:rsid w:val="00F31CF9"/>
    <w:rsid w:val="00F31D6C"/>
    <w:rsid w:val="00F32161"/>
    <w:rsid w:val="00F3216C"/>
    <w:rsid w:val="00F32742"/>
    <w:rsid w:val="00F327BF"/>
    <w:rsid w:val="00F32A9D"/>
    <w:rsid w:val="00F32E7E"/>
    <w:rsid w:val="00F331CA"/>
    <w:rsid w:val="00F3344D"/>
    <w:rsid w:val="00F337F9"/>
    <w:rsid w:val="00F33EAE"/>
    <w:rsid w:val="00F33F80"/>
    <w:rsid w:val="00F33FB0"/>
    <w:rsid w:val="00F340E5"/>
    <w:rsid w:val="00F34597"/>
    <w:rsid w:val="00F3463C"/>
    <w:rsid w:val="00F347C0"/>
    <w:rsid w:val="00F34E6D"/>
    <w:rsid w:val="00F34F5C"/>
    <w:rsid w:val="00F35035"/>
    <w:rsid w:val="00F35528"/>
    <w:rsid w:val="00F3558E"/>
    <w:rsid w:val="00F35715"/>
    <w:rsid w:val="00F359BE"/>
    <w:rsid w:val="00F36017"/>
    <w:rsid w:val="00F36970"/>
    <w:rsid w:val="00F36B69"/>
    <w:rsid w:val="00F36E1C"/>
    <w:rsid w:val="00F36E5A"/>
    <w:rsid w:val="00F3704D"/>
    <w:rsid w:val="00F3764C"/>
    <w:rsid w:val="00F37CF3"/>
    <w:rsid w:val="00F37FF9"/>
    <w:rsid w:val="00F4000C"/>
    <w:rsid w:val="00F40790"/>
    <w:rsid w:val="00F40DC2"/>
    <w:rsid w:val="00F40F23"/>
    <w:rsid w:val="00F40FA3"/>
    <w:rsid w:val="00F41257"/>
    <w:rsid w:val="00F41621"/>
    <w:rsid w:val="00F41651"/>
    <w:rsid w:val="00F41BF6"/>
    <w:rsid w:val="00F41E7F"/>
    <w:rsid w:val="00F42F77"/>
    <w:rsid w:val="00F430C2"/>
    <w:rsid w:val="00F43165"/>
    <w:rsid w:val="00F43433"/>
    <w:rsid w:val="00F43490"/>
    <w:rsid w:val="00F43A52"/>
    <w:rsid w:val="00F43C9D"/>
    <w:rsid w:val="00F43F1B"/>
    <w:rsid w:val="00F43FD6"/>
    <w:rsid w:val="00F4420D"/>
    <w:rsid w:val="00F44462"/>
    <w:rsid w:val="00F44A90"/>
    <w:rsid w:val="00F44D1C"/>
    <w:rsid w:val="00F45284"/>
    <w:rsid w:val="00F45A4B"/>
    <w:rsid w:val="00F45FA4"/>
    <w:rsid w:val="00F45FDE"/>
    <w:rsid w:val="00F460C4"/>
    <w:rsid w:val="00F46C1B"/>
    <w:rsid w:val="00F471F3"/>
    <w:rsid w:val="00F47312"/>
    <w:rsid w:val="00F474E7"/>
    <w:rsid w:val="00F47761"/>
    <w:rsid w:val="00F47FF2"/>
    <w:rsid w:val="00F50250"/>
    <w:rsid w:val="00F50529"/>
    <w:rsid w:val="00F506FD"/>
    <w:rsid w:val="00F50A0F"/>
    <w:rsid w:val="00F50F2A"/>
    <w:rsid w:val="00F511CB"/>
    <w:rsid w:val="00F513D0"/>
    <w:rsid w:val="00F5178E"/>
    <w:rsid w:val="00F51B90"/>
    <w:rsid w:val="00F523F2"/>
    <w:rsid w:val="00F52420"/>
    <w:rsid w:val="00F5247C"/>
    <w:rsid w:val="00F52648"/>
    <w:rsid w:val="00F52E3B"/>
    <w:rsid w:val="00F52F1C"/>
    <w:rsid w:val="00F536D6"/>
    <w:rsid w:val="00F53B9F"/>
    <w:rsid w:val="00F53F17"/>
    <w:rsid w:val="00F541FF"/>
    <w:rsid w:val="00F54396"/>
    <w:rsid w:val="00F54F78"/>
    <w:rsid w:val="00F5508F"/>
    <w:rsid w:val="00F5531F"/>
    <w:rsid w:val="00F553EA"/>
    <w:rsid w:val="00F556D5"/>
    <w:rsid w:val="00F557C5"/>
    <w:rsid w:val="00F55833"/>
    <w:rsid w:val="00F55ADC"/>
    <w:rsid w:val="00F564A5"/>
    <w:rsid w:val="00F56BEC"/>
    <w:rsid w:val="00F56E3D"/>
    <w:rsid w:val="00F60907"/>
    <w:rsid w:val="00F60D3C"/>
    <w:rsid w:val="00F6155E"/>
    <w:rsid w:val="00F615C9"/>
    <w:rsid w:val="00F61C23"/>
    <w:rsid w:val="00F62241"/>
    <w:rsid w:val="00F622E3"/>
    <w:rsid w:val="00F6262F"/>
    <w:rsid w:val="00F62D0A"/>
    <w:rsid w:val="00F62FE4"/>
    <w:rsid w:val="00F63323"/>
    <w:rsid w:val="00F642EC"/>
    <w:rsid w:val="00F6433C"/>
    <w:rsid w:val="00F644DC"/>
    <w:rsid w:val="00F64578"/>
    <w:rsid w:val="00F64928"/>
    <w:rsid w:val="00F64A2A"/>
    <w:rsid w:val="00F64D4B"/>
    <w:rsid w:val="00F64EC2"/>
    <w:rsid w:val="00F656D2"/>
    <w:rsid w:val="00F656D8"/>
    <w:rsid w:val="00F657B1"/>
    <w:rsid w:val="00F65CA5"/>
    <w:rsid w:val="00F66183"/>
    <w:rsid w:val="00F66223"/>
    <w:rsid w:val="00F664CA"/>
    <w:rsid w:val="00F67134"/>
    <w:rsid w:val="00F671BE"/>
    <w:rsid w:val="00F6751D"/>
    <w:rsid w:val="00F675F4"/>
    <w:rsid w:val="00F67843"/>
    <w:rsid w:val="00F67BC2"/>
    <w:rsid w:val="00F67C54"/>
    <w:rsid w:val="00F67CAF"/>
    <w:rsid w:val="00F67E20"/>
    <w:rsid w:val="00F67FD4"/>
    <w:rsid w:val="00F70BB3"/>
    <w:rsid w:val="00F711D6"/>
    <w:rsid w:val="00F714DE"/>
    <w:rsid w:val="00F71754"/>
    <w:rsid w:val="00F71A83"/>
    <w:rsid w:val="00F71AC9"/>
    <w:rsid w:val="00F71D27"/>
    <w:rsid w:val="00F7271C"/>
    <w:rsid w:val="00F7310D"/>
    <w:rsid w:val="00F7399F"/>
    <w:rsid w:val="00F739AC"/>
    <w:rsid w:val="00F73B1D"/>
    <w:rsid w:val="00F73B47"/>
    <w:rsid w:val="00F7430D"/>
    <w:rsid w:val="00F74427"/>
    <w:rsid w:val="00F74677"/>
    <w:rsid w:val="00F746D0"/>
    <w:rsid w:val="00F74701"/>
    <w:rsid w:val="00F74A81"/>
    <w:rsid w:val="00F74B5B"/>
    <w:rsid w:val="00F74E26"/>
    <w:rsid w:val="00F75410"/>
    <w:rsid w:val="00F75741"/>
    <w:rsid w:val="00F75A2F"/>
    <w:rsid w:val="00F75C4D"/>
    <w:rsid w:val="00F75E4C"/>
    <w:rsid w:val="00F76E1D"/>
    <w:rsid w:val="00F76F4D"/>
    <w:rsid w:val="00F77149"/>
    <w:rsid w:val="00F7738A"/>
    <w:rsid w:val="00F77B75"/>
    <w:rsid w:val="00F77BD9"/>
    <w:rsid w:val="00F8010E"/>
    <w:rsid w:val="00F809B6"/>
    <w:rsid w:val="00F809EE"/>
    <w:rsid w:val="00F80A94"/>
    <w:rsid w:val="00F80C33"/>
    <w:rsid w:val="00F80DD6"/>
    <w:rsid w:val="00F8168B"/>
    <w:rsid w:val="00F817B7"/>
    <w:rsid w:val="00F819E9"/>
    <w:rsid w:val="00F81A23"/>
    <w:rsid w:val="00F81EF7"/>
    <w:rsid w:val="00F82A6E"/>
    <w:rsid w:val="00F82B49"/>
    <w:rsid w:val="00F82B5E"/>
    <w:rsid w:val="00F82C49"/>
    <w:rsid w:val="00F82E2A"/>
    <w:rsid w:val="00F831AA"/>
    <w:rsid w:val="00F8329A"/>
    <w:rsid w:val="00F834D6"/>
    <w:rsid w:val="00F8371F"/>
    <w:rsid w:val="00F83BF1"/>
    <w:rsid w:val="00F83D65"/>
    <w:rsid w:val="00F84614"/>
    <w:rsid w:val="00F8483E"/>
    <w:rsid w:val="00F85A20"/>
    <w:rsid w:val="00F85B5D"/>
    <w:rsid w:val="00F85BE5"/>
    <w:rsid w:val="00F85CA4"/>
    <w:rsid w:val="00F85EE8"/>
    <w:rsid w:val="00F86098"/>
    <w:rsid w:val="00F86339"/>
    <w:rsid w:val="00F8647A"/>
    <w:rsid w:val="00F8647D"/>
    <w:rsid w:val="00F86481"/>
    <w:rsid w:val="00F864AE"/>
    <w:rsid w:val="00F86534"/>
    <w:rsid w:val="00F8672E"/>
    <w:rsid w:val="00F86CF9"/>
    <w:rsid w:val="00F87082"/>
    <w:rsid w:val="00F872A3"/>
    <w:rsid w:val="00F87D72"/>
    <w:rsid w:val="00F905E6"/>
    <w:rsid w:val="00F90C05"/>
    <w:rsid w:val="00F91245"/>
    <w:rsid w:val="00F91475"/>
    <w:rsid w:val="00F915CF"/>
    <w:rsid w:val="00F9181F"/>
    <w:rsid w:val="00F91963"/>
    <w:rsid w:val="00F91C30"/>
    <w:rsid w:val="00F925FE"/>
    <w:rsid w:val="00F92A03"/>
    <w:rsid w:val="00F92BEB"/>
    <w:rsid w:val="00F9311D"/>
    <w:rsid w:val="00F9371C"/>
    <w:rsid w:val="00F9393F"/>
    <w:rsid w:val="00F9397B"/>
    <w:rsid w:val="00F9398E"/>
    <w:rsid w:val="00F93AED"/>
    <w:rsid w:val="00F93CF3"/>
    <w:rsid w:val="00F93DC8"/>
    <w:rsid w:val="00F9429E"/>
    <w:rsid w:val="00F9448D"/>
    <w:rsid w:val="00F94573"/>
    <w:rsid w:val="00F946D8"/>
    <w:rsid w:val="00F948CA"/>
    <w:rsid w:val="00F95A31"/>
    <w:rsid w:val="00F95AEA"/>
    <w:rsid w:val="00F95DF8"/>
    <w:rsid w:val="00F96501"/>
    <w:rsid w:val="00F96AE3"/>
    <w:rsid w:val="00F96CFE"/>
    <w:rsid w:val="00F9740C"/>
    <w:rsid w:val="00F97465"/>
    <w:rsid w:val="00F974B1"/>
    <w:rsid w:val="00F97664"/>
    <w:rsid w:val="00F97698"/>
    <w:rsid w:val="00F97908"/>
    <w:rsid w:val="00F9791F"/>
    <w:rsid w:val="00F97E85"/>
    <w:rsid w:val="00F97F4D"/>
    <w:rsid w:val="00FA000B"/>
    <w:rsid w:val="00FA101D"/>
    <w:rsid w:val="00FA101F"/>
    <w:rsid w:val="00FA1CBD"/>
    <w:rsid w:val="00FA2739"/>
    <w:rsid w:val="00FA29DA"/>
    <w:rsid w:val="00FA2CD7"/>
    <w:rsid w:val="00FA2CE7"/>
    <w:rsid w:val="00FA2E9E"/>
    <w:rsid w:val="00FA2EC3"/>
    <w:rsid w:val="00FA325B"/>
    <w:rsid w:val="00FA34AE"/>
    <w:rsid w:val="00FA35E3"/>
    <w:rsid w:val="00FA3653"/>
    <w:rsid w:val="00FA3997"/>
    <w:rsid w:val="00FA3DA5"/>
    <w:rsid w:val="00FA4A43"/>
    <w:rsid w:val="00FA4B03"/>
    <w:rsid w:val="00FA54DC"/>
    <w:rsid w:val="00FA59DD"/>
    <w:rsid w:val="00FA5F69"/>
    <w:rsid w:val="00FA62EC"/>
    <w:rsid w:val="00FA6705"/>
    <w:rsid w:val="00FA6BAC"/>
    <w:rsid w:val="00FA6F6B"/>
    <w:rsid w:val="00FA7361"/>
    <w:rsid w:val="00FA7BB5"/>
    <w:rsid w:val="00FA7E08"/>
    <w:rsid w:val="00FB00C7"/>
    <w:rsid w:val="00FB01E6"/>
    <w:rsid w:val="00FB0795"/>
    <w:rsid w:val="00FB0D36"/>
    <w:rsid w:val="00FB1906"/>
    <w:rsid w:val="00FB1B92"/>
    <w:rsid w:val="00FB2075"/>
    <w:rsid w:val="00FB2131"/>
    <w:rsid w:val="00FB2A31"/>
    <w:rsid w:val="00FB2E84"/>
    <w:rsid w:val="00FB2FFD"/>
    <w:rsid w:val="00FB333A"/>
    <w:rsid w:val="00FB3486"/>
    <w:rsid w:val="00FB3E28"/>
    <w:rsid w:val="00FB3ECD"/>
    <w:rsid w:val="00FB3F03"/>
    <w:rsid w:val="00FB3F92"/>
    <w:rsid w:val="00FB41DE"/>
    <w:rsid w:val="00FB471F"/>
    <w:rsid w:val="00FB48C3"/>
    <w:rsid w:val="00FB4AC5"/>
    <w:rsid w:val="00FB4CBF"/>
    <w:rsid w:val="00FB4E78"/>
    <w:rsid w:val="00FB4F3F"/>
    <w:rsid w:val="00FB54EE"/>
    <w:rsid w:val="00FB5AF1"/>
    <w:rsid w:val="00FB5AF7"/>
    <w:rsid w:val="00FB5B08"/>
    <w:rsid w:val="00FB5CF0"/>
    <w:rsid w:val="00FB5E92"/>
    <w:rsid w:val="00FB6217"/>
    <w:rsid w:val="00FB652B"/>
    <w:rsid w:val="00FB6722"/>
    <w:rsid w:val="00FB6B78"/>
    <w:rsid w:val="00FB7634"/>
    <w:rsid w:val="00FB778B"/>
    <w:rsid w:val="00FB7D50"/>
    <w:rsid w:val="00FB7FD5"/>
    <w:rsid w:val="00FC0170"/>
    <w:rsid w:val="00FC01D0"/>
    <w:rsid w:val="00FC04E5"/>
    <w:rsid w:val="00FC0DCE"/>
    <w:rsid w:val="00FC1106"/>
    <w:rsid w:val="00FC13BC"/>
    <w:rsid w:val="00FC1520"/>
    <w:rsid w:val="00FC196B"/>
    <w:rsid w:val="00FC20DF"/>
    <w:rsid w:val="00FC2617"/>
    <w:rsid w:val="00FC26E8"/>
    <w:rsid w:val="00FC3179"/>
    <w:rsid w:val="00FC3212"/>
    <w:rsid w:val="00FC3D24"/>
    <w:rsid w:val="00FC3D27"/>
    <w:rsid w:val="00FC3E29"/>
    <w:rsid w:val="00FC3EFF"/>
    <w:rsid w:val="00FC4117"/>
    <w:rsid w:val="00FC43BB"/>
    <w:rsid w:val="00FC4549"/>
    <w:rsid w:val="00FC455F"/>
    <w:rsid w:val="00FC47E2"/>
    <w:rsid w:val="00FC4C40"/>
    <w:rsid w:val="00FC5CA6"/>
    <w:rsid w:val="00FC5E9E"/>
    <w:rsid w:val="00FC63D0"/>
    <w:rsid w:val="00FC64D8"/>
    <w:rsid w:val="00FC70A1"/>
    <w:rsid w:val="00FC7659"/>
    <w:rsid w:val="00FC7E16"/>
    <w:rsid w:val="00FC7FED"/>
    <w:rsid w:val="00FD163D"/>
    <w:rsid w:val="00FD1E2B"/>
    <w:rsid w:val="00FD1E5F"/>
    <w:rsid w:val="00FD1F0F"/>
    <w:rsid w:val="00FD2A38"/>
    <w:rsid w:val="00FD2E78"/>
    <w:rsid w:val="00FD3184"/>
    <w:rsid w:val="00FD324C"/>
    <w:rsid w:val="00FD3549"/>
    <w:rsid w:val="00FD35CE"/>
    <w:rsid w:val="00FD37B6"/>
    <w:rsid w:val="00FD3D92"/>
    <w:rsid w:val="00FD450E"/>
    <w:rsid w:val="00FD46E2"/>
    <w:rsid w:val="00FD579A"/>
    <w:rsid w:val="00FD58B7"/>
    <w:rsid w:val="00FD58BD"/>
    <w:rsid w:val="00FD58D9"/>
    <w:rsid w:val="00FD5BB8"/>
    <w:rsid w:val="00FD5F53"/>
    <w:rsid w:val="00FD5F72"/>
    <w:rsid w:val="00FD60A1"/>
    <w:rsid w:val="00FD664F"/>
    <w:rsid w:val="00FD6762"/>
    <w:rsid w:val="00FD6C58"/>
    <w:rsid w:val="00FD7063"/>
    <w:rsid w:val="00FD754A"/>
    <w:rsid w:val="00FD769E"/>
    <w:rsid w:val="00FD7A85"/>
    <w:rsid w:val="00FD7AB4"/>
    <w:rsid w:val="00FD7D22"/>
    <w:rsid w:val="00FE009D"/>
    <w:rsid w:val="00FE08D5"/>
    <w:rsid w:val="00FE0A52"/>
    <w:rsid w:val="00FE0F20"/>
    <w:rsid w:val="00FE14DA"/>
    <w:rsid w:val="00FE16A3"/>
    <w:rsid w:val="00FE17AB"/>
    <w:rsid w:val="00FE17BE"/>
    <w:rsid w:val="00FE1824"/>
    <w:rsid w:val="00FE1CA1"/>
    <w:rsid w:val="00FE1EB2"/>
    <w:rsid w:val="00FE2126"/>
    <w:rsid w:val="00FE2156"/>
    <w:rsid w:val="00FE2425"/>
    <w:rsid w:val="00FE24A0"/>
    <w:rsid w:val="00FE2703"/>
    <w:rsid w:val="00FE2F6E"/>
    <w:rsid w:val="00FE365F"/>
    <w:rsid w:val="00FE39F0"/>
    <w:rsid w:val="00FE3AA5"/>
    <w:rsid w:val="00FE3BC9"/>
    <w:rsid w:val="00FE4361"/>
    <w:rsid w:val="00FE49D7"/>
    <w:rsid w:val="00FE4EF2"/>
    <w:rsid w:val="00FE5062"/>
    <w:rsid w:val="00FE53E3"/>
    <w:rsid w:val="00FE53E6"/>
    <w:rsid w:val="00FE5804"/>
    <w:rsid w:val="00FE6C58"/>
    <w:rsid w:val="00FE6CFE"/>
    <w:rsid w:val="00FE6D5B"/>
    <w:rsid w:val="00FE7013"/>
    <w:rsid w:val="00FE74D1"/>
    <w:rsid w:val="00FE7A31"/>
    <w:rsid w:val="00FE7A79"/>
    <w:rsid w:val="00FF00F0"/>
    <w:rsid w:val="00FF0308"/>
    <w:rsid w:val="00FF0653"/>
    <w:rsid w:val="00FF0D5A"/>
    <w:rsid w:val="00FF0DEC"/>
    <w:rsid w:val="00FF0F8A"/>
    <w:rsid w:val="00FF1212"/>
    <w:rsid w:val="00FF1433"/>
    <w:rsid w:val="00FF1EA2"/>
    <w:rsid w:val="00FF20A5"/>
    <w:rsid w:val="00FF22C7"/>
    <w:rsid w:val="00FF23B0"/>
    <w:rsid w:val="00FF2647"/>
    <w:rsid w:val="00FF2928"/>
    <w:rsid w:val="00FF2C08"/>
    <w:rsid w:val="00FF3170"/>
    <w:rsid w:val="00FF3595"/>
    <w:rsid w:val="00FF37B6"/>
    <w:rsid w:val="00FF37BB"/>
    <w:rsid w:val="00FF3AB4"/>
    <w:rsid w:val="00FF3DFC"/>
    <w:rsid w:val="00FF3E9A"/>
    <w:rsid w:val="00FF46C9"/>
    <w:rsid w:val="00FF4871"/>
    <w:rsid w:val="00FF4EB7"/>
    <w:rsid w:val="00FF4F54"/>
    <w:rsid w:val="00FF4FD3"/>
    <w:rsid w:val="00FF5219"/>
    <w:rsid w:val="00FF53DF"/>
    <w:rsid w:val="00FF53EF"/>
    <w:rsid w:val="00FF5A74"/>
    <w:rsid w:val="00FF5AB1"/>
    <w:rsid w:val="00FF5B42"/>
    <w:rsid w:val="00FF5BC9"/>
    <w:rsid w:val="00FF6007"/>
    <w:rsid w:val="00FF6476"/>
    <w:rsid w:val="00FF6500"/>
    <w:rsid w:val="00FF6633"/>
    <w:rsid w:val="00FF6E72"/>
    <w:rsid w:val="00FF715E"/>
    <w:rsid w:val="00FF7472"/>
    <w:rsid w:val="0884C18B"/>
    <w:rsid w:val="08EF54F1"/>
    <w:rsid w:val="0FE1949C"/>
    <w:rsid w:val="14BDBDDB"/>
    <w:rsid w:val="14D54AA7"/>
    <w:rsid w:val="15105361"/>
    <w:rsid w:val="1613DC73"/>
    <w:rsid w:val="185077BB"/>
    <w:rsid w:val="1A0BAF93"/>
    <w:rsid w:val="1B97CB81"/>
    <w:rsid w:val="1E77D902"/>
    <w:rsid w:val="21B0791B"/>
    <w:rsid w:val="25C469EE"/>
    <w:rsid w:val="25F68BB1"/>
    <w:rsid w:val="27747315"/>
    <w:rsid w:val="29158656"/>
    <w:rsid w:val="3097D46A"/>
    <w:rsid w:val="358AC807"/>
    <w:rsid w:val="375AAA3C"/>
    <w:rsid w:val="39DEF2D9"/>
    <w:rsid w:val="3DAAA3E9"/>
    <w:rsid w:val="3FBD1B0B"/>
    <w:rsid w:val="42FC71A8"/>
    <w:rsid w:val="44EEB6C7"/>
    <w:rsid w:val="48971F5C"/>
    <w:rsid w:val="4A7BB68F"/>
    <w:rsid w:val="4E31CCD3"/>
    <w:rsid w:val="4F2982C3"/>
    <w:rsid w:val="4FD57C28"/>
    <w:rsid w:val="4FEBF9DC"/>
    <w:rsid w:val="54E1B3EF"/>
    <w:rsid w:val="5789FDA1"/>
    <w:rsid w:val="591266BA"/>
    <w:rsid w:val="5998638E"/>
    <w:rsid w:val="5ADA8CEF"/>
    <w:rsid w:val="5C8C4E7C"/>
    <w:rsid w:val="5D0DC49B"/>
    <w:rsid w:val="5E057562"/>
    <w:rsid w:val="602CA2CB"/>
    <w:rsid w:val="608F9A2F"/>
    <w:rsid w:val="66BA69E2"/>
    <w:rsid w:val="6EE880DE"/>
    <w:rsid w:val="70F399D2"/>
    <w:rsid w:val="718FFD6D"/>
    <w:rsid w:val="73C61BB2"/>
    <w:rsid w:val="74754265"/>
    <w:rsid w:val="76897592"/>
    <w:rsid w:val="7C1EEDFB"/>
    <w:rsid w:val="7CA37E5F"/>
    <w:rsid w:val="7FF46C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206CA5"/>
  <w15:docId w15:val="{2A6A9B0D-58DF-4616-A513-7138601F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rsid w:val="005A4DFD"/>
    <w:pPr>
      <w:spacing w:before="200" w:after="200" w:line="300" w:lineRule="atLeast"/>
    </w:pPr>
    <w:rPr>
      <w:sz w:val="20"/>
      <w:szCs w:val="20"/>
    </w:rPr>
  </w:style>
  <w:style w:type="paragraph" w:styleId="Heading1">
    <w:name w:val="heading 1"/>
    <w:aliases w:val="Heading level 1"/>
    <w:basedOn w:val="Normal"/>
    <w:next w:val="Normal"/>
    <w:link w:val="Heading1Char"/>
    <w:uiPriority w:val="9"/>
    <w:rsid w:val="00C2786B"/>
    <w:pPr>
      <w:spacing w:after="480"/>
      <w:outlineLvl w:val="0"/>
    </w:pPr>
    <w:rPr>
      <w:color w:val="00694B" w:themeColor="accent3"/>
      <w:sz w:val="48"/>
      <w:szCs w:val="48"/>
    </w:rPr>
  </w:style>
  <w:style w:type="paragraph" w:styleId="Heading2">
    <w:name w:val="heading 2"/>
    <w:aliases w:val="Heading level 3"/>
    <w:basedOn w:val="Normal"/>
    <w:next w:val="Normal"/>
    <w:link w:val="Heading2Char"/>
    <w:uiPriority w:val="9"/>
    <w:unhideWhenUsed/>
    <w:rsid w:val="00FF0DEC"/>
    <w:pPr>
      <w:spacing w:before="360" w:after="240"/>
      <w:outlineLvl w:val="1"/>
    </w:pPr>
    <w:rPr>
      <w:rFonts w:ascii="Verdana" w:hAnsi="Verdana"/>
      <w:b/>
      <w:bCs/>
      <w:color w:val="00694B" w:themeColor="accent3"/>
      <w:szCs w:val="22"/>
    </w:rPr>
  </w:style>
  <w:style w:type="paragraph" w:styleId="Heading3">
    <w:name w:val="heading 3"/>
    <w:basedOn w:val="Normal"/>
    <w:next w:val="Normal"/>
    <w:link w:val="Heading3Char"/>
    <w:uiPriority w:val="9"/>
    <w:unhideWhenUsed/>
    <w:rsid w:val="003D5558"/>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semiHidden/>
    <w:unhideWhenUsed/>
    <w:rsid w:val="00921460"/>
    <w:pPr>
      <w:keepNext/>
      <w:keepLines/>
      <w:spacing w:before="40" w:after="0"/>
      <w:outlineLvl w:val="3"/>
    </w:pPr>
    <w:rPr>
      <w:rFonts w:asciiTheme="majorHAnsi" w:eastAsiaTheme="majorEastAsia" w:hAnsiTheme="majorHAnsi" w:cstheme="majorBidi"/>
      <w:i/>
      <w:iCs/>
      <w:color w:val="112F26" w:themeColor="accent1" w:themeShade="BF"/>
    </w:rPr>
  </w:style>
  <w:style w:type="paragraph" w:styleId="Heading5">
    <w:name w:val="heading 5"/>
    <w:basedOn w:val="Normal"/>
    <w:next w:val="Normal"/>
    <w:link w:val="Heading5Char"/>
    <w:uiPriority w:val="9"/>
    <w:semiHidden/>
    <w:unhideWhenUsed/>
    <w:qFormat/>
    <w:rsid w:val="004D1BBB"/>
    <w:pPr>
      <w:keepNext/>
      <w:keepLines/>
      <w:spacing w:before="40" w:after="0"/>
      <w:outlineLvl w:val="4"/>
    </w:pPr>
    <w:rPr>
      <w:rFonts w:asciiTheme="majorHAnsi" w:eastAsiaTheme="majorEastAsia" w:hAnsiTheme="majorHAnsi" w:cstheme="majorBidi"/>
      <w:color w:val="112F26" w:themeColor="accent1" w:themeShade="BF"/>
    </w:rPr>
  </w:style>
  <w:style w:type="paragraph" w:styleId="Heading6">
    <w:name w:val="heading 6"/>
    <w:basedOn w:val="Normal"/>
    <w:next w:val="Normal"/>
    <w:link w:val="Heading6Char"/>
    <w:uiPriority w:val="9"/>
    <w:semiHidden/>
    <w:unhideWhenUsed/>
    <w:qFormat/>
    <w:rsid w:val="004D1BBB"/>
    <w:pPr>
      <w:keepNext/>
      <w:keepLines/>
      <w:spacing w:before="40" w:after="0"/>
      <w:outlineLvl w:val="5"/>
    </w:pPr>
    <w:rPr>
      <w:rFonts w:asciiTheme="majorHAnsi" w:eastAsiaTheme="majorEastAsia" w:hAnsiTheme="majorHAnsi" w:cstheme="majorBidi"/>
      <w:color w:val="0B1F19" w:themeColor="accent1" w:themeShade="7F"/>
    </w:rPr>
  </w:style>
  <w:style w:type="paragraph" w:styleId="Heading7">
    <w:name w:val="heading 7"/>
    <w:basedOn w:val="Normal"/>
    <w:next w:val="Normal"/>
    <w:link w:val="Heading7Char"/>
    <w:uiPriority w:val="9"/>
    <w:semiHidden/>
    <w:unhideWhenUsed/>
    <w:qFormat/>
    <w:rsid w:val="004D1BBB"/>
    <w:pPr>
      <w:keepNext/>
      <w:keepLines/>
      <w:spacing w:before="40" w:after="0"/>
      <w:outlineLvl w:val="6"/>
    </w:pPr>
    <w:rPr>
      <w:rFonts w:asciiTheme="majorHAnsi" w:eastAsiaTheme="majorEastAsia" w:hAnsiTheme="majorHAnsi" w:cstheme="majorBidi"/>
      <w:i/>
      <w:iCs/>
      <w:color w:val="0B1F19" w:themeColor="accent1" w:themeShade="7F"/>
    </w:rPr>
  </w:style>
  <w:style w:type="paragraph" w:styleId="Heading8">
    <w:name w:val="heading 8"/>
    <w:basedOn w:val="Normal"/>
    <w:next w:val="Normal"/>
    <w:link w:val="Heading8Char"/>
    <w:uiPriority w:val="9"/>
    <w:semiHidden/>
    <w:unhideWhenUsed/>
    <w:qFormat/>
    <w:rsid w:val="004D1BB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1B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42487"/>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Heading level 1 Char"/>
    <w:basedOn w:val="DefaultParagraphFont"/>
    <w:link w:val="Heading1"/>
    <w:uiPriority w:val="9"/>
    <w:rsid w:val="00C2786B"/>
    <w:rPr>
      <w:color w:val="00694B" w:themeColor="accent3"/>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rsid w:val="00C2786B"/>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C2786B"/>
    <w:rPr>
      <w:color w:val="00694B" w:themeColor="accent3"/>
      <w:sz w:val="32"/>
      <w:szCs w:val="32"/>
    </w:rPr>
  </w:style>
  <w:style w:type="character" w:customStyle="1" w:styleId="Heading2Char">
    <w:name w:val="Heading 2 Char"/>
    <w:aliases w:val="Heading level 3 Char"/>
    <w:basedOn w:val="DefaultParagraphFont"/>
    <w:link w:val="Heading2"/>
    <w:uiPriority w:val="9"/>
    <w:rsid w:val="00FF0DEC"/>
    <w:rPr>
      <w:rFonts w:ascii="Verdana" w:hAnsi="Verdana"/>
      <w:b/>
      <w:bCs/>
      <w:color w:val="00694B" w:themeColor="accent3"/>
      <w:sz w:val="20"/>
    </w:rPr>
  </w:style>
  <w:style w:type="paragraph" w:styleId="ListParagraph">
    <w:name w:val="List Paragraph"/>
    <w:basedOn w:val="Normal"/>
    <w:link w:val="ListParagraphChar"/>
    <w:uiPriority w:val="34"/>
    <w:rsid w:val="00460A41"/>
    <w:pPr>
      <w:ind w:left="720"/>
      <w:contextualSpacing/>
    </w:pPr>
  </w:style>
  <w:style w:type="paragraph" w:customStyle="1" w:styleId="BulletList">
    <w:name w:val="BulletList"/>
    <w:basedOn w:val="Normal"/>
    <w:link w:val="BulletListChar"/>
    <w:rsid w:val="00FF2647"/>
    <w:pPr>
      <w:numPr>
        <w:numId w:val="1"/>
      </w:numPr>
      <w:spacing w:before="0" w:after="120" w:line="300" w:lineRule="exact"/>
      <w:ind w:left="357" w:right="-85" w:hanging="357"/>
    </w:pPr>
    <w:rPr>
      <w:lang w:val="pt-PT"/>
    </w:rPr>
  </w:style>
  <w:style w:type="paragraph" w:customStyle="1" w:styleId="NumberedList">
    <w:name w:val="NumberedList"/>
    <w:basedOn w:val="ListParagraph"/>
    <w:link w:val="NumberedListChar"/>
    <w:rsid w:val="00F74A81"/>
    <w:pPr>
      <w:numPr>
        <w:numId w:val="2"/>
      </w:numPr>
      <w:spacing w:before="0"/>
      <w:ind w:left="284" w:hanging="284"/>
      <w:contextualSpacing w:val="0"/>
    </w:pPr>
  </w:style>
  <w:style w:type="paragraph" w:styleId="Quote">
    <w:name w:val="Quote"/>
    <w:aliases w:val="LargeQuote"/>
    <w:basedOn w:val="Normal"/>
    <w:next w:val="Normal"/>
    <w:link w:val="QuoteChar"/>
    <w:uiPriority w:val="29"/>
    <w:qFormat/>
    <w:rsid w:val="00E1062A"/>
    <w:rPr>
      <w:rFonts w:cs="Times New Roman (Body CS)"/>
      <w:color w:val="00694B" w:themeColor="accent3"/>
      <w:sz w:val="28"/>
      <w:szCs w:val="28"/>
    </w:rPr>
  </w:style>
  <w:style w:type="character" w:customStyle="1" w:styleId="QuoteChar">
    <w:name w:val="Quote Char"/>
    <w:aliases w:val="LargeQuote Char"/>
    <w:basedOn w:val="DefaultParagraphFont"/>
    <w:link w:val="Quote"/>
    <w:uiPriority w:val="29"/>
    <w:rsid w:val="00E1062A"/>
    <w:rPr>
      <w:rFonts w:ascii="Verdana" w:hAnsi="Verdana" w:cs="Times New Roman (Body CS)"/>
      <w:color w:val="00694B" w:themeColor="accent3"/>
      <w:sz w:val="28"/>
      <w:szCs w:val="28"/>
    </w:rPr>
  </w:style>
  <w:style w:type="paragraph" w:customStyle="1" w:styleId="QuoteSource">
    <w:name w:val="QuoteSource"/>
    <w:basedOn w:val="Normal"/>
    <w:qFormat/>
    <w:rsid w:val="000F6044"/>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link w:val="CoverPageHeaderChar"/>
    <w:rsid w:val="00C2786B"/>
    <w:pPr>
      <w:spacing w:after="480" w:line="240" w:lineRule="auto"/>
      <w:jc w:val="center"/>
    </w:pPr>
    <w:rPr>
      <w:rFonts w:ascii="Verdana" w:hAnsi="Verdana"/>
      <w:bCs/>
      <w:color w:val="FFFFFF" w:themeColor="background1"/>
      <w:sz w:val="72"/>
      <w:szCs w:val="72"/>
      <w:lang w:val="en-US"/>
    </w:rPr>
  </w:style>
  <w:style w:type="paragraph" w:customStyle="1" w:styleId="CoverPageSubtitle">
    <w:name w:val="CoverPage Subtitle"/>
    <w:basedOn w:val="Subtitle"/>
    <w:link w:val="CoverPageSubtitleChar"/>
    <w:rsid w:val="005902B8"/>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paragraph" w:styleId="Subtitle">
    <w:name w:val="Subtitle"/>
    <w:basedOn w:val="Normal"/>
    <w:next w:val="Normal"/>
    <w:link w:val="SubtitleChar"/>
    <w:uiPriority w:val="11"/>
    <w:rsid w:val="005902B8"/>
    <w:pPr>
      <w:spacing w:before="0" w:after="60" w:line="252" w:lineRule="auto"/>
      <w:ind w:right="55"/>
      <w:jc w:val="center"/>
    </w:pPr>
    <w:rPr>
      <w:rFonts w:eastAsiaTheme="minorEastAsia"/>
      <w:color w:val="FFFFFF" w:themeColor="background1"/>
      <w:sz w:val="40"/>
      <w:szCs w:val="40"/>
      <w:lang w:eastAsia="zh-CN"/>
    </w:rPr>
  </w:style>
  <w:style w:type="character" w:customStyle="1" w:styleId="SubtitleChar">
    <w:name w:val="Subtitle Char"/>
    <w:basedOn w:val="DefaultParagraphFont"/>
    <w:link w:val="Subtitle"/>
    <w:uiPriority w:val="11"/>
    <w:rsid w:val="005902B8"/>
    <w:rPr>
      <w:rFonts w:eastAsiaTheme="minorEastAsia"/>
      <w:color w:val="FFFFFF" w:themeColor="background1"/>
      <w:sz w:val="40"/>
      <w:szCs w:val="40"/>
      <w:lang w:eastAsia="zh-CN"/>
    </w:rPr>
  </w:style>
  <w:style w:type="paragraph" w:customStyle="1" w:styleId="TableText">
    <w:name w:val="Table Text"/>
    <w:basedOn w:val="Normal"/>
    <w:uiPriority w:val="4"/>
    <w:rsid w:val="003D2DB3"/>
    <w:pPr>
      <w:spacing w:before="40" w:after="60" w:line="240" w:lineRule="atLeast"/>
      <w:jc w:val="both"/>
    </w:pPr>
    <w:rPr>
      <w:rFonts w:ascii="Arial" w:eastAsia="Times New Roman" w:hAnsi="Arial" w:cs="Times New Roman"/>
      <w:lang w:eastAsia="en-AU"/>
    </w:rPr>
  </w:style>
  <w:style w:type="character" w:customStyle="1" w:styleId="Heading3Char">
    <w:name w:val="Heading 3 Char"/>
    <w:basedOn w:val="DefaultParagraphFont"/>
    <w:link w:val="Heading3"/>
    <w:uiPriority w:val="9"/>
    <w:rsid w:val="003D5558"/>
    <w:rPr>
      <w:rFonts w:asciiTheme="majorHAnsi" w:eastAsiaTheme="majorEastAsia" w:hAnsiTheme="majorHAnsi" w:cstheme="majorBidi"/>
      <w:color w:val="0B1F19" w:themeColor="accent1" w:themeShade="7F"/>
      <w:sz w:val="24"/>
      <w:szCs w:val="24"/>
    </w:rPr>
  </w:style>
  <w:style w:type="paragraph" w:styleId="ListBullet">
    <w:name w:val="List Bullet"/>
    <w:basedOn w:val="Normal"/>
    <w:uiPriority w:val="99"/>
    <w:unhideWhenUsed/>
    <w:rsid w:val="0018174D"/>
    <w:pPr>
      <w:numPr>
        <w:numId w:val="17"/>
      </w:numPr>
      <w:snapToGrid w:val="0"/>
      <w:spacing w:before="0" w:after="40" w:line="252" w:lineRule="auto"/>
      <w:jc w:val="both"/>
    </w:pPr>
    <w:rPr>
      <w:rFonts w:eastAsiaTheme="minorEastAsia"/>
      <w:lang w:eastAsia="zh-CN"/>
    </w:rPr>
  </w:style>
  <w:style w:type="paragraph" w:styleId="ListBullet2">
    <w:name w:val="List Bullet 2"/>
    <w:basedOn w:val="Normal"/>
    <w:uiPriority w:val="99"/>
    <w:unhideWhenUsed/>
    <w:rsid w:val="0018174D"/>
    <w:pPr>
      <w:numPr>
        <w:ilvl w:val="1"/>
        <w:numId w:val="17"/>
      </w:numPr>
      <w:snapToGrid w:val="0"/>
      <w:spacing w:before="0" w:after="40" w:line="252" w:lineRule="auto"/>
      <w:jc w:val="both"/>
    </w:pPr>
    <w:rPr>
      <w:rFonts w:eastAsiaTheme="minorEastAsia"/>
      <w:lang w:eastAsia="zh-CN"/>
    </w:rPr>
  </w:style>
  <w:style w:type="paragraph" w:styleId="ListBullet3">
    <w:name w:val="List Bullet 3"/>
    <w:basedOn w:val="Normal"/>
    <w:uiPriority w:val="99"/>
    <w:unhideWhenUsed/>
    <w:rsid w:val="0018174D"/>
    <w:pPr>
      <w:numPr>
        <w:ilvl w:val="2"/>
        <w:numId w:val="17"/>
      </w:numPr>
      <w:snapToGrid w:val="0"/>
      <w:spacing w:before="0" w:after="40" w:line="252" w:lineRule="auto"/>
      <w:jc w:val="both"/>
    </w:pPr>
    <w:rPr>
      <w:rFonts w:eastAsiaTheme="minorEastAsia"/>
      <w:lang w:eastAsia="zh-CN"/>
    </w:rPr>
  </w:style>
  <w:style w:type="character" w:styleId="Hyperlink">
    <w:name w:val="Hyperlink"/>
    <w:basedOn w:val="DefaultParagraphFont"/>
    <w:uiPriority w:val="99"/>
    <w:unhideWhenUsed/>
    <w:rsid w:val="002E5078"/>
    <w:rPr>
      <w:color w:val="0563C1" w:themeColor="hyperlink"/>
      <w:u w:val="single"/>
    </w:rPr>
  </w:style>
  <w:style w:type="character" w:customStyle="1" w:styleId="ColourText">
    <w:name w:val="Colour Text"/>
    <w:uiPriority w:val="1"/>
    <w:rsid w:val="00823558"/>
    <w:rPr>
      <w:rFonts w:ascii="Arial" w:hAnsi="Arial" w:cs="Arial" w:hint="default"/>
      <w:b/>
      <w:bCs w:val="0"/>
      <w:color w:val="00694B" w:themeColor="accent3"/>
    </w:rPr>
  </w:style>
  <w:style w:type="table" w:styleId="GridTable1Light-Accent1">
    <w:name w:val="Grid Table 1 Light Accent 1"/>
    <w:basedOn w:val="TableNormal"/>
    <w:uiPriority w:val="46"/>
    <w:rsid w:val="00560EBD"/>
    <w:pPr>
      <w:spacing w:after="0" w:line="240" w:lineRule="auto"/>
    </w:pPr>
    <w:rPr>
      <w:rFonts w:eastAsiaTheme="minorEastAsia"/>
      <w:sz w:val="20"/>
      <w:szCs w:val="20"/>
      <w:lang w:eastAsia="zh-CN"/>
    </w:rPr>
    <w:tblPr>
      <w:tblStyleRowBandSize w:val="1"/>
      <w:tblStyleColBandSize w:val="1"/>
      <w:tblBorders>
        <w:top w:val="single" w:sz="4" w:space="0" w:color="82D1BB" w:themeColor="accent1" w:themeTint="66"/>
        <w:left w:val="single" w:sz="4" w:space="0" w:color="82D1BB" w:themeColor="accent1" w:themeTint="66"/>
        <w:bottom w:val="single" w:sz="4" w:space="0" w:color="82D1BB" w:themeColor="accent1" w:themeTint="66"/>
        <w:right w:val="single" w:sz="4" w:space="0" w:color="82D1BB" w:themeColor="accent1" w:themeTint="66"/>
        <w:insideH w:val="single" w:sz="4" w:space="0" w:color="82D1BB" w:themeColor="accent1" w:themeTint="66"/>
        <w:insideV w:val="single" w:sz="4" w:space="0" w:color="82D1BB" w:themeColor="accent1" w:themeTint="66"/>
      </w:tblBorders>
    </w:tblPr>
    <w:tblStylePr w:type="firstRow">
      <w:rPr>
        <w:b/>
        <w:bCs/>
      </w:rPr>
      <w:tblPr/>
      <w:tcPr>
        <w:tcBorders>
          <w:bottom w:val="single" w:sz="12" w:space="0" w:color="44BB99" w:themeColor="accent1" w:themeTint="99"/>
        </w:tcBorders>
      </w:tcPr>
    </w:tblStylePr>
    <w:tblStylePr w:type="lastRow">
      <w:rPr>
        <w:b/>
        <w:bCs/>
      </w:rPr>
      <w:tblPr/>
      <w:tcPr>
        <w:tcBorders>
          <w:top w:val="double" w:sz="2" w:space="0" w:color="44BB99" w:themeColor="accent1" w:themeTint="99"/>
        </w:tcBorders>
      </w:tcPr>
    </w:tblStylePr>
    <w:tblStylePr w:type="firstCol">
      <w:rPr>
        <w:b/>
        <w:bCs/>
      </w:rPr>
    </w:tblStylePr>
    <w:tblStylePr w:type="lastCol">
      <w:rPr>
        <w:b/>
        <w:bCs/>
      </w:rPr>
    </w:tblStylePr>
  </w:style>
  <w:style w:type="paragraph" w:customStyle="1" w:styleId="SingleSpace">
    <w:name w:val="Single Space"/>
    <w:basedOn w:val="Normal"/>
    <w:rsid w:val="0018174D"/>
    <w:pPr>
      <w:spacing w:before="0" w:after="0" w:line="240" w:lineRule="auto"/>
      <w:jc w:val="both"/>
    </w:pPr>
    <w:rPr>
      <w:rFonts w:eastAsia="Times New Roman" w:cs="Times New Roman"/>
      <w:lang w:eastAsia="en-AU"/>
    </w:rPr>
  </w:style>
  <w:style w:type="paragraph" w:styleId="Revision">
    <w:name w:val="Revision"/>
    <w:hidden/>
    <w:uiPriority w:val="99"/>
    <w:semiHidden/>
    <w:rsid w:val="00FD754A"/>
    <w:pPr>
      <w:spacing w:after="0" w:line="240" w:lineRule="auto"/>
    </w:pPr>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4152A3"/>
    <w:rPr>
      <w:color w:val="954F72" w:themeColor="followedHyperlink"/>
      <w:u w:val="single"/>
    </w:rPr>
  </w:style>
  <w:style w:type="character" w:styleId="CommentReference">
    <w:name w:val="annotation reference"/>
    <w:basedOn w:val="DefaultParagraphFont"/>
    <w:uiPriority w:val="99"/>
    <w:semiHidden/>
    <w:unhideWhenUsed/>
    <w:rsid w:val="00A41BF5"/>
    <w:rPr>
      <w:sz w:val="16"/>
      <w:szCs w:val="16"/>
    </w:rPr>
  </w:style>
  <w:style w:type="paragraph" w:styleId="CommentText">
    <w:name w:val="annotation text"/>
    <w:basedOn w:val="Normal"/>
    <w:link w:val="CommentTextChar"/>
    <w:uiPriority w:val="99"/>
    <w:unhideWhenUsed/>
    <w:rsid w:val="00A41BF5"/>
    <w:pPr>
      <w:spacing w:line="240" w:lineRule="auto"/>
    </w:pPr>
  </w:style>
  <w:style w:type="character" w:customStyle="1" w:styleId="CommentTextChar">
    <w:name w:val="Comment Text Char"/>
    <w:basedOn w:val="DefaultParagraphFont"/>
    <w:link w:val="CommentText"/>
    <w:uiPriority w:val="99"/>
    <w:rsid w:val="00A41BF5"/>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41BF5"/>
    <w:rPr>
      <w:b/>
      <w:bCs/>
    </w:rPr>
  </w:style>
  <w:style w:type="character" w:customStyle="1" w:styleId="CommentSubjectChar">
    <w:name w:val="Comment Subject Char"/>
    <w:basedOn w:val="CommentTextChar"/>
    <w:link w:val="CommentSubject"/>
    <w:uiPriority w:val="99"/>
    <w:semiHidden/>
    <w:rsid w:val="00A41BF5"/>
    <w:rPr>
      <w:rFonts w:ascii="Verdana" w:hAnsi="Verdana"/>
      <w:b/>
      <w:bCs/>
      <w:color w:val="000000" w:themeColor="text1"/>
      <w:sz w:val="20"/>
      <w:szCs w:val="20"/>
    </w:rPr>
  </w:style>
  <w:style w:type="paragraph" w:customStyle="1" w:styleId="Tableheading">
    <w:name w:val="Table heading"/>
    <w:basedOn w:val="NoSpacing"/>
    <w:rsid w:val="00C2786B"/>
    <w:pPr>
      <w:framePr w:hSpace="180" w:wrap="around" w:vAnchor="text" w:hAnchor="margin" w:y="189"/>
    </w:pPr>
    <w:rPr>
      <w:rFonts w:ascii="Verdana" w:hAnsi="Verdana"/>
      <w:b/>
      <w:sz w:val="18"/>
      <w:szCs w:val="20"/>
    </w:rPr>
  </w:style>
  <w:style w:type="paragraph" w:customStyle="1" w:styleId="TableBody">
    <w:name w:val="Table Body"/>
    <w:basedOn w:val="NoSpacing"/>
    <w:rsid w:val="00C2786B"/>
    <w:pPr>
      <w:framePr w:hSpace="180" w:wrap="around" w:vAnchor="text" w:hAnchor="margin" w:y="189"/>
      <w:spacing w:line="280" w:lineRule="atLeast"/>
    </w:pPr>
    <w:rPr>
      <w:rFonts w:ascii="Verdana" w:hAnsi="Verdana"/>
      <w:sz w:val="18"/>
      <w:szCs w:val="20"/>
    </w:rPr>
  </w:style>
  <w:style w:type="paragraph" w:customStyle="1" w:styleId="Tableheading2">
    <w:name w:val="Table heading 2"/>
    <w:basedOn w:val="NoSpacing"/>
    <w:rsid w:val="00C2786B"/>
    <w:pPr>
      <w:framePr w:hSpace="180" w:wrap="around" w:vAnchor="text" w:hAnchor="margin" w:y="189"/>
    </w:pPr>
    <w:rPr>
      <w:rFonts w:ascii="Verdana" w:hAnsi="Verdana"/>
      <w:b/>
      <w:color w:val="173F34" w:themeColor="accent1"/>
      <w:sz w:val="18"/>
      <w:szCs w:val="20"/>
    </w:rPr>
  </w:style>
  <w:style w:type="table" w:styleId="ListTable3-Accent3">
    <w:name w:val="List Table 3 Accent 3"/>
    <w:basedOn w:val="TableNormal"/>
    <w:uiPriority w:val="48"/>
    <w:rsid w:val="00346891"/>
    <w:pPr>
      <w:spacing w:after="0" w:line="240" w:lineRule="auto"/>
    </w:pPr>
    <w:rPr>
      <w:sz w:val="18"/>
    </w:r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customStyle="1" w:styleId="Tableheadermain">
    <w:name w:val="Table header (main)"/>
    <w:basedOn w:val="Normal"/>
    <w:link w:val="TableheadermainChar"/>
    <w:autoRedefine/>
    <w:rsid w:val="000E3EA0"/>
    <w:pPr>
      <w:spacing w:before="120"/>
    </w:pPr>
    <w:rPr>
      <w:bCs/>
      <w:color w:val="FFFFFF" w:themeColor="background1"/>
      <w:szCs w:val="18"/>
      <w:lang w:val="pt-PT"/>
    </w:rPr>
  </w:style>
  <w:style w:type="character" w:customStyle="1" w:styleId="TableheadermainChar">
    <w:name w:val="Table header (main) Char"/>
    <w:basedOn w:val="DefaultParagraphFont"/>
    <w:link w:val="Tableheadermain"/>
    <w:rsid w:val="000E3EA0"/>
    <w:rPr>
      <w:bCs/>
      <w:color w:val="FFFFFF" w:themeColor="background1"/>
      <w:sz w:val="20"/>
      <w:szCs w:val="18"/>
      <w:lang w:val="pt-PT"/>
    </w:rPr>
  </w:style>
  <w:style w:type="paragraph" w:customStyle="1" w:styleId="Table-copy">
    <w:name w:val="Table - copy"/>
    <w:basedOn w:val="Normal"/>
    <w:link w:val="Table-copyChar"/>
    <w:qFormat/>
    <w:rsid w:val="00EE2EAA"/>
    <w:rPr>
      <w:rFonts w:ascii="Verdana" w:hAnsi="Verdana"/>
      <w:sz w:val="18"/>
    </w:rPr>
  </w:style>
  <w:style w:type="character" w:customStyle="1" w:styleId="Table-copyChar">
    <w:name w:val="Table - copy Char"/>
    <w:basedOn w:val="DefaultParagraphFont"/>
    <w:link w:val="Table-copy"/>
    <w:rsid w:val="00EE2EAA"/>
    <w:rPr>
      <w:rFonts w:ascii="Verdana" w:hAnsi="Verdana"/>
      <w:color w:val="000000" w:themeColor="text1"/>
      <w:sz w:val="18"/>
      <w:szCs w:val="20"/>
    </w:rPr>
  </w:style>
  <w:style w:type="numbering" w:customStyle="1" w:styleId="ListBullets">
    <w:name w:val="List Bullets"/>
    <w:uiPriority w:val="99"/>
    <w:rsid w:val="00174636"/>
    <w:pPr>
      <w:numPr>
        <w:numId w:val="21"/>
      </w:numPr>
    </w:pPr>
  </w:style>
  <w:style w:type="paragraph" w:customStyle="1" w:styleId="TableBullet">
    <w:name w:val="Table Bullet"/>
    <w:basedOn w:val="ListBullet"/>
    <w:rsid w:val="00174636"/>
    <w:pPr>
      <w:numPr>
        <w:numId w:val="0"/>
      </w:numPr>
      <w:tabs>
        <w:tab w:val="num" w:pos="227"/>
      </w:tabs>
      <w:adjustRightInd w:val="0"/>
      <w:spacing w:before="120" w:after="120" w:line="300" w:lineRule="exact"/>
      <w:ind w:left="227" w:right="170" w:hanging="227"/>
      <w:jc w:val="left"/>
    </w:pPr>
    <w:rPr>
      <w:rFonts w:eastAsiaTheme="minorHAnsi"/>
      <w:sz w:val="18"/>
      <w:szCs w:val="18"/>
      <w:lang w:val="pt-PT" w:eastAsia="en-US"/>
    </w:rPr>
  </w:style>
  <w:style w:type="character" w:styleId="Mention">
    <w:name w:val="Mention"/>
    <w:basedOn w:val="DefaultParagraphFont"/>
    <w:uiPriority w:val="99"/>
    <w:unhideWhenUsed/>
    <w:rsid w:val="001C55BF"/>
    <w:rPr>
      <w:color w:val="2B579A"/>
      <w:shd w:val="clear" w:color="auto" w:fill="E1DFDD"/>
    </w:rPr>
  </w:style>
  <w:style w:type="paragraph" w:customStyle="1" w:styleId="Heading-level2">
    <w:name w:val="Heading - level 2"/>
    <w:basedOn w:val="Title"/>
    <w:link w:val="Heading-level2Char"/>
    <w:qFormat/>
    <w:rsid w:val="00141D33"/>
    <w:pPr>
      <w:pageBreakBefore/>
    </w:pPr>
  </w:style>
  <w:style w:type="character" w:customStyle="1" w:styleId="Heading-level2Char">
    <w:name w:val="Heading - level 2 Char"/>
    <w:basedOn w:val="TitleChar"/>
    <w:link w:val="Heading-level2"/>
    <w:rsid w:val="00141D33"/>
    <w:rPr>
      <w:color w:val="00694B" w:themeColor="accent3"/>
      <w:sz w:val="32"/>
      <w:szCs w:val="32"/>
    </w:rPr>
  </w:style>
  <w:style w:type="paragraph" w:customStyle="1" w:styleId="Heading-level1">
    <w:name w:val="Heading - level 1"/>
    <w:basedOn w:val="Heading1"/>
    <w:link w:val="Heading-level1Char"/>
    <w:qFormat/>
    <w:rsid w:val="002A367D"/>
    <w:pPr>
      <w:pageBreakBefore/>
    </w:pPr>
  </w:style>
  <w:style w:type="character" w:customStyle="1" w:styleId="Heading-level1Char">
    <w:name w:val="Heading - level 1 Char"/>
    <w:basedOn w:val="Heading1Char"/>
    <w:link w:val="Heading-level1"/>
    <w:rsid w:val="002A367D"/>
    <w:rPr>
      <w:color w:val="00694B" w:themeColor="accent3"/>
      <w:sz w:val="48"/>
      <w:szCs w:val="48"/>
    </w:rPr>
  </w:style>
  <w:style w:type="paragraph" w:customStyle="1" w:styleId="Heading-level3">
    <w:name w:val="Heading - level 3"/>
    <w:basedOn w:val="Heading2"/>
    <w:link w:val="Heading-level3Char"/>
    <w:qFormat/>
    <w:rsid w:val="00236D36"/>
  </w:style>
  <w:style w:type="character" w:customStyle="1" w:styleId="Heading-level3Char">
    <w:name w:val="Heading - level 3 Char"/>
    <w:basedOn w:val="Heading2Char"/>
    <w:link w:val="Heading-level3"/>
    <w:rsid w:val="00236D36"/>
    <w:rPr>
      <w:rFonts w:ascii="Verdana" w:hAnsi="Verdana"/>
      <w:b/>
      <w:bCs/>
      <w:color w:val="00694B" w:themeColor="accent3"/>
      <w:sz w:val="20"/>
    </w:rPr>
  </w:style>
  <w:style w:type="paragraph" w:customStyle="1" w:styleId="Table-heading1">
    <w:name w:val="Table - heading 1"/>
    <w:basedOn w:val="Tableheadermain"/>
    <w:link w:val="Table-heading1Char"/>
    <w:qFormat/>
    <w:rsid w:val="006C2B39"/>
    <w:rPr>
      <w:b/>
      <w:bCs w:val="0"/>
    </w:rPr>
  </w:style>
  <w:style w:type="character" w:customStyle="1" w:styleId="Table-heading1Char">
    <w:name w:val="Table - heading 1 Char"/>
    <w:basedOn w:val="TableheadermainChar"/>
    <w:link w:val="Table-heading1"/>
    <w:rsid w:val="006C2B39"/>
    <w:rPr>
      <w:b/>
      <w:bCs w:val="0"/>
      <w:color w:val="FFFFFF" w:themeColor="background1"/>
      <w:sz w:val="20"/>
      <w:szCs w:val="18"/>
      <w:lang w:val="pt-PT"/>
    </w:rPr>
  </w:style>
  <w:style w:type="paragraph" w:customStyle="1" w:styleId="Table-heading2">
    <w:name w:val="Table - heading 2"/>
    <w:basedOn w:val="Table-copy"/>
    <w:link w:val="Table-heading2Char"/>
    <w:qFormat/>
    <w:rsid w:val="00A36A8E"/>
    <w:rPr>
      <w:b/>
      <w:bCs/>
    </w:rPr>
  </w:style>
  <w:style w:type="character" w:customStyle="1" w:styleId="Table-heading2Char">
    <w:name w:val="Table - heading 2 Char"/>
    <w:basedOn w:val="Table-copyChar"/>
    <w:link w:val="Table-heading2"/>
    <w:rsid w:val="00A36A8E"/>
    <w:rPr>
      <w:rFonts w:ascii="Verdana" w:hAnsi="Verdana"/>
      <w:b/>
      <w:bCs/>
      <w:color w:val="000000" w:themeColor="text1"/>
      <w:sz w:val="18"/>
      <w:szCs w:val="20"/>
    </w:rPr>
  </w:style>
  <w:style w:type="paragraph" w:customStyle="1" w:styleId="Table-bullets">
    <w:name w:val="Table - bullets"/>
    <w:basedOn w:val="Table-copy"/>
    <w:link w:val="Table-bulletsChar"/>
    <w:qFormat/>
    <w:rsid w:val="00C66E4B"/>
    <w:pPr>
      <w:numPr>
        <w:numId w:val="25"/>
      </w:numPr>
      <w:ind w:left="227" w:hanging="227"/>
    </w:pPr>
  </w:style>
  <w:style w:type="character" w:customStyle="1" w:styleId="Table-bulletsChar">
    <w:name w:val="Table - bullets Char"/>
    <w:basedOn w:val="Table-copyChar"/>
    <w:link w:val="Table-bullets"/>
    <w:rsid w:val="00C66E4B"/>
    <w:rPr>
      <w:rFonts w:ascii="Verdana" w:hAnsi="Verdana"/>
      <w:color w:val="000000" w:themeColor="text1"/>
      <w:sz w:val="18"/>
      <w:szCs w:val="20"/>
    </w:rPr>
  </w:style>
  <w:style w:type="table" w:styleId="ListTable3">
    <w:name w:val="List Table 3"/>
    <w:basedOn w:val="TableNormal"/>
    <w:uiPriority w:val="48"/>
    <w:rsid w:val="00B42CF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overpage-header">
    <w:name w:val="Cover page - header"/>
    <w:basedOn w:val="CoverPageHeader"/>
    <w:link w:val="Coverpage-headerChar"/>
    <w:qFormat/>
    <w:rsid w:val="00AD03CF"/>
  </w:style>
  <w:style w:type="character" w:customStyle="1" w:styleId="CoverPageHeaderChar">
    <w:name w:val="CoverPage Header Char"/>
    <w:basedOn w:val="TitleChar"/>
    <w:link w:val="CoverPageHeader"/>
    <w:rsid w:val="00AD03CF"/>
    <w:rPr>
      <w:rFonts w:ascii="Verdana" w:hAnsi="Verdana"/>
      <w:bCs/>
      <w:color w:val="FFFFFF" w:themeColor="background1"/>
      <w:sz w:val="72"/>
      <w:szCs w:val="72"/>
      <w:lang w:val="en-US"/>
    </w:rPr>
  </w:style>
  <w:style w:type="character" w:customStyle="1" w:styleId="Coverpage-headerChar">
    <w:name w:val="Cover page - header Char"/>
    <w:basedOn w:val="CoverPageHeaderChar"/>
    <w:link w:val="Coverpage-header"/>
    <w:rsid w:val="00AD03CF"/>
    <w:rPr>
      <w:rFonts w:ascii="Verdana" w:hAnsi="Verdana"/>
      <w:bCs/>
      <w:color w:val="FFFFFF" w:themeColor="background1"/>
      <w:sz w:val="72"/>
      <w:szCs w:val="72"/>
      <w:lang w:val="en-US"/>
    </w:rPr>
  </w:style>
  <w:style w:type="paragraph" w:customStyle="1" w:styleId="Coverpage-subtitleanddate">
    <w:name w:val="Cover page - subtitle and date"/>
    <w:basedOn w:val="CoverPageSubtitle"/>
    <w:link w:val="Coverpage-subtitleanddateChar"/>
    <w:qFormat/>
    <w:rsid w:val="00647B95"/>
  </w:style>
  <w:style w:type="character" w:customStyle="1" w:styleId="CoverPageSubtitleChar">
    <w:name w:val="CoverPage Subtitle Char"/>
    <w:basedOn w:val="SubtitleChar"/>
    <w:link w:val="CoverPageSubtitle"/>
    <w:rsid w:val="00647B95"/>
    <w:rPr>
      <w:rFonts w:eastAsiaTheme="minorEastAsia"/>
      <w:color w:val="FFFFFF" w:themeColor="background1"/>
      <w:sz w:val="40"/>
      <w:szCs w:val="40"/>
      <w:lang w:eastAsia="zh-CN"/>
    </w:rPr>
  </w:style>
  <w:style w:type="character" w:customStyle="1" w:styleId="Coverpage-subtitleanddateChar">
    <w:name w:val="Cover page - subtitle and date Char"/>
    <w:basedOn w:val="CoverPageSubtitleChar"/>
    <w:link w:val="Coverpage-subtitleanddate"/>
    <w:rsid w:val="00647B95"/>
    <w:rPr>
      <w:rFonts w:eastAsiaTheme="minorEastAsia"/>
      <w:color w:val="FFFFFF" w:themeColor="background1"/>
      <w:sz w:val="40"/>
      <w:szCs w:val="40"/>
      <w:lang w:eastAsia="zh-CN"/>
    </w:rPr>
  </w:style>
  <w:style w:type="paragraph" w:customStyle="1" w:styleId="Body-copy">
    <w:name w:val="Body - copy"/>
    <w:basedOn w:val="Normal"/>
    <w:link w:val="Body-copyChar"/>
    <w:qFormat/>
    <w:rsid w:val="00752DEA"/>
    <w:rPr>
      <w:lang w:val="pt-PT"/>
    </w:rPr>
  </w:style>
  <w:style w:type="character" w:customStyle="1" w:styleId="Body-copyChar">
    <w:name w:val="Body - copy Char"/>
    <w:basedOn w:val="DefaultParagraphFont"/>
    <w:link w:val="Body-copy"/>
    <w:rsid w:val="00752DEA"/>
    <w:rPr>
      <w:color w:val="000000" w:themeColor="text1"/>
      <w:sz w:val="20"/>
      <w:szCs w:val="20"/>
      <w:lang w:val="pt-PT"/>
    </w:rPr>
  </w:style>
  <w:style w:type="paragraph" w:customStyle="1" w:styleId="Bulletlist0">
    <w:name w:val="Bullet list"/>
    <w:basedOn w:val="BulletList"/>
    <w:link w:val="BulletlistChar0"/>
    <w:qFormat/>
    <w:rsid w:val="005D25CB"/>
    <w:pPr>
      <w:spacing w:after="200" w:line="300" w:lineRule="atLeast"/>
      <w:ind w:left="511" w:right="0" w:hanging="284"/>
      <w:contextualSpacing/>
    </w:pPr>
  </w:style>
  <w:style w:type="character" w:customStyle="1" w:styleId="BulletListChar">
    <w:name w:val="BulletList Char"/>
    <w:basedOn w:val="DefaultParagraphFont"/>
    <w:link w:val="BulletList"/>
    <w:rsid w:val="00AB46F8"/>
    <w:rPr>
      <w:color w:val="000000" w:themeColor="text1"/>
      <w:sz w:val="20"/>
      <w:szCs w:val="20"/>
      <w:lang w:val="pt-PT"/>
    </w:rPr>
  </w:style>
  <w:style w:type="character" w:customStyle="1" w:styleId="BulletlistChar0">
    <w:name w:val="Bullet list Char"/>
    <w:basedOn w:val="BulletListChar"/>
    <w:link w:val="Bulletlist0"/>
    <w:rsid w:val="005D25CB"/>
    <w:rPr>
      <w:color w:val="000000" w:themeColor="text1"/>
      <w:sz w:val="20"/>
      <w:szCs w:val="20"/>
      <w:lang w:val="pt-PT"/>
    </w:rPr>
  </w:style>
  <w:style w:type="paragraph" w:customStyle="1" w:styleId="Body-numberlist">
    <w:name w:val="Body - number list"/>
    <w:basedOn w:val="NumberedList"/>
    <w:link w:val="Body-numberlistChar"/>
    <w:qFormat/>
    <w:rsid w:val="005D25CB"/>
    <w:pPr>
      <w:ind w:left="511"/>
      <w:contextualSpacing/>
    </w:pPr>
  </w:style>
  <w:style w:type="character" w:customStyle="1" w:styleId="ListParagraphChar">
    <w:name w:val="List Paragraph Char"/>
    <w:basedOn w:val="DefaultParagraphFont"/>
    <w:link w:val="ListParagraph"/>
    <w:uiPriority w:val="34"/>
    <w:rsid w:val="00AB46F8"/>
    <w:rPr>
      <w:color w:val="000000" w:themeColor="text1"/>
      <w:sz w:val="20"/>
      <w:szCs w:val="20"/>
    </w:rPr>
  </w:style>
  <w:style w:type="character" w:customStyle="1" w:styleId="NumberedListChar">
    <w:name w:val="NumberedList Char"/>
    <w:basedOn w:val="ListParagraphChar"/>
    <w:link w:val="NumberedList"/>
    <w:rsid w:val="00AB46F8"/>
    <w:rPr>
      <w:color w:val="000000" w:themeColor="text1"/>
      <w:sz w:val="20"/>
      <w:szCs w:val="20"/>
    </w:rPr>
  </w:style>
  <w:style w:type="character" w:customStyle="1" w:styleId="Body-numberlistChar">
    <w:name w:val="Body - number list Char"/>
    <w:basedOn w:val="NumberedListChar"/>
    <w:link w:val="Body-numberlist"/>
    <w:rsid w:val="005D25CB"/>
    <w:rPr>
      <w:color w:val="000000" w:themeColor="text1"/>
      <w:sz w:val="20"/>
      <w:szCs w:val="20"/>
    </w:rPr>
  </w:style>
  <w:style w:type="table" w:styleId="ListTable3-Accent4">
    <w:name w:val="List Table 3 Accent 4"/>
    <w:basedOn w:val="TableNormal"/>
    <w:uiPriority w:val="48"/>
    <w:rsid w:val="005D25CB"/>
    <w:pPr>
      <w:spacing w:after="0" w:line="240" w:lineRule="auto"/>
    </w:pPr>
    <w:tblPr>
      <w:tblStyleRowBandSize w:val="1"/>
      <w:tblStyleColBandSize w:val="1"/>
      <w:tblBorders>
        <w:top w:val="single" w:sz="4" w:space="0" w:color="CEB888" w:themeColor="accent4"/>
        <w:left w:val="single" w:sz="4" w:space="0" w:color="CEB888" w:themeColor="accent4"/>
        <w:bottom w:val="single" w:sz="4" w:space="0" w:color="CEB888" w:themeColor="accent4"/>
        <w:right w:val="single" w:sz="4" w:space="0" w:color="CEB888" w:themeColor="accent4"/>
      </w:tblBorders>
    </w:tblPr>
    <w:tblStylePr w:type="firstRow">
      <w:rPr>
        <w:b/>
        <w:bCs/>
        <w:color w:val="auto"/>
      </w:rPr>
      <w:tblPr/>
      <w:tcPr>
        <w:shd w:val="clear" w:color="auto" w:fill="CEB888" w:themeFill="accent4"/>
      </w:tcPr>
    </w:tblStylePr>
    <w:tblStylePr w:type="lastRow">
      <w:rPr>
        <w:b/>
        <w:bCs/>
      </w:rPr>
      <w:tblPr/>
      <w:tcPr>
        <w:tcBorders>
          <w:top w:val="double" w:sz="4" w:space="0" w:color="CEB8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888" w:themeColor="accent4"/>
          <w:right w:val="single" w:sz="4" w:space="0" w:color="CEB888" w:themeColor="accent4"/>
        </w:tcBorders>
      </w:tcPr>
    </w:tblStylePr>
    <w:tblStylePr w:type="band1Horz">
      <w:tblPr/>
      <w:tcPr>
        <w:tcBorders>
          <w:top w:val="single" w:sz="4" w:space="0" w:color="CEB888" w:themeColor="accent4"/>
          <w:bottom w:val="single" w:sz="4" w:space="0" w:color="CEB8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888" w:themeColor="accent4"/>
          <w:left w:val="nil"/>
        </w:tcBorders>
      </w:tcPr>
    </w:tblStylePr>
    <w:tblStylePr w:type="swCell">
      <w:tblPr/>
      <w:tcPr>
        <w:tcBorders>
          <w:top w:val="double" w:sz="4" w:space="0" w:color="CEB888" w:themeColor="accent4"/>
          <w:right w:val="nil"/>
        </w:tcBorders>
      </w:tcPr>
    </w:tblStylePr>
  </w:style>
  <w:style w:type="table" w:styleId="ListTable7Colorful-Accent6">
    <w:name w:val="List Table 7 Colorful Accent 6"/>
    <w:basedOn w:val="TableNormal"/>
    <w:uiPriority w:val="52"/>
    <w:rsid w:val="005D25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0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0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0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0E6" w:themeColor="accent6"/>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D25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AC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AC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AC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AC2C" w:themeColor="accent5"/>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D25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8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8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8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888" w:themeColor="accent4"/>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D25CB"/>
    <w:pPr>
      <w:spacing w:after="0" w:line="240" w:lineRule="auto"/>
    </w:pPr>
    <w:rPr>
      <w:color w:val="004E3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94B" w:themeColor="accent3"/>
        </w:tcBorders>
        <w:shd w:val="clear" w:color="auto" w:fill="FFFFFF" w:themeFill="background1"/>
      </w:tcPr>
    </w:tblStylePr>
    <w:tblStylePr w:type="band1Vert">
      <w:tblPr/>
      <w:tcPr>
        <w:shd w:val="clear" w:color="auto" w:fill="AEFFE7" w:themeFill="accent3" w:themeFillTint="33"/>
      </w:tcPr>
    </w:tblStylePr>
    <w:tblStylePr w:type="band1Horz">
      <w:tblPr/>
      <w:tcPr>
        <w:shd w:val="clear" w:color="auto" w:fill="AEFFE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5D25CB"/>
    <w:pPr>
      <w:spacing w:after="0" w:line="240" w:lineRule="auto"/>
    </w:pPr>
    <w:tblPr>
      <w:tblStyleRowBandSize w:val="1"/>
      <w:tblStyleColBandSize w:val="1"/>
      <w:tblBorders>
        <w:top w:val="single" w:sz="4" w:space="0" w:color="F2F0E6" w:themeColor="accent6"/>
        <w:bottom w:val="single" w:sz="4" w:space="0" w:color="F2F0E6" w:themeColor="accent6"/>
      </w:tblBorders>
    </w:tblPr>
    <w:tblStylePr w:type="firstRow">
      <w:rPr>
        <w:b/>
        <w:bCs/>
      </w:rPr>
      <w:tblPr/>
      <w:tcPr>
        <w:tcBorders>
          <w:bottom w:val="single" w:sz="4" w:space="0" w:color="F2F0E6" w:themeColor="accent6"/>
        </w:tcBorders>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6Colorful-Accent5">
    <w:name w:val="List Table 6 Colorful Accent 5"/>
    <w:basedOn w:val="TableNormal"/>
    <w:uiPriority w:val="51"/>
    <w:rsid w:val="005D25CB"/>
    <w:pPr>
      <w:spacing w:after="0" w:line="240" w:lineRule="auto"/>
    </w:pPr>
    <w:tblPr>
      <w:tblStyleRowBandSize w:val="1"/>
      <w:tblStyleColBandSize w:val="1"/>
      <w:tblBorders>
        <w:top w:val="single" w:sz="4" w:space="0" w:color="DEAC2C" w:themeColor="accent5"/>
        <w:bottom w:val="single" w:sz="4" w:space="0" w:color="DEAC2C" w:themeColor="accent5"/>
      </w:tblBorders>
    </w:tblPr>
    <w:tblStylePr w:type="firstRow">
      <w:rPr>
        <w:b/>
        <w:bCs/>
      </w:rPr>
      <w:tblPr/>
      <w:tcPr>
        <w:tcBorders>
          <w:bottom w:val="single" w:sz="4" w:space="0" w:color="DEAC2C" w:themeColor="accent5"/>
        </w:tcBorders>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6Colorful-Accent4">
    <w:name w:val="List Table 6 Colorful Accent 4"/>
    <w:basedOn w:val="TableNormal"/>
    <w:uiPriority w:val="51"/>
    <w:rsid w:val="005D25CB"/>
    <w:pPr>
      <w:spacing w:after="0" w:line="240" w:lineRule="auto"/>
    </w:pPr>
    <w:tblPr>
      <w:tblStyleRowBandSize w:val="1"/>
      <w:tblStyleColBandSize w:val="1"/>
      <w:tblBorders>
        <w:top w:val="single" w:sz="4" w:space="0" w:color="CEB888" w:themeColor="accent4"/>
        <w:bottom w:val="single" w:sz="4" w:space="0" w:color="CEB888" w:themeColor="accent4"/>
      </w:tblBorders>
    </w:tblPr>
    <w:tblStylePr w:type="firstRow">
      <w:rPr>
        <w:b/>
        <w:bCs/>
      </w:rPr>
      <w:tblPr/>
      <w:tcPr>
        <w:tcBorders>
          <w:bottom w:val="single" w:sz="4" w:space="0" w:color="CEB888" w:themeColor="accent4"/>
        </w:tcBorders>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5Dark-Accent6">
    <w:name w:val="List Table 5 Dark Accent 6"/>
    <w:basedOn w:val="TableNormal"/>
    <w:uiPriority w:val="50"/>
    <w:rsid w:val="005D25CB"/>
    <w:pPr>
      <w:spacing w:after="0" w:line="240" w:lineRule="auto"/>
    </w:pPr>
    <w:tblPr>
      <w:tblStyleRowBandSize w:val="1"/>
      <w:tblStyleColBandSize w:val="1"/>
      <w:tblBorders>
        <w:top w:val="single" w:sz="24" w:space="0" w:color="F2F0E6" w:themeColor="accent6"/>
        <w:left w:val="single" w:sz="24" w:space="0" w:color="F2F0E6" w:themeColor="accent6"/>
        <w:bottom w:val="single" w:sz="24" w:space="0" w:color="F2F0E6" w:themeColor="accent6"/>
        <w:right w:val="single" w:sz="24" w:space="0" w:color="F2F0E6" w:themeColor="accent6"/>
      </w:tblBorders>
    </w:tblPr>
    <w:tcPr>
      <w:shd w:val="clear" w:color="auto" w:fill="F2F0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D25CB"/>
    <w:pPr>
      <w:spacing w:after="0" w:line="240" w:lineRule="auto"/>
    </w:pPr>
    <w:tblPr>
      <w:tblStyleRowBandSize w:val="1"/>
      <w:tblStyleColBandSize w:val="1"/>
      <w:tblBorders>
        <w:top w:val="single" w:sz="24" w:space="0" w:color="DEAC2C" w:themeColor="accent5"/>
        <w:left w:val="single" w:sz="24" w:space="0" w:color="DEAC2C" w:themeColor="accent5"/>
        <w:bottom w:val="single" w:sz="24" w:space="0" w:color="DEAC2C" w:themeColor="accent5"/>
        <w:right w:val="single" w:sz="24" w:space="0" w:color="DEAC2C" w:themeColor="accent5"/>
      </w:tblBorders>
    </w:tblPr>
    <w:tcPr>
      <w:shd w:val="clear" w:color="auto" w:fill="DEAC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D25CB"/>
    <w:pPr>
      <w:spacing w:after="0" w:line="240" w:lineRule="auto"/>
    </w:pPr>
    <w:tblPr>
      <w:tblStyleRowBandSize w:val="1"/>
      <w:tblStyleColBandSize w:val="1"/>
      <w:tblBorders>
        <w:top w:val="single" w:sz="24" w:space="0" w:color="CEB888" w:themeColor="accent4"/>
        <w:left w:val="single" w:sz="24" w:space="0" w:color="CEB888" w:themeColor="accent4"/>
        <w:bottom w:val="single" w:sz="24" w:space="0" w:color="CEB888" w:themeColor="accent4"/>
        <w:right w:val="single" w:sz="24" w:space="0" w:color="CEB888" w:themeColor="accent4"/>
      </w:tblBorders>
    </w:tblPr>
    <w:tcPr>
      <w:shd w:val="clear" w:color="auto" w:fill="CEB8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5D25CB"/>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tblBorders>
    </w:tblPr>
    <w:tblStylePr w:type="firstRow">
      <w:rPr>
        <w:rFonts w:ascii="Verdana" w:hAnsi="Verdana"/>
        <w:b/>
        <w:bCs/>
        <w:i w:val="0"/>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tcBorders>
        <w:shd w:val="clear" w:color="auto" w:fill="F2F0E6" w:themeFill="accent6"/>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4-Accent5">
    <w:name w:val="List Table 4 Accent 5"/>
    <w:basedOn w:val="TableNormal"/>
    <w:uiPriority w:val="49"/>
    <w:rsid w:val="005D25CB"/>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tcBorders>
        <w:shd w:val="clear" w:color="auto" w:fill="DEAC2C" w:themeFill="accent5"/>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4-Accent4">
    <w:name w:val="List Table 4 Accent 4"/>
    <w:basedOn w:val="TableNormal"/>
    <w:uiPriority w:val="49"/>
    <w:rsid w:val="005D25CB"/>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tcBorders>
        <w:shd w:val="clear" w:color="auto" w:fill="CEB888" w:themeFill="accent4"/>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3-Accent6">
    <w:name w:val="List Table 3 Accent 6"/>
    <w:basedOn w:val="TableNormal"/>
    <w:uiPriority w:val="48"/>
    <w:rsid w:val="005D25CB"/>
    <w:pPr>
      <w:spacing w:after="0" w:line="240" w:lineRule="auto"/>
    </w:pPr>
    <w:tblPr>
      <w:tblStyleRowBandSize w:val="1"/>
      <w:tblStyleColBandSize w:val="1"/>
      <w:tblBorders>
        <w:top w:val="single" w:sz="4" w:space="0" w:color="F2F0E6" w:themeColor="accent6"/>
        <w:left w:val="single" w:sz="4" w:space="0" w:color="F2F0E6" w:themeColor="accent6"/>
        <w:bottom w:val="single" w:sz="4" w:space="0" w:color="F2F0E6" w:themeColor="accent6"/>
        <w:right w:val="single" w:sz="4" w:space="0" w:color="F2F0E6" w:themeColor="accent6"/>
      </w:tblBorders>
    </w:tblPr>
    <w:tblStylePr w:type="firstRow">
      <w:rPr>
        <w:rFonts w:ascii="Verdana" w:hAnsi="Verdana"/>
        <w:b/>
        <w:bCs/>
        <w:i w:val="0"/>
        <w:color w:val="auto"/>
      </w:rPr>
      <w:tblPr/>
      <w:tcPr>
        <w:shd w:val="clear" w:color="auto" w:fill="F2F0E6" w:themeFill="accent6"/>
      </w:tcPr>
    </w:tblStylePr>
    <w:tblStylePr w:type="lastRow">
      <w:rPr>
        <w:b/>
        <w:bCs/>
      </w:rPr>
      <w:tblPr/>
      <w:tcPr>
        <w:tcBorders>
          <w:top w:val="double" w:sz="4" w:space="0" w:color="F2F0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0E6" w:themeColor="accent6"/>
          <w:right w:val="single" w:sz="4" w:space="0" w:color="F2F0E6" w:themeColor="accent6"/>
        </w:tcBorders>
      </w:tcPr>
    </w:tblStylePr>
    <w:tblStylePr w:type="band1Horz">
      <w:tblPr/>
      <w:tcPr>
        <w:tcBorders>
          <w:top w:val="single" w:sz="4" w:space="0" w:color="F2F0E6" w:themeColor="accent6"/>
          <w:bottom w:val="single" w:sz="4" w:space="0" w:color="F2F0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0E6" w:themeColor="accent6"/>
          <w:left w:val="nil"/>
        </w:tcBorders>
      </w:tcPr>
    </w:tblStylePr>
    <w:tblStylePr w:type="swCell">
      <w:tblPr/>
      <w:tcPr>
        <w:tcBorders>
          <w:top w:val="double" w:sz="4" w:space="0" w:color="F2F0E6" w:themeColor="accent6"/>
          <w:right w:val="nil"/>
        </w:tcBorders>
      </w:tcPr>
    </w:tblStylePr>
  </w:style>
  <w:style w:type="table" w:styleId="ListTable3-Accent5">
    <w:name w:val="List Table 3 Accent 5"/>
    <w:basedOn w:val="TableNormal"/>
    <w:uiPriority w:val="48"/>
    <w:rsid w:val="005D25CB"/>
    <w:pPr>
      <w:spacing w:after="0" w:line="240" w:lineRule="auto"/>
    </w:pPr>
    <w:tblPr>
      <w:tblStyleRowBandSize w:val="1"/>
      <w:tblStyleColBandSize w:val="1"/>
      <w:tblBorders>
        <w:top w:val="single" w:sz="4" w:space="0" w:color="DEAC2C" w:themeColor="accent5"/>
        <w:left w:val="single" w:sz="4" w:space="0" w:color="DEAC2C" w:themeColor="accent5"/>
        <w:bottom w:val="single" w:sz="4" w:space="0" w:color="DEAC2C" w:themeColor="accent5"/>
        <w:right w:val="single" w:sz="4" w:space="0" w:color="DEAC2C" w:themeColor="accent5"/>
      </w:tblBorders>
    </w:tblPr>
    <w:tblStylePr w:type="firstRow">
      <w:rPr>
        <w:b/>
        <w:bCs/>
        <w:color w:val="auto"/>
      </w:rPr>
      <w:tblPr/>
      <w:tcPr>
        <w:shd w:val="clear" w:color="auto" w:fill="DEAC2C" w:themeFill="accent5"/>
      </w:tcPr>
    </w:tblStylePr>
    <w:tblStylePr w:type="lastRow">
      <w:rPr>
        <w:b/>
        <w:bCs/>
      </w:rPr>
      <w:tblPr/>
      <w:tcPr>
        <w:tcBorders>
          <w:top w:val="double" w:sz="4" w:space="0" w:color="DEAC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AC2C" w:themeColor="accent5"/>
          <w:right w:val="single" w:sz="4" w:space="0" w:color="DEAC2C" w:themeColor="accent5"/>
        </w:tcBorders>
      </w:tcPr>
    </w:tblStylePr>
    <w:tblStylePr w:type="band1Horz">
      <w:tblPr/>
      <w:tcPr>
        <w:tcBorders>
          <w:top w:val="single" w:sz="4" w:space="0" w:color="DEAC2C" w:themeColor="accent5"/>
          <w:bottom w:val="single" w:sz="4" w:space="0" w:color="DEAC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AC2C" w:themeColor="accent5"/>
          <w:left w:val="nil"/>
        </w:tcBorders>
      </w:tcPr>
    </w:tblStylePr>
    <w:tblStylePr w:type="swCell">
      <w:tblPr/>
      <w:tcPr>
        <w:tcBorders>
          <w:top w:val="double" w:sz="4" w:space="0" w:color="DEAC2C" w:themeColor="accent5"/>
          <w:right w:val="nil"/>
        </w:tcBorders>
      </w:tcPr>
    </w:tblStylePr>
  </w:style>
  <w:style w:type="table" w:styleId="ListTable2-Accent6">
    <w:name w:val="List Table 2 Accent 6"/>
    <w:basedOn w:val="TableNormal"/>
    <w:uiPriority w:val="47"/>
    <w:rsid w:val="005D25CB"/>
    <w:pPr>
      <w:spacing w:after="0" w:line="240" w:lineRule="auto"/>
    </w:pPr>
    <w:tblPr>
      <w:tblStyleRowBandSize w:val="1"/>
      <w:tblStyleColBandSize w:val="1"/>
      <w:tblBorders>
        <w:top w:val="single" w:sz="4" w:space="0" w:color="F7F5EF" w:themeColor="accent6" w:themeTint="99"/>
        <w:bottom w:val="single" w:sz="4" w:space="0" w:color="F7F5EF" w:themeColor="accent6" w:themeTint="99"/>
        <w:insideH w:val="single" w:sz="4" w:space="0" w:color="F7F5E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2-Accent5">
    <w:name w:val="List Table 2 Accent 5"/>
    <w:basedOn w:val="TableNormal"/>
    <w:uiPriority w:val="47"/>
    <w:rsid w:val="005D25CB"/>
    <w:pPr>
      <w:spacing w:after="0" w:line="240" w:lineRule="auto"/>
    </w:pPr>
    <w:tblPr>
      <w:tblStyleRowBandSize w:val="1"/>
      <w:tblStyleColBandSize w:val="1"/>
      <w:tblBorders>
        <w:top w:val="single" w:sz="4" w:space="0" w:color="EBCC80" w:themeColor="accent5" w:themeTint="99"/>
        <w:bottom w:val="single" w:sz="4" w:space="0" w:color="EBCC80" w:themeColor="accent5" w:themeTint="99"/>
        <w:insideH w:val="single" w:sz="4" w:space="0" w:color="EBCC8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2-Accent4">
    <w:name w:val="List Table 2 Accent 4"/>
    <w:basedOn w:val="TableNormal"/>
    <w:uiPriority w:val="47"/>
    <w:rsid w:val="005D25CB"/>
    <w:pPr>
      <w:spacing w:after="0" w:line="240" w:lineRule="auto"/>
    </w:pPr>
    <w:tblPr>
      <w:tblStyleRowBandSize w:val="1"/>
      <w:tblStyleColBandSize w:val="1"/>
      <w:tblBorders>
        <w:top w:val="single" w:sz="4" w:space="0" w:color="E1D4B7" w:themeColor="accent4" w:themeTint="99"/>
        <w:bottom w:val="single" w:sz="4" w:space="0" w:color="E1D4B7" w:themeColor="accent4" w:themeTint="99"/>
        <w:insideH w:val="single" w:sz="4" w:space="0" w:color="E1D4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6">
    <w:name w:val="List Table 1 Light Accent 6"/>
    <w:basedOn w:val="TableNormal"/>
    <w:uiPriority w:val="46"/>
    <w:rsid w:val="005D25CB"/>
    <w:pPr>
      <w:spacing w:after="0" w:line="240" w:lineRule="auto"/>
    </w:pPr>
    <w:tblPr>
      <w:tblStyleRowBandSize w:val="1"/>
      <w:tblStyleColBandSize w:val="1"/>
    </w:tblPr>
    <w:tblStylePr w:type="firstRow">
      <w:rPr>
        <w:b/>
        <w:bCs/>
      </w:rPr>
      <w:tblPr/>
      <w:tcPr>
        <w:tcBorders>
          <w:bottom w:val="single" w:sz="4" w:space="0" w:color="F7F5EF" w:themeColor="accent6" w:themeTint="99"/>
        </w:tcBorders>
      </w:tcPr>
    </w:tblStylePr>
    <w:tblStylePr w:type="lastRow">
      <w:rPr>
        <w:b/>
        <w:bCs/>
      </w:rPr>
      <w:tblPr/>
      <w:tcPr>
        <w:tcBorders>
          <w:top w:val="sing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1Light-Accent5">
    <w:name w:val="List Table 1 Light Accent 5"/>
    <w:basedOn w:val="TableNormal"/>
    <w:uiPriority w:val="46"/>
    <w:rsid w:val="005D25CB"/>
    <w:pPr>
      <w:spacing w:after="0" w:line="240" w:lineRule="auto"/>
    </w:pPr>
    <w:tblPr>
      <w:tblStyleRowBandSize w:val="1"/>
      <w:tblStyleColBandSize w:val="1"/>
    </w:tblPr>
    <w:tblStylePr w:type="firstRow">
      <w:rPr>
        <w:b/>
        <w:bCs/>
      </w:rPr>
      <w:tblPr/>
      <w:tcPr>
        <w:tcBorders>
          <w:bottom w:val="single" w:sz="4" w:space="0" w:color="EBCC80" w:themeColor="accent5" w:themeTint="99"/>
        </w:tcBorders>
      </w:tcPr>
    </w:tblStylePr>
    <w:tblStylePr w:type="lastRow">
      <w:rPr>
        <w:b/>
        <w:bCs/>
      </w:rPr>
      <w:tblPr/>
      <w:tcPr>
        <w:tcBorders>
          <w:top w:val="sing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1Light-Accent4">
    <w:name w:val="List Table 1 Light Accent 4"/>
    <w:basedOn w:val="TableNormal"/>
    <w:uiPriority w:val="46"/>
    <w:rsid w:val="005D25CB"/>
    <w:pPr>
      <w:spacing w:after="0" w:line="240" w:lineRule="auto"/>
    </w:pPr>
    <w:tblPr>
      <w:tblStyleRowBandSize w:val="1"/>
      <w:tblStyleColBandSize w:val="1"/>
    </w:tblPr>
    <w:tblStylePr w:type="firstRow">
      <w:rPr>
        <w:b/>
        <w:bCs/>
      </w:rPr>
      <w:tblPr/>
      <w:tcPr>
        <w:tcBorders>
          <w:bottom w:val="single" w:sz="4" w:space="0" w:color="E1D4B7" w:themeColor="accent4" w:themeTint="99"/>
        </w:tcBorders>
      </w:tcPr>
    </w:tblStylePr>
    <w:tblStylePr w:type="lastRow">
      <w:rPr>
        <w:b/>
        <w:bCs/>
      </w:rPr>
      <w:tblPr/>
      <w:tcPr>
        <w:tcBorders>
          <w:top w:val="sing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7Colorful-Accent6">
    <w:name w:val="Grid Table 7 Colorful Accent 6"/>
    <w:basedOn w:val="TableNormal"/>
    <w:uiPriority w:val="52"/>
    <w:rsid w:val="005D25CB"/>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7Colorful-Accent5">
    <w:name w:val="Grid Table 7 Colorful Accent 5"/>
    <w:basedOn w:val="TableNormal"/>
    <w:uiPriority w:val="52"/>
    <w:rsid w:val="005D25CB"/>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7Colorful-Accent4">
    <w:name w:val="Grid Table 7 Colorful Accent 4"/>
    <w:basedOn w:val="TableNormal"/>
    <w:uiPriority w:val="52"/>
    <w:rsid w:val="005D25CB"/>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6Colorful-Accent6">
    <w:name w:val="Grid Table 6 Colorful Accent 6"/>
    <w:basedOn w:val="TableNormal"/>
    <w:uiPriority w:val="51"/>
    <w:rsid w:val="005D25CB"/>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6Colorful-Accent5">
    <w:name w:val="Grid Table 6 Colorful Accent 5"/>
    <w:basedOn w:val="TableNormal"/>
    <w:uiPriority w:val="51"/>
    <w:rsid w:val="005D25CB"/>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6Colorful-Accent4">
    <w:name w:val="Grid Table 6 Colorful Accent 4"/>
    <w:basedOn w:val="TableNormal"/>
    <w:uiPriority w:val="51"/>
    <w:rsid w:val="005D25CB"/>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5Dark-Accent6">
    <w:name w:val="Grid Table 5 Dark Accent 6"/>
    <w:basedOn w:val="TableNormal"/>
    <w:uiPriority w:val="50"/>
    <w:rsid w:val="00657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9" w:themeFill="accent6"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0E6" w:themeFill="accent6"/>
      </w:tcPr>
    </w:tblStylePr>
    <w:tblStylePr w:type="lastRow">
      <w:rPr>
        <w:rFonts w:asciiTheme="minorHAnsi" w:hAnsiTheme="minorHAnsi"/>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0E6" w:themeFill="accent6"/>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0E6" w:themeFill="accent6"/>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0E6" w:themeFill="accent6"/>
      </w:tcPr>
    </w:tblStylePr>
    <w:tblStylePr w:type="band1Vert">
      <w:tblPr/>
      <w:tcPr>
        <w:shd w:val="clear" w:color="auto" w:fill="F9F8F4" w:themeFill="accent6" w:themeFillTint="66"/>
      </w:tcPr>
    </w:tblStylePr>
    <w:tblStylePr w:type="band1Horz">
      <w:tblPr/>
      <w:tcPr>
        <w:shd w:val="clear" w:color="auto" w:fill="F9F8F4" w:themeFill="accent6" w:themeFillTint="66"/>
      </w:tcPr>
    </w:tblStylePr>
  </w:style>
  <w:style w:type="table" w:styleId="GridTable5Dark-Accent5">
    <w:name w:val="Grid Table 5 Dark Accent 5"/>
    <w:basedOn w:val="TableNormal"/>
    <w:uiPriority w:val="50"/>
    <w:rsid w:val="00657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ED4" w:themeFill="accent5" w:themeFillTint="33"/>
    </w:tcPr>
    <w:tblStylePr w:type="firstRow">
      <w:rPr>
        <w:rFonts w:asciiTheme="minorHAnsi" w:hAnsiTheme="minorHAnsi"/>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AC2C" w:themeFill="accent5"/>
      </w:tcPr>
    </w:tblStylePr>
    <w:tblStylePr w:type="lastRow">
      <w:rPr>
        <w:rFonts w:asciiTheme="minorHAnsi" w:hAnsiTheme="minorHAnsi"/>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AC2C"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AC2C" w:themeFill="accent5"/>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AC2C" w:themeFill="accent5"/>
      </w:tcPr>
    </w:tblStylePr>
    <w:tblStylePr w:type="band1Vert">
      <w:tblPr/>
      <w:tcPr>
        <w:shd w:val="clear" w:color="auto" w:fill="F1DDAA" w:themeFill="accent5" w:themeFillTint="66"/>
      </w:tcPr>
    </w:tblStylePr>
    <w:tblStylePr w:type="band1Horz">
      <w:tblPr/>
      <w:tcPr>
        <w:shd w:val="clear" w:color="auto" w:fill="F1DDAA" w:themeFill="accent5" w:themeFillTint="66"/>
      </w:tcPr>
    </w:tblStylePr>
  </w:style>
  <w:style w:type="table" w:styleId="GridTable5Dark-Accent4">
    <w:name w:val="Grid Table 5 Dark Accent 4"/>
    <w:basedOn w:val="TableNormal"/>
    <w:uiPriority w:val="50"/>
    <w:rsid w:val="00657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7" w:themeFill="accent4"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888" w:themeFill="accent4"/>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888" w:themeFill="accent4"/>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888" w:themeFill="accent4"/>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888" w:themeFill="accent4"/>
      </w:tcPr>
    </w:tblStylePr>
    <w:tblStylePr w:type="band1Vert">
      <w:tblPr/>
      <w:tcPr>
        <w:shd w:val="clear" w:color="auto" w:fill="EBE2CF" w:themeFill="accent4" w:themeFillTint="66"/>
      </w:tcPr>
    </w:tblStylePr>
    <w:tblStylePr w:type="band1Horz">
      <w:tblPr/>
      <w:tcPr>
        <w:shd w:val="clear" w:color="auto" w:fill="EBE2CF" w:themeFill="accent4" w:themeFillTint="66"/>
      </w:tcPr>
    </w:tblStylePr>
  </w:style>
  <w:style w:type="table" w:styleId="GridTable4-Accent6">
    <w:name w:val="Grid Table 4 Accent 6"/>
    <w:basedOn w:val="TableNormal"/>
    <w:uiPriority w:val="49"/>
    <w:rsid w:val="00657630"/>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insideV w:val="nil"/>
        </w:tcBorders>
        <w:shd w:val="clear" w:color="auto" w:fill="F2F0E6" w:themeFill="accent6"/>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4-Accent5">
    <w:name w:val="Grid Table 4 Accent 5"/>
    <w:basedOn w:val="TableNormal"/>
    <w:uiPriority w:val="49"/>
    <w:rsid w:val="00657630"/>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insideV w:val="nil"/>
        </w:tcBorders>
        <w:shd w:val="clear" w:color="auto" w:fill="DEAC2C" w:themeFill="accent5"/>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4-Accent4">
    <w:name w:val="Grid Table 4 Accent 4"/>
    <w:basedOn w:val="TableNormal"/>
    <w:uiPriority w:val="49"/>
    <w:rsid w:val="00657630"/>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insideV w:val="nil"/>
        </w:tcBorders>
        <w:shd w:val="clear" w:color="auto" w:fill="CEB888" w:themeFill="accent4"/>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3-Accent6">
    <w:name w:val="Grid Table 3 Accent 6"/>
    <w:basedOn w:val="TableNormal"/>
    <w:uiPriority w:val="48"/>
    <w:rsid w:val="00657630"/>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3-Accent5">
    <w:name w:val="Grid Table 3 Accent 5"/>
    <w:basedOn w:val="TableNormal"/>
    <w:uiPriority w:val="48"/>
    <w:rsid w:val="00657630"/>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3-Accent4">
    <w:name w:val="Grid Table 3 Accent 4"/>
    <w:basedOn w:val="TableNormal"/>
    <w:uiPriority w:val="48"/>
    <w:rsid w:val="00657630"/>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2-Accent6">
    <w:name w:val="Grid Table 2 Accent 6"/>
    <w:basedOn w:val="TableNormal"/>
    <w:uiPriority w:val="47"/>
    <w:rsid w:val="00657630"/>
    <w:pPr>
      <w:spacing w:after="0" w:line="240" w:lineRule="auto"/>
    </w:pPr>
    <w:tblPr>
      <w:tblStyleRowBandSize w:val="1"/>
      <w:tblStyleColBandSize w:val="1"/>
      <w:tblBorders>
        <w:top w:val="single" w:sz="2" w:space="0" w:color="F7F5EF" w:themeColor="accent6" w:themeTint="99"/>
        <w:bottom w:val="single" w:sz="2" w:space="0" w:color="F7F5EF" w:themeColor="accent6" w:themeTint="99"/>
        <w:insideH w:val="single" w:sz="2" w:space="0" w:color="F7F5EF" w:themeColor="accent6" w:themeTint="99"/>
        <w:insideV w:val="single" w:sz="2" w:space="0" w:color="F7F5EF" w:themeColor="accent6" w:themeTint="99"/>
      </w:tblBorders>
    </w:tblPr>
    <w:tblStylePr w:type="firstRow">
      <w:rPr>
        <w:b/>
        <w:bCs/>
      </w:rPr>
      <w:tblPr/>
      <w:tcPr>
        <w:tcBorders>
          <w:top w:val="nil"/>
          <w:bottom w:val="single" w:sz="12" w:space="0" w:color="F7F5EF" w:themeColor="accent6" w:themeTint="99"/>
          <w:insideH w:val="nil"/>
          <w:insideV w:val="nil"/>
        </w:tcBorders>
        <w:shd w:val="clear" w:color="auto" w:fill="FFFFFF" w:themeFill="background1"/>
      </w:tcPr>
    </w:tblStylePr>
    <w:tblStylePr w:type="lastRow">
      <w:rPr>
        <w:b/>
        <w:bCs/>
      </w:rPr>
      <w:tblPr/>
      <w:tcPr>
        <w:tcBorders>
          <w:top w:val="double" w:sz="2" w:space="0" w:color="F7F5E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2-Accent5">
    <w:name w:val="Grid Table 2 Accent 5"/>
    <w:basedOn w:val="TableNormal"/>
    <w:uiPriority w:val="47"/>
    <w:rsid w:val="00657630"/>
    <w:pPr>
      <w:spacing w:after="0" w:line="240" w:lineRule="auto"/>
    </w:pPr>
    <w:tblPr>
      <w:tblStyleRowBandSize w:val="1"/>
      <w:tblStyleColBandSize w:val="1"/>
      <w:tblBorders>
        <w:top w:val="single" w:sz="2" w:space="0" w:color="EBCC80" w:themeColor="accent5" w:themeTint="99"/>
        <w:bottom w:val="single" w:sz="2" w:space="0" w:color="EBCC80" w:themeColor="accent5" w:themeTint="99"/>
        <w:insideH w:val="single" w:sz="2" w:space="0" w:color="EBCC80" w:themeColor="accent5" w:themeTint="99"/>
        <w:insideV w:val="single" w:sz="2" w:space="0" w:color="EBCC80" w:themeColor="accent5" w:themeTint="99"/>
      </w:tblBorders>
    </w:tblPr>
    <w:tblStylePr w:type="firstRow">
      <w:rPr>
        <w:b/>
        <w:bCs/>
      </w:rPr>
      <w:tblPr/>
      <w:tcPr>
        <w:tcBorders>
          <w:top w:val="nil"/>
          <w:bottom w:val="single" w:sz="12" w:space="0" w:color="EBCC80" w:themeColor="accent5" w:themeTint="99"/>
          <w:insideH w:val="nil"/>
          <w:insideV w:val="nil"/>
        </w:tcBorders>
        <w:shd w:val="clear" w:color="auto" w:fill="FFFFFF" w:themeFill="background1"/>
      </w:tcPr>
    </w:tblStylePr>
    <w:tblStylePr w:type="lastRow">
      <w:rPr>
        <w:b/>
        <w:bCs/>
      </w:rPr>
      <w:tblPr/>
      <w:tcPr>
        <w:tcBorders>
          <w:top w:val="double" w:sz="2" w:space="0" w:color="EBCC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2-Accent4">
    <w:name w:val="Grid Table 2 Accent 4"/>
    <w:basedOn w:val="TableNormal"/>
    <w:uiPriority w:val="47"/>
    <w:rsid w:val="00657630"/>
    <w:pPr>
      <w:spacing w:after="0" w:line="240" w:lineRule="auto"/>
    </w:pPr>
    <w:tblPr>
      <w:tblStyleRowBandSize w:val="1"/>
      <w:tblStyleColBandSize w:val="1"/>
      <w:tblBorders>
        <w:top w:val="single" w:sz="2" w:space="0" w:color="E1D4B7" w:themeColor="accent4" w:themeTint="99"/>
        <w:bottom w:val="single" w:sz="2" w:space="0" w:color="E1D4B7" w:themeColor="accent4" w:themeTint="99"/>
        <w:insideH w:val="single" w:sz="2" w:space="0" w:color="E1D4B7" w:themeColor="accent4" w:themeTint="99"/>
        <w:insideV w:val="single" w:sz="2" w:space="0" w:color="E1D4B7" w:themeColor="accent4" w:themeTint="99"/>
      </w:tblBorders>
    </w:tblPr>
    <w:tblStylePr w:type="firstRow">
      <w:rPr>
        <w:b/>
        <w:bCs/>
      </w:rPr>
      <w:tblPr/>
      <w:tcPr>
        <w:tcBorders>
          <w:top w:val="nil"/>
          <w:bottom w:val="single" w:sz="12" w:space="0" w:color="E1D4B7" w:themeColor="accent4" w:themeTint="99"/>
          <w:insideH w:val="nil"/>
          <w:insideV w:val="nil"/>
        </w:tcBorders>
        <w:shd w:val="clear" w:color="auto" w:fill="FFFFFF" w:themeFill="background1"/>
      </w:tcPr>
    </w:tblStylePr>
    <w:tblStylePr w:type="lastRow">
      <w:rPr>
        <w:b/>
        <w:bCs/>
      </w:rPr>
      <w:tblPr/>
      <w:tcPr>
        <w:tcBorders>
          <w:top w:val="double" w:sz="2" w:space="0" w:color="E1D4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1Light-Accent6">
    <w:name w:val="Grid Table 1 Light Accent 6"/>
    <w:basedOn w:val="TableNormal"/>
    <w:uiPriority w:val="46"/>
    <w:rsid w:val="00657630"/>
    <w:pPr>
      <w:spacing w:after="0" w:line="240" w:lineRule="auto"/>
    </w:pPr>
    <w:tblPr>
      <w:tblStyleRowBandSize w:val="1"/>
      <w:tblStyleColBandSize w:val="1"/>
      <w:tblBorders>
        <w:top w:val="single" w:sz="4" w:space="0" w:color="F9F8F4" w:themeColor="accent6" w:themeTint="66"/>
        <w:left w:val="single" w:sz="4" w:space="0" w:color="F9F8F4" w:themeColor="accent6" w:themeTint="66"/>
        <w:bottom w:val="single" w:sz="4" w:space="0" w:color="F9F8F4" w:themeColor="accent6" w:themeTint="66"/>
        <w:right w:val="single" w:sz="4" w:space="0" w:color="F9F8F4" w:themeColor="accent6" w:themeTint="66"/>
        <w:insideH w:val="single" w:sz="4" w:space="0" w:color="F9F8F4" w:themeColor="accent6" w:themeTint="66"/>
        <w:insideV w:val="single" w:sz="4" w:space="0" w:color="F9F8F4" w:themeColor="accent6" w:themeTint="66"/>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2" w:space="0" w:color="F7F5E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57630"/>
    <w:pPr>
      <w:spacing w:after="0" w:line="240" w:lineRule="auto"/>
    </w:pPr>
    <w:tblPr>
      <w:tblStyleRowBandSize w:val="1"/>
      <w:tblStyleColBandSize w:val="1"/>
      <w:tblBorders>
        <w:top w:val="single" w:sz="4" w:space="0" w:color="F1DDAA" w:themeColor="accent5" w:themeTint="66"/>
        <w:left w:val="single" w:sz="4" w:space="0" w:color="F1DDAA" w:themeColor="accent5" w:themeTint="66"/>
        <w:bottom w:val="single" w:sz="4" w:space="0" w:color="F1DDAA" w:themeColor="accent5" w:themeTint="66"/>
        <w:right w:val="single" w:sz="4" w:space="0" w:color="F1DDAA" w:themeColor="accent5" w:themeTint="66"/>
        <w:insideH w:val="single" w:sz="4" w:space="0" w:color="F1DDAA" w:themeColor="accent5" w:themeTint="66"/>
        <w:insideV w:val="single" w:sz="4" w:space="0" w:color="F1DDAA" w:themeColor="accent5" w:themeTint="66"/>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2" w:space="0" w:color="EBCC80"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57630"/>
    <w:pPr>
      <w:spacing w:after="0" w:line="240" w:lineRule="auto"/>
    </w:pPr>
    <w:tblPr>
      <w:tblStyleRowBandSize w:val="1"/>
      <w:tblStyleColBandSize w:val="1"/>
      <w:tblBorders>
        <w:top w:val="single" w:sz="4" w:space="0" w:color="EBE2CF" w:themeColor="accent4" w:themeTint="66"/>
        <w:left w:val="single" w:sz="4" w:space="0" w:color="EBE2CF" w:themeColor="accent4" w:themeTint="66"/>
        <w:bottom w:val="single" w:sz="4" w:space="0" w:color="EBE2CF" w:themeColor="accent4" w:themeTint="66"/>
        <w:right w:val="single" w:sz="4" w:space="0" w:color="EBE2CF" w:themeColor="accent4" w:themeTint="66"/>
        <w:insideH w:val="single" w:sz="4" w:space="0" w:color="EBE2CF" w:themeColor="accent4" w:themeTint="66"/>
        <w:insideV w:val="single" w:sz="4" w:space="0" w:color="EBE2CF" w:themeColor="accent4" w:themeTint="66"/>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2" w:space="0" w:color="E1D4B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36D36"/>
    <w:pPr>
      <w:spacing w:before="0" w:line="240" w:lineRule="auto"/>
    </w:pPr>
    <w:rPr>
      <w:i/>
      <w:iCs/>
      <w:color w:val="00694B" w:themeColor="accent3"/>
      <w:szCs w:val="18"/>
    </w:rPr>
  </w:style>
  <w:style w:type="paragraph" w:styleId="TOCHeading">
    <w:name w:val="TOC Heading"/>
    <w:basedOn w:val="Heading1"/>
    <w:next w:val="Normal"/>
    <w:uiPriority w:val="39"/>
    <w:unhideWhenUsed/>
    <w:qFormat/>
    <w:rsid w:val="004A2629"/>
    <w:pPr>
      <w:keepNext/>
      <w:keepLines/>
      <w:spacing w:before="240" w:after="0" w:line="259" w:lineRule="auto"/>
      <w:outlineLvl w:val="9"/>
    </w:pPr>
    <w:rPr>
      <w:rFonts w:asciiTheme="majorHAnsi" w:eastAsiaTheme="majorEastAsia" w:hAnsiTheme="majorHAnsi" w:cstheme="majorBidi"/>
      <w:color w:val="112F26" w:themeColor="accent1" w:themeShade="BF"/>
      <w:sz w:val="32"/>
      <w:szCs w:val="32"/>
      <w:lang w:val="en-US"/>
    </w:rPr>
  </w:style>
  <w:style w:type="paragraph" w:styleId="TOC1">
    <w:name w:val="toc 1"/>
    <w:basedOn w:val="Normal"/>
    <w:next w:val="Normal"/>
    <w:autoRedefine/>
    <w:uiPriority w:val="39"/>
    <w:unhideWhenUsed/>
    <w:rsid w:val="00236949"/>
    <w:pPr>
      <w:tabs>
        <w:tab w:val="right" w:leader="dot" w:pos="9968"/>
      </w:tabs>
      <w:spacing w:after="100"/>
    </w:pPr>
  </w:style>
  <w:style w:type="paragraph" w:styleId="TableofFigures">
    <w:name w:val="table of figures"/>
    <w:basedOn w:val="Normal"/>
    <w:next w:val="Normal"/>
    <w:uiPriority w:val="99"/>
    <w:unhideWhenUsed/>
    <w:rsid w:val="004A2629"/>
    <w:pPr>
      <w:spacing w:after="0"/>
    </w:pPr>
  </w:style>
  <w:style w:type="paragraph" w:customStyle="1" w:styleId="Sourcesandnotes">
    <w:name w:val="Sources and notes"/>
    <w:basedOn w:val="Normal"/>
    <w:link w:val="SourcesandnotesChar"/>
    <w:qFormat/>
    <w:rsid w:val="00782808"/>
    <w:rPr>
      <w:sz w:val="16"/>
    </w:rPr>
  </w:style>
  <w:style w:type="character" w:customStyle="1" w:styleId="SourcesandnotesChar">
    <w:name w:val="Sources and notes Char"/>
    <w:basedOn w:val="DefaultParagraphFont"/>
    <w:link w:val="Sourcesandnotes"/>
    <w:rsid w:val="00782808"/>
    <w:rPr>
      <w:sz w:val="16"/>
      <w:szCs w:val="20"/>
    </w:rPr>
  </w:style>
  <w:style w:type="character" w:styleId="UnresolvedMention">
    <w:name w:val="Unresolved Mention"/>
    <w:basedOn w:val="DefaultParagraphFont"/>
    <w:uiPriority w:val="99"/>
    <w:semiHidden/>
    <w:unhideWhenUsed/>
    <w:rsid w:val="005015BE"/>
    <w:rPr>
      <w:color w:val="605E5C"/>
      <w:shd w:val="clear" w:color="auto" w:fill="E1DFDD"/>
    </w:rPr>
  </w:style>
  <w:style w:type="paragraph" w:styleId="TOC2">
    <w:name w:val="toc 2"/>
    <w:basedOn w:val="Normal"/>
    <w:next w:val="Normal"/>
    <w:autoRedefine/>
    <w:uiPriority w:val="39"/>
    <w:unhideWhenUsed/>
    <w:rsid w:val="005937A1"/>
    <w:pPr>
      <w:tabs>
        <w:tab w:val="right" w:leader="dot" w:pos="9968"/>
      </w:tabs>
      <w:spacing w:before="0" w:after="100" w:line="259" w:lineRule="auto"/>
      <w:ind w:left="220"/>
    </w:pPr>
    <w:rPr>
      <w:rFonts w:eastAsiaTheme="minorEastAsia" w:cs="Times New Roman"/>
      <w:sz w:val="22"/>
      <w:szCs w:val="22"/>
      <w:lang w:val="en-US"/>
    </w:rPr>
  </w:style>
  <w:style w:type="paragraph" w:styleId="TOC3">
    <w:name w:val="toc 3"/>
    <w:basedOn w:val="Normal"/>
    <w:next w:val="Normal"/>
    <w:autoRedefine/>
    <w:uiPriority w:val="39"/>
    <w:unhideWhenUsed/>
    <w:rsid w:val="00CA4D45"/>
    <w:pPr>
      <w:spacing w:before="0" w:after="100" w:line="259" w:lineRule="auto"/>
      <w:ind w:left="440"/>
    </w:pPr>
    <w:rPr>
      <w:rFonts w:eastAsiaTheme="minorEastAsia" w:cs="Times New Roman"/>
      <w:sz w:val="22"/>
      <w:szCs w:val="22"/>
      <w:lang w:val="en-US"/>
    </w:rPr>
  </w:style>
  <w:style w:type="character" w:customStyle="1" w:styleId="Heading4Char">
    <w:name w:val="Heading 4 Char"/>
    <w:basedOn w:val="DefaultParagraphFont"/>
    <w:link w:val="Heading4"/>
    <w:uiPriority w:val="9"/>
    <w:semiHidden/>
    <w:rsid w:val="00921460"/>
    <w:rPr>
      <w:rFonts w:asciiTheme="majorHAnsi" w:eastAsiaTheme="majorEastAsia" w:hAnsiTheme="majorHAnsi" w:cstheme="majorBidi"/>
      <w:i/>
      <w:iCs/>
      <w:color w:val="112F26" w:themeColor="accent1" w:themeShade="BF"/>
      <w:sz w:val="20"/>
      <w:szCs w:val="20"/>
    </w:rPr>
  </w:style>
  <w:style w:type="paragraph" w:styleId="BalloonText">
    <w:name w:val="Balloon Text"/>
    <w:basedOn w:val="Normal"/>
    <w:link w:val="BalloonTextChar"/>
    <w:uiPriority w:val="99"/>
    <w:semiHidden/>
    <w:unhideWhenUsed/>
    <w:rsid w:val="004D1BB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BBB"/>
    <w:rPr>
      <w:rFonts w:ascii="Segoe UI" w:hAnsi="Segoe UI" w:cs="Segoe UI"/>
      <w:sz w:val="18"/>
      <w:szCs w:val="18"/>
    </w:rPr>
  </w:style>
  <w:style w:type="paragraph" w:styleId="Bibliography">
    <w:name w:val="Bibliography"/>
    <w:basedOn w:val="Normal"/>
    <w:next w:val="Normal"/>
    <w:uiPriority w:val="37"/>
    <w:semiHidden/>
    <w:unhideWhenUsed/>
    <w:rsid w:val="004D1BBB"/>
  </w:style>
  <w:style w:type="paragraph" w:styleId="BlockText">
    <w:name w:val="Block Text"/>
    <w:basedOn w:val="Normal"/>
    <w:uiPriority w:val="99"/>
    <w:semiHidden/>
    <w:unhideWhenUsed/>
    <w:rsid w:val="004D1BBB"/>
    <w:pPr>
      <w:pBdr>
        <w:top w:val="single" w:sz="2" w:space="10" w:color="173F34" w:themeColor="accent1"/>
        <w:left w:val="single" w:sz="2" w:space="10" w:color="173F34" w:themeColor="accent1"/>
        <w:bottom w:val="single" w:sz="2" w:space="10" w:color="173F34" w:themeColor="accent1"/>
        <w:right w:val="single" w:sz="2" w:space="10" w:color="173F34" w:themeColor="accent1"/>
      </w:pBdr>
      <w:ind w:left="1152" w:right="1152"/>
    </w:pPr>
    <w:rPr>
      <w:rFonts w:eastAsiaTheme="minorEastAsia"/>
      <w:i/>
      <w:iCs/>
      <w:color w:val="173F34" w:themeColor="accent1"/>
    </w:rPr>
  </w:style>
  <w:style w:type="paragraph" w:styleId="BodyText">
    <w:name w:val="Body Text"/>
    <w:basedOn w:val="Normal"/>
    <w:link w:val="BodyTextChar"/>
    <w:uiPriority w:val="99"/>
    <w:semiHidden/>
    <w:unhideWhenUsed/>
    <w:rsid w:val="004D1BBB"/>
    <w:pPr>
      <w:spacing w:after="120"/>
    </w:pPr>
  </w:style>
  <w:style w:type="character" w:customStyle="1" w:styleId="BodyTextChar">
    <w:name w:val="Body Text Char"/>
    <w:basedOn w:val="DefaultParagraphFont"/>
    <w:link w:val="BodyText"/>
    <w:uiPriority w:val="99"/>
    <w:semiHidden/>
    <w:rsid w:val="004D1BBB"/>
    <w:rPr>
      <w:sz w:val="20"/>
      <w:szCs w:val="20"/>
    </w:rPr>
  </w:style>
  <w:style w:type="paragraph" w:styleId="BodyText2">
    <w:name w:val="Body Text 2"/>
    <w:basedOn w:val="Normal"/>
    <w:link w:val="BodyText2Char"/>
    <w:uiPriority w:val="99"/>
    <w:semiHidden/>
    <w:unhideWhenUsed/>
    <w:rsid w:val="004D1BBB"/>
    <w:pPr>
      <w:spacing w:after="120" w:line="480" w:lineRule="auto"/>
    </w:pPr>
  </w:style>
  <w:style w:type="character" w:customStyle="1" w:styleId="BodyText2Char">
    <w:name w:val="Body Text 2 Char"/>
    <w:basedOn w:val="DefaultParagraphFont"/>
    <w:link w:val="BodyText2"/>
    <w:uiPriority w:val="99"/>
    <w:semiHidden/>
    <w:rsid w:val="004D1BBB"/>
    <w:rPr>
      <w:sz w:val="20"/>
      <w:szCs w:val="20"/>
    </w:rPr>
  </w:style>
  <w:style w:type="paragraph" w:styleId="BodyText3">
    <w:name w:val="Body Text 3"/>
    <w:basedOn w:val="Normal"/>
    <w:link w:val="BodyText3Char"/>
    <w:uiPriority w:val="99"/>
    <w:semiHidden/>
    <w:unhideWhenUsed/>
    <w:rsid w:val="004D1BBB"/>
    <w:pPr>
      <w:spacing w:after="120"/>
    </w:pPr>
    <w:rPr>
      <w:sz w:val="16"/>
      <w:szCs w:val="16"/>
    </w:rPr>
  </w:style>
  <w:style w:type="character" w:customStyle="1" w:styleId="BodyText3Char">
    <w:name w:val="Body Text 3 Char"/>
    <w:basedOn w:val="DefaultParagraphFont"/>
    <w:link w:val="BodyText3"/>
    <w:uiPriority w:val="99"/>
    <w:semiHidden/>
    <w:rsid w:val="004D1BBB"/>
    <w:rPr>
      <w:sz w:val="16"/>
      <w:szCs w:val="16"/>
    </w:rPr>
  </w:style>
  <w:style w:type="paragraph" w:styleId="BodyTextFirstIndent">
    <w:name w:val="Body Text First Indent"/>
    <w:basedOn w:val="BodyText"/>
    <w:link w:val="BodyTextFirstIndentChar"/>
    <w:uiPriority w:val="99"/>
    <w:semiHidden/>
    <w:unhideWhenUsed/>
    <w:rsid w:val="004D1BBB"/>
    <w:pPr>
      <w:spacing w:after="200"/>
      <w:ind w:firstLine="360"/>
    </w:pPr>
  </w:style>
  <w:style w:type="character" w:customStyle="1" w:styleId="BodyTextFirstIndentChar">
    <w:name w:val="Body Text First Indent Char"/>
    <w:basedOn w:val="BodyTextChar"/>
    <w:link w:val="BodyTextFirstIndent"/>
    <w:uiPriority w:val="99"/>
    <w:semiHidden/>
    <w:rsid w:val="004D1BBB"/>
    <w:rPr>
      <w:sz w:val="20"/>
      <w:szCs w:val="20"/>
    </w:rPr>
  </w:style>
  <w:style w:type="paragraph" w:styleId="BodyTextIndent">
    <w:name w:val="Body Text Indent"/>
    <w:basedOn w:val="Normal"/>
    <w:link w:val="BodyTextIndentChar"/>
    <w:uiPriority w:val="99"/>
    <w:semiHidden/>
    <w:unhideWhenUsed/>
    <w:rsid w:val="004D1BBB"/>
    <w:pPr>
      <w:spacing w:after="120"/>
      <w:ind w:left="283"/>
    </w:pPr>
  </w:style>
  <w:style w:type="character" w:customStyle="1" w:styleId="BodyTextIndentChar">
    <w:name w:val="Body Text Indent Char"/>
    <w:basedOn w:val="DefaultParagraphFont"/>
    <w:link w:val="BodyTextIndent"/>
    <w:uiPriority w:val="99"/>
    <w:semiHidden/>
    <w:rsid w:val="004D1BBB"/>
    <w:rPr>
      <w:sz w:val="20"/>
      <w:szCs w:val="20"/>
    </w:rPr>
  </w:style>
  <w:style w:type="paragraph" w:styleId="BodyTextFirstIndent2">
    <w:name w:val="Body Text First Indent 2"/>
    <w:basedOn w:val="BodyTextIndent"/>
    <w:link w:val="BodyTextFirstIndent2Char"/>
    <w:uiPriority w:val="99"/>
    <w:semiHidden/>
    <w:unhideWhenUsed/>
    <w:rsid w:val="004D1BB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D1BBB"/>
    <w:rPr>
      <w:sz w:val="20"/>
      <w:szCs w:val="20"/>
    </w:rPr>
  </w:style>
  <w:style w:type="paragraph" w:styleId="BodyTextIndent2">
    <w:name w:val="Body Text Indent 2"/>
    <w:basedOn w:val="Normal"/>
    <w:link w:val="BodyTextIndent2Char"/>
    <w:uiPriority w:val="99"/>
    <w:semiHidden/>
    <w:unhideWhenUsed/>
    <w:rsid w:val="004D1BBB"/>
    <w:pPr>
      <w:spacing w:after="120" w:line="480" w:lineRule="auto"/>
      <w:ind w:left="283"/>
    </w:pPr>
  </w:style>
  <w:style w:type="character" w:customStyle="1" w:styleId="BodyTextIndent2Char">
    <w:name w:val="Body Text Indent 2 Char"/>
    <w:basedOn w:val="DefaultParagraphFont"/>
    <w:link w:val="BodyTextIndent2"/>
    <w:uiPriority w:val="99"/>
    <w:semiHidden/>
    <w:rsid w:val="004D1BBB"/>
    <w:rPr>
      <w:sz w:val="20"/>
      <w:szCs w:val="20"/>
    </w:rPr>
  </w:style>
  <w:style w:type="paragraph" w:styleId="BodyTextIndent3">
    <w:name w:val="Body Text Indent 3"/>
    <w:basedOn w:val="Normal"/>
    <w:link w:val="BodyTextIndent3Char"/>
    <w:uiPriority w:val="99"/>
    <w:semiHidden/>
    <w:unhideWhenUsed/>
    <w:rsid w:val="004D1BB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D1BBB"/>
    <w:rPr>
      <w:sz w:val="16"/>
      <w:szCs w:val="16"/>
    </w:rPr>
  </w:style>
  <w:style w:type="paragraph" w:styleId="Closing">
    <w:name w:val="Closing"/>
    <w:basedOn w:val="Normal"/>
    <w:link w:val="ClosingChar"/>
    <w:uiPriority w:val="99"/>
    <w:semiHidden/>
    <w:unhideWhenUsed/>
    <w:rsid w:val="004D1BBB"/>
    <w:pPr>
      <w:spacing w:before="0" w:after="0" w:line="240" w:lineRule="auto"/>
      <w:ind w:left="4252"/>
    </w:pPr>
  </w:style>
  <w:style w:type="character" w:customStyle="1" w:styleId="ClosingChar">
    <w:name w:val="Closing Char"/>
    <w:basedOn w:val="DefaultParagraphFont"/>
    <w:link w:val="Closing"/>
    <w:uiPriority w:val="99"/>
    <w:semiHidden/>
    <w:rsid w:val="004D1BBB"/>
    <w:rPr>
      <w:sz w:val="20"/>
      <w:szCs w:val="20"/>
    </w:rPr>
  </w:style>
  <w:style w:type="paragraph" w:styleId="DocumentMap">
    <w:name w:val="Document Map"/>
    <w:basedOn w:val="Normal"/>
    <w:link w:val="DocumentMapChar"/>
    <w:uiPriority w:val="99"/>
    <w:semiHidden/>
    <w:unhideWhenUsed/>
    <w:rsid w:val="004D1BBB"/>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D1BBB"/>
    <w:rPr>
      <w:rFonts w:ascii="Segoe UI" w:hAnsi="Segoe UI" w:cs="Segoe UI"/>
      <w:sz w:val="16"/>
      <w:szCs w:val="16"/>
    </w:rPr>
  </w:style>
  <w:style w:type="paragraph" w:styleId="E-mailSignature">
    <w:name w:val="E-mail Signature"/>
    <w:basedOn w:val="Normal"/>
    <w:link w:val="E-mailSignatureChar"/>
    <w:uiPriority w:val="99"/>
    <w:semiHidden/>
    <w:unhideWhenUsed/>
    <w:rsid w:val="004D1BBB"/>
    <w:pPr>
      <w:spacing w:before="0" w:after="0" w:line="240" w:lineRule="auto"/>
    </w:pPr>
  </w:style>
  <w:style w:type="character" w:customStyle="1" w:styleId="E-mailSignatureChar">
    <w:name w:val="E-mail Signature Char"/>
    <w:basedOn w:val="DefaultParagraphFont"/>
    <w:link w:val="E-mailSignature"/>
    <w:uiPriority w:val="99"/>
    <w:semiHidden/>
    <w:rsid w:val="004D1BBB"/>
    <w:rPr>
      <w:sz w:val="20"/>
      <w:szCs w:val="20"/>
    </w:rPr>
  </w:style>
  <w:style w:type="paragraph" w:styleId="EndnoteText">
    <w:name w:val="endnote text"/>
    <w:basedOn w:val="Normal"/>
    <w:link w:val="EndnoteTextChar"/>
    <w:uiPriority w:val="99"/>
    <w:semiHidden/>
    <w:unhideWhenUsed/>
    <w:rsid w:val="004D1BBB"/>
    <w:pPr>
      <w:spacing w:before="0" w:after="0" w:line="240" w:lineRule="auto"/>
    </w:pPr>
  </w:style>
  <w:style w:type="character" w:customStyle="1" w:styleId="EndnoteTextChar">
    <w:name w:val="Endnote Text Char"/>
    <w:basedOn w:val="DefaultParagraphFont"/>
    <w:link w:val="EndnoteText"/>
    <w:uiPriority w:val="99"/>
    <w:semiHidden/>
    <w:rsid w:val="004D1BBB"/>
    <w:rPr>
      <w:sz w:val="20"/>
      <w:szCs w:val="20"/>
    </w:rPr>
  </w:style>
  <w:style w:type="paragraph" w:styleId="EnvelopeAddress">
    <w:name w:val="envelope address"/>
    <w:basedOn w:val="Normal"/>
    <w:uiPriority w:val="99"/>
    <w:semiHidden/>
    <w:unhideWhenUsed/>
    <w:rsid w:val="004D1BB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D1BBB"/>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4D1BBB"/>
    <w:pPr>
      <w:spacing w:before="0" w:after="0" w:line="240" w:lineRule="auto"/>
    </w:pPr>
  </w:style>
  <w:style w:type="character" w:customStyle="1" w:styleId="FootnoteTextChar">
    <w:name w:val="Footnote Text Char"/>
    <w:basedOn w:val="DefaultParagraphFont"/>
    <w:link w:val="FootnoteText"/>
    <w:uiPriority w:val="99"/>
    <w:semiHidden/>
    <w:rsid w:val="004D1BBB"/>
    <w:rPr>
      <w:sz w:val="20"/>
      <w:szCs w:val="20"/>
    </w:rPr>
  </w:style>
  <w:style w:type="character" w:customStyle="1" w:styleId="Heading5Char">
    <w:name w:val="Heading 5 Char"/>
    <w:basedOn w:val="DefaultParagraphFont"/>
    <w:link w:val="Heading5"/>
    <w:uiPriority w:val="9"/>
    <w:semiHidden/>
    <w:rsid w:val="004D1BBB"/>
    <w:rPr>
      <w:rFonts w:asciiTheme="majorHAnsi" w:eastAsiaTheme="majorEastAsia" w:hAnsiTheme="majorHAnsi" w:cstheme="majorBidi"/>
      <w:color w:val="112F26" w:themeColor="accent1" w:themeShade="BF"/>
      <w:sz w:val="20"/>
      <w:szCs w:val="20"/>
    </w:rPr>
  </w:style>
  <w:style w:type="character" w:customStyle="1" w:styleId="Heading6Char">
    <w:name w:val="Heading 6 Char"/>
    <w:basedOn w:val="DefaultParagraphFont"/>
    <w:link w:val="Heading6"/>
    <w:uiPriority w:val="9"/>
    <w:semiHidden/>
    <w:rsid w:val="004D1BBB"/>
    <w:rPr>
      <w:rFonts w:asciiTheme="majorHAnsi" w:eastAsiaTheme="majorEastAsia" w:hAnsiTheme="majorHAnsi" w:cstheme="majorBidi"/>
      <w:color w:val="0B1F19" w:themeColor="accent1" w:themeShade="7F"/>
      <w:sz w:val="20"/>
      <w:szCs w:val="20"/>
    </w:rPr>
  </w:style>
  <w:style w:type="character" w:customStyle="1" w:styleId="Heading7Char">
    <w:name w:val="Heading 7 Char"/>
    <w:basedOn w:val="DefaultParagraphFont"/>
    <w:link w:val="Heading7"/>
    <w:uiPriority w:val="9"/>
    <w:semiHidden/>
    <w:rsid w:val="004D1BBB"/>
    <w:rPr>
      <w:rFonts w:asciiTheme="majorHAnsi" w:eastAsiaTheme="majorEastAsia" w:hAnsiTheme="majorHAnsi" w:cstheme="majorBidi"/>
      <w:i/>
      <w:iCs/>
      <w:color w:val="0B1F19" w:themeColor="accent1" w:themeShade="7F"/>
      <w:sz w:val="20"/>
      <w:szCs w:val="20"/>
    </w:rPr>
  </w:style>
  <w:style w:type="character" w:customStyle="1" w:styleId="Heading8Char">
    <w:name w:val="Heading 8 Char"/>
    <w:basedOn w:val="DefaultParagraphFont"/>
    <w:link w:val="Heading8"/>
    <w:uiPriority w:val="9"/>
    <w:semiHidden/>
    <w:rsid w:val="004D1B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1BB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D1BBB"/>
    <w:pPr>
      <w:spacing w:before="0" w:after="0" w:line="240" w:lineRule="auto"/>
    </w:pPr>
    <w:rPr>
      <w:i/>
      <w:iCs/>
    </w:rPr>
  </w:style>
  <w:style w:type="character" w:customStyle="1" w:styleId="HTMLAddressChar">
    <w:name w:val="HTML Address Char"/>
    <w:basedOn w:val="DefaultParagraphFont"/>
    <w:link w:val="HTMLAddress"/>
    <w:uiPriority w:val="99"/>
    <w:semiHidden/>
    <w:rsid w:val="004D1BBB"/>
    <w:rPr>
      <w:i/>
      <w:iCs/>
      <w:sz w:val="20"/>
      <w:szCs w:val="20"/>
    </w:rPr>
  </w:style>
  <w:style w:type="paragraph" w:styleId="HTMLPreformatted">
    <w:name w:val="HTML Preformatted"/>
    <w:basedOn w:val="Normal"/>
    <w:link w:val="HTMLPreformattedChar"/>
    <w:uiPriority w:val="99"/>
    <w:semiHidden/>
    <w:unhideWhenUsed/>
    <w:rsid w:val="004D1BBB"/>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4D1BBB"/>
    <w:rPr>
      <w:rFonts w:ascii="Consolas" w:hAnsi="Consolas"/>
      <w:sz w:val="20"/>
      <w:szCs w:val="20"/>
    </w:rPr>
  </w:style>
  <w:style w:type="paragraph" w:styleId="Index1">
    <w:name w:val="index 1"/>
    <w:basedOn w:val="Normal"/>
    <w:next w:val="Normal"/>
    <w:autoRedefine/>
    <w:uiPriority w:val="99"/>
    <w:semiHidden/>
    <w:unhideWhenUsed/>
    <w:rsid w:val="004D1BBB"/>
    <w:pPr>
      <w:spacing w:before="0" w:after="0" w:line="240" w:lineRule="auto"/>
      <w:ind w:left="200" w:hanging="200"/>
    </w:pPr>
  </w:style>
  <w:style w:type="paragraph" w:styleId="Index2">
    <w:name w:val="index 2"/>
    <w:basedOn w:val="Normal"/>
    <w:next w:val="Normal"/>
    <w:autoRedefine/>
    <w:uiPriority w:val="99"/>
    <w:semiHidden/>
    <w:unhideWhenUsed/>
    <w:rsid w:val="004D1BBB"/>
    <w:pPr>
      <w:spacing w:before="0" w:after="0" w:line="240" w:lineRule="auto"/>
      <w:ind w:left="400" w:hanging="200"/>
    </w:pPr>
  </w:style>
  <w:style w:type="paragraph" w:styleId="Index3">
    <w:name w:val="index 3"/>
    <w:basedOn w:val="Normal"/>
    <w:next w:val="Normal"/>
    <w:autoRedefine/>
    <w:uiPriority w:val="99"/>
    <w:semiHidden/>
    <w:unhideWhenUsed/>
    <w:rsid w:val="004D1BBB"/>
    <w:pPr>
      <w:spacing w:before="0" w:after="0" w:line="240" w:lineRule="auto"/>
      <w:ind w:left="600" w:hanging="200"/>
    </w:pPr>
  </w:style>
  <w:style w:type="paragraph" w:styleId="Index4">
    <w:name w:val="index 4"/>
    <w:basedOn w:val="Normal"/>
    <w:next w:val="Normal"/>
    <w:autoRedefine/>
    <w:uiPriority w:val="99"/>
    <w:semiHidden/>
    <w:unhideWhenUsed/>
    <w:rsid w:val="004D1BBB"/>
    <w:pPr>
      <w:spacing w:before="0" w:after="0" w:line="240" w:lineRule="auto"/>
      <w:ind w:left="800" w:hanging="200"/>
    </w:pPr>
  </w:style>
  <w:style w:type="paragraph" w:styleId="Index5">
    <w:name w:val="index 5"/>
    <w:basedOn w:val="Normal"/>
    <w:next w:val="Normal"/>
    <w:autoRedefine/>
    <w:uiPriority w:val="99"/>
    <w:semiHidden/>
    <w:unhideWhenUsed/>
    <w:rsid w:val="004D1BBB"/>
    <w:pPr>
      <w:spacing w:before="0" w:after="0" w:line="240" w:lineRule="auto"/>
      <w:ind w:left="1000" w:hanging="200"/>
    </w:pPr>
  </w:style>
  <w:style w:type="paragraph" w:styleId="Index6">
    <w:name w:val="index 6"/>
    <w:basedOn w:val="Normal"/>
    <w:next w:val="Normal"/>
    <w:autoRedefine/>
    <w:uiPriority w:val="99"/>
    <w:semiHidden/>
    <w:unhideWhenUsed/>
    <w:rsid w:val="004D1BBB"/>
    <w:pPr>
      <w:spacing w:before="0" w:after="0" w:line="240" w:lineRule="auto"/>
      <w:ind w:left="1200" w:hanging="200"/>
    </w:pPr>
  </w:style>
  <w:style w:type="paragraph" w:styleId="Index7">
    <w:name w:val="index 7"/>
    <w:basedOn w:val="Normal"/>
    <w:next w:val="Normal"/>
    <w:autoRedefine/>
    <w:uiPriority w:val="99"/>
    <w:semiHidden/>
    <w:unhideWhenUsed/>
    <w:rsid w:val="004D1BBB"/>
    <w:pPr>
      <w:spacing w:before="0" w:after="0" w:line="240" w:lineRule="auto"/>
      <w:ind w:left="1400" w:hanging="200"/>
    </w:pPr>
  </w:style>
  <w:style w:type="paragraph" w:styleId="Index8">
    <w:name w:val="index 8"/>
    <w:basedOn w:val="Normal"/>
    <w:next w:val="Normal"/>
    <w:autoRedefine/>
    <w:uiPriority w:val="99"/>
    <w:semiHidden/>
    <w:unhideWhenUsed/>
    <w:rsid w:val="004D1BBB"/>
    <w:pPr>
      <w:spacing w:before="0" w:after="0" w:line="240" w:lineRule="auto"/>
      <w:ind w:left="1600" w:hanging="200"/>
    </w:pPr>
  </w:style>
  <w:style w:type="paragraph" w:styleId="Index9">
    <w:name w:val="index 9"/>
    <w:basedOn w:val="Normal"/>
    <w:next w:val="Normal"/>
    <w:autoRedefine/>
    <w:uiPriority w:val="99"/>
    <w:semiHidden/>
    <w:unhideWhenUsed/>
    <w:rsid w:val="004D1BBB"/>
    <w:pPr>
      <w:spacing w:before="0" w:after="0" w:line="240" w:lineRule="auto"/>
      <w:ind w:left="1800" w:hanging="200"/>
    </w:pPr>
  </w:style>
  <w:style w:type="paragraph" w:styleId="IndexHeading">
    <w:name w:val="index heading"/>
    <w:basedOn w:val="Normal"/>
    <w:next w:val="Index1"/>
    <w:uiPriority w:val="99"/>
    <w:semiHidden/>
    <w:unhideWhenUsed/>
    <w:rsid w:val="004D1BB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4D1BBB"/>
    <w:pPr>
      <w:pBdr>
        <w:top w:val="single" w:sz="4" w:space="10" w:color="173F34" w:themeColor="accent1"/>
        <w:bottom w:val="single" w:sz="4" w:space="10" w:color="173F34" w:themeColor="accent1"/>
      </w:pBdr>
      <w:spacing w:before="360" w:after="360"/>
      <w:ind w:left="864" w:right="864"/>
      <w:jc w:val="center"/>
    </w:pPr>
    <w:rPr>
      <w:i/>
      <w:iCs/>
      <w:color w:val="173F34" w:themeColor="accent1"/>
    </w:rPr>
  </w:style>
  <w:style w:type="character" w:customStyle="1" w:styleId="IntenseQuoteChar">
    <w:name w:val="Intense Quote Char"/>
    <w:basedOn w:val="DefaultParagraphFont"/>
    <w:link w:val="IntenseQuote"/>
    <w:uiPriority w:val="30"/>
    <w:rsid w:val="004D1BBB"/>
    <w:rPr>
      <w:i/>
      <w:iCs/>
      <w:color w:val="173F34" w:themeColor="accent1"/>
      <w:sz w:val="20"/>
      <w:szCs w:val="20"/>
    </w:rPr>
  </w:style>
  <w:style w:type="paragraph" w:styleId="List">
    <w:name w:val="List"/>
    <w:basedOn w:val="Normal"/>
    <w:uiPriority w:val="99"/>
    <w:semiHidden/>
    <w:unhideWhenUsed/>
    <w:rsid w:val="004D1BBB"/>
    <w:pPr>
      <w:ind w:left="283" w:hanging="283"/>
      <w:contextualSpacing/>
    </w:pPr>
  </w:style>
  <w:style w:type="paragraph" w:styleId="List2">
    <w:name w:val="List 2"/>
    <w:basedOn w:val="Normal"/>
    <w:uiPriority w:val="99"/>
    <w:semiHidden/>
    <w:unhideWhenUsed/>
    <w:rsid w:val="004D1BBB"/>
    <w:pPr>
      <w:ind w:left="566" w:hanging="283"/>
      <w:contextualSpacing/>
    </w:pPr>
  </w:style>
  <w:style w:type="paragraph" w:styleId="List3">
    <w:name w:val="List 3"/>
    <w:basedOn w:val="Normal"/>
    <w:uiPriority w:val="99"/>
    <w:semiHidden/>
    <w:unhideWhenUsed/>
    <w:rsid w:val="004D1BBB"/>
    <w:pPr>
      <w:ind w:left="849" w:hanging="283"/>
      <w:contextualSpacing/>
    </w:pPr>
  </w:style>
  <w:style w:type="paragraph" w:styleId="List4">
    <w:name w:val="List 4"/>
    <w:basedOn w:val="Normal"/>
    <w:uiPriority w:val="99"/>
    <w:semiHidden/>
    <w:unhideWhenUsed/>
    <w:rsid w:val="004D1BBB"/>
    <w:pPr>
      <w:ind w:left="1132" w:hanging="283"/>
      <w:contextualSpacing/>
    </w:pPr>
  </w:style>
  <w:style w:type="paragraph" w:styleId="List5">
    <w:name w:val="List 5"/>
    <w:basedOn w:val="Normal"/>
    <w:uiPriority w:val="99"/>
    <w:semiHidden/>
    <w:unhideWhenUsed/>
    <w:rsid w:val="004D1BBB"/>
    <w:pPr>
      <w:ind w:left="1415" w:hanging="283"/>
      <w:contextualSpacing/>
    </w:pPr>
  </w:style>
  <w:style w:type="paragraph" w:styleId="ListBullet4">
    <w:name w:val="List Bullet 4"/>
    <w:basedOn w:val="Normal"/>
    <w:uiPriority w:val="99"/>
    <w:semiHidden/>
    <w:unhideWhenUsed/>
    <w:rsid w:val="004D1BBB"/>
    <w:pPr>
      <w:numPr>
        <w:numId w:val="13"/>
      </w:numPr>
      <w:contextualSpacing/>
    </w:pPr>
  </w:style>
  <w:style w:type="paragraph" w:styleId="ListBullet5">
    <w:name w:val="List Bullet 5"/>
    <w:basedOn w:val="Normal"/>
    <w:uiPriority w:val="99"/>
    <w:semiHidden/>
    <w:unhideWhenUsed/>
    <w:rsid w:val="004D1BBB"/>
    <w:pPr>
      <w:numPr>
        <w:numId w:val="12"/>
      </w:numPr>
      <w:contextualSpacing/>
    </w:pPr>
  </w:style>
  <w:style w:type="paragraph" w:styleId="ListContinue">
    <w:name w:val="List Continue"/>
    <w:basedOn w:val="Normal"/>
    <w:uiPriority w:val="99"/>
    <w:semiHidden/>
    <w:unhideWhenUsed/>
    <w:rsid w:val="004D1BBB"/>
    <w:pPr>
      <w:spacing w:after="120"/>
      <w:ind w:left="283"/>
      <w:contextualSpacing/>
    </w:pPr>
  </w:style>
  <w:style w:type="paragraph" w:styleId="ListContinue2">
    <w:name w:val="List Continue 2"/>
    <w:basedOn w:val="Normal"/>
    <w:uiPriority w:val="99"/>
    <w:semiHidden/>
    <w:unhideWhenUsed/>
    <w:rsid w:val="004D1BBB"/>
    <w:pPr>
      <w:spacing w:after="120"/>
      <w:ind w:left="566"/>
      <w:contextualSpacing/>
    </w:pPr>
  </w:style>
  <w:style w:type="paragraph" w:styleId="ListContinue3">
    <w:name w:val="List Continue 3"/>
    <w:basedOn w:val="Normal"/>
    <w:uiPriority w:val="99"/>
    <w:semiHidden/>
    <w:unhideWhenUsed/>
    <w:rsid w:val="004D1BBB"/>
    <w:pPr>
      <w:spacing w:after="120"/>
      <w:ind w:left="849"/>
      <w:contextualSpacing/>
    </w:pPr>
  </w:style>
  <w:style w:type="paragraph" w:styleId="ListContinue4">
    <w:name w:val="List Continue 4"/>
    <w:basedOn w:val="Normal"/>
    <w:uiPriority w:val="99"/>
    <w:semiHidden/>
    <w:unhideWhenUsed/>
    <w:rsid w:val="004D1BBB"/>
    <w:pPr>
      <w:spacing w:after="120"/>
      <w:ind w:left="1132"/>
      <w:contextualSpacing/>
    </w:pPr>
  </w:style>
  <w:style w:type="paragraph" w:styleId="ListContinue5">
    <w:name w:val="List Continue 5"/>
    <w:basedOn w:val="Normal"/>
    <w:uiPriority w:val="99"/>
    <w:semiHidden/>
    <w:unhideWhenUsed/>
    <w:rsid w:val="004D1BBB"/>
    <w:pPr>
      <w:spacing w:after="120"/>
      <w:ind w:left="1415"/>
      <w:contextualSpacing/>
    </w:pPr>
  </w:style>
  <w:style w:type="paragraph" w:styleId="ListNumber">
    <w:name w:val="List Number"/>
    <w:basedOn w:val="Normal"/>
    <w:uiPriority w:val="99"/>
    <w:semiHidden/>
    <w:unhideWhenUsed/>
    <w:rsid w:val="004D1BBB"/>
    <w:pPr>
      <w:numPr>
        <w:numId w:val="26"/>
      </w:numPr>
      <w:ind w:left="0" w:firstLine="0"/>
      <w:contextualSpacing/>
    </w:pPr>
  </w:style>
  <w:style w:type="paragraph" w:styleId="ListNumber2">
    <w:name w:val="List Number 2"/>
    <w:basedOn w:val="Normal"/>
    <w:uiPriority w:val="99"/>
    <w:semiHidden/>
    <w:unhideWhenUsed/>
    <w:rsid w:val="004D1BBB"/>
    <w:pPr>
      <w:numPr>
        <w:numId w:val="27"/>
      </w:numPr>
      <w:tabs>
        <w:tab w:val="clear" w:pos="643"/>
        <w:tab w:val="num" w:pos="360"/>
      </w:tabs>
      <w:ind w:left="0" w:firstLine="0"/>
      <w:contextualSpacing/>
    </w:pPr>
  </w:style>
  <w:style w:type="paragraph" w:styleId="ListNumber3">
    <w:name w:val="List Number 3"/>
    <w:basedOn w:val="Normal"/>
    <w:uiPriority w:val="99"/>
    <w:semiHidden/>
    <w:unhideWhenUsed/>
    <w:rsid w:val="004D1BBB"/>
    <w:pPr>
      <w:numPr>
        <w:numId w:val="28"/>
      </w:numPr>
      <w:tabs>
        <w:tab w:val="clear" w:pos="926"/>
        <w:tab w:val="num" w:pos="360"/>
      </w:tabs>
      <w:ind w:left="0" w:firstLine="0"/>
      <w:contextualSpacing/>
    </w:pPr>
  </w:style>
  <w:style w:type="paragraph" w:styleId="ListNumber4">
    <w:name w:val="List Number 4"/>
    <w:basedOn w:val="Normal"/>
    <w:uiPriority w:val="99"/>
    <w:semiHidden/>
    <w:unhideWhenUsed/>
    <w:rsid w:val="004D1BBB"/>
    <w:pPr>
      <w:numPr>
        <w:numId w:val="29"/>
      </w:numPr>
      <w:tabs>
        <w:tab w:val="clear" w:pos="1209"/>
        <w:tab w:val="num" w:pos="360"/>
      </w:tabs>
      <w:ind w:left="0" w:firstLine="0"/>
      <w:contextualSpacing/>
    </w:pPr>
  </w:style>
  <w:style w:type="paragraph" w:styleId="ListNumber5">
    <w:name w:val="List Number 5"/>
    <w:basedOn w:val="Normal"/>
    <w:uiPriority w:val="99"/>
    <w:semiHidden/>
    <w:unhideWhenUsed/>
    <w:rsid w:val="004D1BBB"/>
    <w:pPr>
      <w:numPr>
        <w:numId w:val="30"/>
      </w:numPr>
      <w:tabs>
        <w:tab w:val="clear" w:pos="1492"/>
        <w:tab w:val="num" w:pos="360"/>
      </w:tabs>
      <w:ind w:left="0" w:firstLine="0"/>
      <w:contextualSpacing/>
    </w:pPr>
  </w:style>
  <w:style w:type="paragraph" w:styleId="MacroText">
    <w:name w:val="macro"/>
    <w:link w:val="MacroTextChar"/>
    <w:uiPriority w:val="99"/>
    <w:semiHidden/>
    <w:unhideWhenUsed/>
    <w:rsid w:val="004D1BBB"/>
    <w:pPr>
      <w:tabs>
        <w:tab w:val="left" w:pos="480"/>
        <w:tab w:val="left" w:pos="960"/>
        <w:tab w:val="left" w:pos="1440"/>
        <w:tab w:val="left" w:pos="1920"/>
        <w:tab w:val="left" w:pos="2400"/>
        <w:tab w:val="left" w:pos="2880"/>
        <w:tab w:val="left" w:pos="3360"/>
        <w:tab w:val="left" w:pos="3840"/>
        <w:tab w:val="left" w:pos="4320"/>
      </w:tabs>
      <w:spacing w:before="200" w:after="0" w:line="30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4D1BBB"/>
    <w:rPr>
      <w:rFonts w:ascii="Consolas" w:hAnsi="Consolas"/>
      <w:sz w:val="20"/>
      <w:szCs w:val="20"/>
    </w:rPr>
  </w:style>
  <w:style w:type="paragraph" w:styleId="MessageHeader">
    <w:name w:val="Message Header"/>
    <w:basedOn w:val="Normal"/>
    <w:link w:val="MessageHeaderChar"/>
    <w:uiPriority w:val="99"/>
    <w:semiHidden/>
    <w:unhideWhenUsed/>
    <w:rsid w:val="004D1BB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D1BB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4D1BBB"/>
    <w:rPr>
      <w:rFonts w:ascii="Times New Roman" w:hAnsi="Times New Roman" w:cs="Times New Roman"/>
      <w:sz w:val="24"/>
      <w:szCs w:val="24"/>
    </w:rPr>
  </w:style>
  <w:style w:type="paragraph" w:styleId="NormalIndent">
    <w:name w:val="Normal Indent"/>
    <w:basedOn w:val="Normal"/>
    <w:uiPriority w:val="99"/>
    <w:semiHidden/>
    <w:unhideWhenUsed/>
    <w:rsid w:val="004D1BBB"/>
    <w:pPr>
      <w:ind w:left="720"/>
    </w:pPr>
  </w:style>
  <w:style w:type="paragraph" w:styleId="NoteHeading">
    <w:name w:val="Note Heading"/>
    <w:basedOn w:val="Normal"/>
    <w:next w:val="Normal"/>
    <w:link w:val="NoteHeadingChar"/>
    <w:uiPriority w:val="99"/>
    <w:semiHidden/>
    <w:unhideWhenUsed/>
    <w:rsid w:val="004D1BBB"/>
    <w:pPr>
      <w:spacing w:before="0" w:after="0" w:line="240" w:lineRule="auto"/>
    </w:pPr>
  </w:style>
  <w:style w:type="character" w:customStyle="1" w:styleId="NoteHeadingChar">
    <w:name w:val="Note Heading Char"/>
    <w:basedOn w:val="DefaultParagraphFont"/>
    <w:link w:val="NoteHeading"/>
    <w:uiPriority w:val="99"/>
    <w:semiHidden/>
    <w:rsid w:val="004D1BBB"/>
    <w:rPr>
      <w:sz w:val="20"/>
      <w:szCs w:val="20"/>
    </w:rPr>
  </w:style>
  <w:style w:type="paragraph" w:styleId="PlainText">
    <w:name w:val="Plain Text"/>
    <w:basedOn w:val="Normal"/>
    <w:link w:val="PlainTextChar"/>
    <w:uiPriority w:val="99"/>
    <w:semiHidden/>
    <w:unhideWhenUsed/>
    <w:rsid w:val="004D1BBB"/>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D1BBB"/>
    <w:rPr>
      <w:rFonts w:ascii="Consolas" w:hAnsi="Consolas"/>
      <w:sz w:val="21"/>
      <w:szCs w:val="21"/>
    </w:rPr>
  </w:style>
  <w:style w:type="paragraph" w:styleId="Salutation">
    <w:name w:val="Salutation"/>
    <w:basedOn w:val="Normal"/>
    <w:next w:val="Normal"/>
    <w:link w:val="SalutationChar"/>
    <w:uiPriority w:val="99"/>
    <w:semiHidden/>
    <w:unhideWhenUsed/>
    <w:rsid w:val="004D1BBB"/>
  </w:style>
  <w:style w:type="character" w:customStyle="1" w:styleId="SalutationChar">
    <w:name w:val="Salutation Char"/>
    <w:basedOn w:val="DefaultParagraphFont"/>
    <w:link w:val="Salutation"/>
    <w:uiPriority w:val="99"/>
    <w:semiHidden/>
    <w:rsid w:val="004D1BBB"/>
    <w:rPr>
      <w:sz w:val="20"/>
      <w:szCs w:val="20"/>
    </w:rPr>
  </w:style>
  <w:style w:type="paragraph" w:styleId="Signature">
    <w:name w:val="Signature"/>
    <w:basedOn w:val="Normal"/>
    <w:link w:val="SignatureChar"/>
    <w:uiPriority w:val="99"/>
    <w:semiHidden/>
    <w:unhideWhenUsed/>
    <w:rsid w:val="004D1BBB"/>
    <w:pPr>
      <w:spacing w:before="0" w:after="0" w:line="240" w:lineRule="auto"/>
      <w:ind w:left="4252"/>
    </w:pPr>
  </w:style>
  <w:style w:type="character" w:customStyle="1" w:styleId="SignatureChar">
    <w:name w:val="Signature Char"/>
    <w:basedOn w:val="DefaultParagraphFont"/>
    <w:link w:val="Signature"/>
    <w:uiPriority w:val="99"/>
    <w:semiHidden/>
    <w:rsid w:val="004D1BBB"/>
    <w:rPr>
      <w:sz w:val="20"/>
      <w:szCs w:val="20"/>
    </w:rPr>
  </w:style>
  <w:style w:type="paragraph" w:styleId="TableofAuthorities">
    <w:name w:val="table of authorities"/>
    <w:basedOn w:val="Normal"/>
    <w:next w:val="Normal"/>
    <w:uiPriority w:val="99"/>
    <w:semiHidden/>
    <w:unhideWhenUsed/>
    <w:rsid w:val="004D1BBB"/>
    <w:pPr>
      <w:spacing w:after="0"/>
      <w:ind w:left="200" w:hanging="200"/>
    </w:pPr>
  </w:style>
  <w:style w:type="paragraph" w:styleId="TOAHeading">
    <w:name w:val="toa heading"/>
    <w:basedOn w:val="Normal"/>
    <w:next w:val="Normal"/>
    <w:uiPriority w:val="99"/>
    <w:semiHidden/>
    <w:unhideWhenUsed/>
    <w:rsid w:val="004D1BB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4D1BBB"/>
    <w:pPr>
      <w:spacing w:after="100"/>
      <w:ind w:left="600"/>
    </w:pPr>
  </w:style>
  <w:style w:type="paragraph" w:styleId="TOC5">
    <w:name w:val="toc 5"/>
    <w:basedOn w:val="Normal"/>
    <w:next w:val="Normal"/>
    <w:autoRedefine/>
    <w:uiPriority w:val="39"/>
    <w:semiHidden/>
    <w:unhideWhenUsed/>
    <w:rsid w:val="004D1BBB"/>
    <w:pPr>
      <w:spacing w:after="100"/>
      <w:ind w:left="800"/>
    </w:pPr>
  </w:style>
  <w:style w:type="paragraph" w:styleId="TOC6">
    <w:name w:val="toc 6"/>
    <w:basedOn w:val="Normal"/>
    <w:next w:val="Normal"/>
    <w:autoRedefine/>
    <w:uiPriority w:val="39"/>
    <w:semiHidden/>
    <w:unhideWhenUsed/>
    <w:rsid w:val="004D1BBB"/>
    <w:pPr>
      <w:spacing w:after="100"/>
      <w:ind w:left="1000"/>
    </w:pPr>
  </w:style>
  <w:style w:type="paragraph" w:styleId="TOC7">
    <w:name w:val="toc 7"/>
    <w:basedOn w:val="Normal"/>
    <w:next w:val="Normal"/>
    <w:autoRedefine/>
    <w:uiPriority w:val="39"/>
    <w:semiHidden/>
    <w:unhideWhenUsed/>
    <w:rsid w:val="004D1BBB"/>
    <w:pPr>
      <w:spacing w:after="100"/>
      <w:ind w:left="1200"/>
    </w:pPr>
  </w:style>
  <w:style w:type="paragraph" w:styleId="TOC8">
    <w:name w:val="toc 8"/>
    <w:basedOn w:val="Normal"/>
    <w:next w:val="Normal"/>
    <w:autoRedefine/>
    <w:uiPriority w:val="39"/>
    <w:semiHidden/>
    <w:unhideWhenUsed/>
    <w:rsid w:val="004D1BBB"/>
    <w:pPr>
      <w:spacing w:after="100"/>
      <w:ind w:left="1400"/>
    </w:pPr>
  </w:style>
  <w:style w:type="paragraph" w:styleId="TOC9">
    <w:name w:val="toc 9"/>
    <w:basedOn w:val="Normal"/>
    <w:next w:val="Normal"/>
    <w:autoRedefine/>
    <w:uiPriority w:val="39"/>
    <w:semiHidden/>
    <w:unhideWhenUsed/>
    <w:rsid w:val="004D1BBB"/>
    <w:pPr>
      <w:spacing w:after="100"/>
      <w:ind w:left="1600"/>
    </w:pPr>
  </w:style>
  <w:style w:type="character" w:styleId="FootnoteReference">
    <w:name w:val="footnote reference"/>
    <w:basedOn w:val="DefaultParagraphFont"/>
    <w:uiPriority w:val="99"/>
    <w:semiHidden/>
    <w:unhideWhenUsed/>
    <w:rsid w:val="00F357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0677">
      <w:bodyDiv w:val="1"/>
      <w:marLeft w:val="0"/>
      <w:marRight w:val="0"/>
      <w:marTop w:val="0"/>
      <w:marBottom w:val="0"/>
      <w:divBdr>
        <w:top w:val="none" w:sz="0" w:space="0" w:color="auto"/>
        <w:left w:val="none" w:sz="0" w:space="0" w:color="auto"/>
        <w:bottom w:val="none" w:sz="0" w:space="0" w:color="auto"/>
        <w:right w:val="none" w:sz="0" w:space="0" w:color="auto"/>
      </w:divBdr>
    </w:div>
    <w:div w:id="43599789">
      <w:bodyDiv w:val="1"/>
      <w:marLeft w:val="0"/>
      <w:marRight w:val="0"/>
      <w:marTop w:val="0"/>
      <w:marBottom w:val="0"/>
      <w:divBdr>
        <w:top w:val="none" w:sz="0" w:space="0" w:color="auto"/>
        <w:left w:val="none" w:sz="0" w:space="0" w:color="auto"/>
        <w:bottom w:val="none" w:sz="0" w:space="0" w:color="auto"/>
        <w:right w:val="none" w:sz="0" w:space="0" w:color="auto"/>
      </w:divBdr>
    </w:div>
    <w:div w:id="51198378">
      <w:bodyDiv w:val="1"/>
      <w:marLeft w:val="0"/>
      <w:marRight w:val="0"/>
      <w:marTop w:val="0"/>
      <w:marBottom w:val="0"/>
      <w:divBdr>
        <w:top w:val="none" w:sz="0" w:space="0" w:color="auto"/>
        <w:left w:val="none" w:sz="0" w:space="0" w:color="auto"/>
        <w:bottom w:val="none" w:sz="0" w:space="0" w:color="auto"/>
        <w:right w:val="none" w:sz="0" w:space="0" w:color="auto"/>
      </w:divBdr>
    </w:div>
    <w:div w:id="159397217">
      <w:bodyDiv w:val="1"/>
      <w:marLeft w:val="0"/>
      <w:marRight w:val="0"/>
      <w:marTop w:val="0"/>
      <w:marBottom w:val="0"/>
      <w:divBdr>
        <w:top w:val="none" w:sz="0" w:space="0" w:color="auto"/>
        <w:left w:val="none" w:sz="0" w:space="0" w:color="auto"/>
        <w:bottom w:val="none" w:sz="0" w:space="0" w:color="auto"/>
        <w:right w:val="none" w:sz="0" w:space="0" w:color="auto"/>
      </w:divBdr>
    </w:div>
    <w:div w:id="256523321">
      <w:bodyDiv w:val="1"/>
      <w:marLeft w:val="0"/>
      <w:marRight w:val="0"/>
      <w:marTop w:val="0"/>
      <w:marBottom w:val="0"/>
      <w:divBdr>
        <w:top w:val="none" w:sz="0" w:space="0" w:color="auto"/>
        <w:left w:val="none" w:sz="0" w:space="0" w:color="auto"/>
        <w:bottom w:val="none" w:sz="0" w:space="0" w:color="auto"/>
        <w:right w:val="none" w:sz="0" w:space="0" w:color="auto"/>
      </w:divBdr>
    </w:div>
    <w:div w:id="276761597">
      <w:bodyDiv w:val="1"/>
      <w:marLeft w:val="0"/>
      <w:marRight w:val="0"/>
      <w:marTop w:val="0"/>
      <w:marBottom w:val="0"/>
      <w:divBdr>
        <w:top w:val="none" w:sz="0" w:space="0" w:color="auto"/>
        <w:left w:val="none" w:sz="0" w:space="0" w:color="auto"/>
        <w:bottom w:val="none" w:sz="0" w:space="0" w:color="auto"/>
        <w:right w:val="none" w:sz="0" w:space="0" w:color="auto"/>
      </w:divBdr>
    </w:div>
    <w:div w:id="441531054">
      <w:bodyDiv w:val="1"/>
      <w:marLeft w:val="0"/>
      <w:marRight w:val="0"/>
      <w:marTop w:val="0"/>
      <w:marBottom w:val="0"/>
      <w:divBdr>
        <w:top w:val="none" w:sz="0" w:space="0" w:color="auto"/>
        <w:left w:val="none" w:sz="0" w:space="0" w:color="auto"/>
        <w:bottom w:val="none" w:sz="0" w:space="0" w:color="auto"/>
        <w:right w:val="none" w:sz="0" w:space="0" w:color="auto"/>
      </w:divBdr>
    </w:div>
    <w:div w:id="456222538">
      <w:bodyDiv w:val="1"/>
      <w:marLeft w:val="0"/>
      <w:marRight w:val="0"/>
      <w:marTop w:val="0"/>
      <w:marBottom w:val="0"/>
      <w:divBdr>
        <w:top w:val="none" w:sz="0" w:space="0" w:color="auto"/>
        <w:left w:val="none" w:sz="0" w:space="0" w:color="auto"/>
        <w:bottom w:val="none" w:sz="0" w:space="0" w:color="auto"/>
        <w:right w:val="none" w:sz="0" w:space="0" w:color="auto"/>
      </w:divBdr>
    </w:div>
    <w:div w:id="520552959">
      <w:bodyDiv w:val="1"/>
      <w:marLeft w:val="0"/>
      <w:marRight w:val="0"/>
      <w:marTop w:val="0"/>
      <w:marBottom w:val="0"/>
      <w:divBdr>
        <w:top w:val="none" w:sz="0" w:space="0" w:color="auto"/>
        <w:left w:val="none" w:sz="0" w:space="0" w:color="auto"/>
        <w:bottom w:val="none" w:sz="0" w:space="0" w:color="auto"/>
        <w:right w:val="none" w:sz="0" w:space="0" w:color="auto"/>
      </w:divBdr>
    </w:div>
    <w:div w:id="751777529">
      <w:bodyDiv w:val="1"/>
      <w:marLeft w:val="0"/>
      <w:marRight w:val="0"/>
      <w:marTop w:val="0"/>
      <w:marBottom w:val="0"/>
      <w:divBdr>
        <w:top w:val="none" w:sz="0" w:space="0" w:color="auto"/>
        <w:left w:val="none" w:sz="0" w:space="0" w:color="auto"/>
        <w:bottom w:val="none" w:sz="0" w:space="0" w:color="auto"/>
        <w:right w:val="none" w:sz="0" w:space="0" w:color="auto"/>
      </w:divBdr>
    </w:div>
    <w:div w:id="863713297">
      <w:bodyDiv w:val="1"/>
      <w:marLeft w:val="0"/>
      <w:marRight w:val="0"/>
      <w:marTop w:val="0"/>
      <w:marBottom w:val="0"/>
      <w:divBdr>
        <w:top w:val="none" w:sz="0" w:space="0" w:color="auto"/>
        <w:left w:val="none" w:sz="0" w:space="0" w:color="auto"/>
        <w:bottom w:val="none" w:sz="0" w:space="0" w:color="auto"/>
        <w:right w:val="none" w:sz="0" w:space="0" w:color="auto"/>
      </w:divBdr>
    </w:div>
    <w:div w:id="877081653">
      <w:bodyDiv w:val="1"/>
      <w:marLeft w:val="0"/>
      <w:marRight w:val="0"/>
      <w:marTop w:val="0"/>
      <w:marBottom w:val="0"/>
      <w:divBdr>
        <w:top w:val="none" w:sz="0" w:space="0" w:color="auto"/>
        <w:left w:val="none" w:sz="0" w:space="0" w:color="auto"/>
        <w:bottom w:val="none" w:sz="0" w:space="0" w:color="auto"/>
        <w:right w:val="none" w:sz="0" w:space="0" w:color="auto"/>
      </w:divBdr>
    </w:div>
    <w:div w:id="1044983184">
      <w:bodyDiv w:val="1"/>
      <w:marLeft w:val="0"/>
      <w:marRight w:val="0"/>
      <w:marTop w:val="0"/>
      <w:marBottom w:val="0"/>
      <w:divBdr>
        <w:top w:val="none" w:sz="0" w:space="0" w:color="auto"/>
        <w:left w:val="none" w:sz="0" w:space="0" w:color="auto"/>
        <w:bottom w:val="none" w:sz="0" w:space="0" w:color="auto"/>
        <w:right w:val="none" w:sz="0" w:space="0" w:color="auto"/>
      </w:divBdr>
    </w:div>
    <w:div w:id="1111045357">
      <w:bodyDiv w:val="1"/>
      <w:marLeft w:val="0"/>
      <w:marRight w:val="0"/>
      <w:marTop w:val="0"/>
      <w:marBottom w:val="0"/>
      <w:divBdr>
        <w:top w:val="none" w:sz="0" w:space="0" w:color="auto"/>
        <w:left w:val="none" w:sz="0" w:space="0" w:color="auto"/>
        <w:bottom w:val="none" w:sz="0" w:space="0" w:color="auto"/>
        <w:right w:val="none" w:sz="0" w:space="0" w:color="auto"/>
      </w:divBdr>
    </w:div>
    <w:div w:id="1185099634">
      <w:bodyDiv w:val="1"/>
      <w:marLeft w:val="0"/>
      <w:marRight w:val="0"/>
      <w:marTop w:val="0"/>
      <w:marBottom w:val="0"/>
      <w:divBdr>
        <w:top w:val="none" w:sz="0" w:space="0" w:color="auto"/>
        <w:left w:val="none" w:sz="0" w:space="0" w:color="auto"/>
        <w:bottom w:val="none" w:sz="0" w:space="0" w:color="auto"/>
        <w:right w:val="none" w:sz="0" w:space="0" w:color="auto"/>
      </w:divBdr>
    </w:div>
    <w:div w:id="1233853611">
      <w:bodyDiv w:val="1"/>
      <w:marLeft w:val="0"/>
      <w:marRight w:val="0"/>
      <w:marTop w:val="0"/>
      <w:marBottom w:val="0"/>
      <w:divBdr>
        <w:top w:val="none" w:sz="0" w:space="0" w:color="auto"/>
        <w:left w:val="none" w:sz="0" w:space="0" w:color="auto"/>
        <w:bottom w:val="none" w:sz="0" w:space="0" w:color="auto"/>
        <w:right w:val="none" w:sz="0" w:space="0" w:color="auto"/>
      </w:divBdr>
    </w:div>
    <w:div w:id="1327129485">
      <w:bodyDiv w:val="1"/>
      <w:marLeft w:val="0"/>
      <w:marRight w:val="0"/>
      <w:marTop w:val="0"/>
      <w:marBottom w:val="0"/>
      <w:divBdr>
        <w:top w:val="none" w:sz="0" w:space="0" w:color="auto"/>
        <w:left w:val="none" w:sz="0" w:space="0" w:color="auto"/>
        <w:bottom w:val="none" w:sz="0" w:space="0" w:color="auto"/>
        <w:right w:val="none" w:sz="0" w:space="0" w:color="auto"/>
      </w:divBdr>
    </w:div>
    <w:div w:id="1368288870">
      <w:bodyDiv w:val="1"/>
      <w:marLeft w:val="0"/>
      <w:marRight w:val="0"/>
      <w:marTop w:val="0"/>
      <w:marBottom w:val="0"/>
      <w:divBdr>
        <w:top w:val="none" w:sz="0" w:space="0" w:color="auto"/>
        <w:left w:val="none" w:sz="0" w:space="0" w:color="auto"/>
        <w:bottom w:val="none" w:sz="0" w:space="0" w:color="auto"/>
        <w:right w:val="none" w:sz="0" w:space="0" w:color="auto"/>
      </w:divBdr>
    </w:div>
    <w:div w:id="1439258360">
      <w:bodyDiv w:val="1"/>
      <w:marLeft w:val="0"/>
      <w:marRight w:val="0"/>
      <w:marTop w:val="0"/>
      <w:marBottom w:val="0"/>
      <w:divBdr>
        <w:top w:val="none" w:sz="0" w:space="0" w:color="auto"/>
        <w:left w:val="none" w:sz="0" w:space="0" w:color="auto"/>
        <w:bottom w:val="none" w:sz="0" w:space="0" w:color="auto"/>
        <w:right w:val="none" w:sz="0" w:space="0" w:color="auto"/>
      </w:divBdr>
    </w:div>
    <w:div w:id="1449544369">
      <w:bodyDiv w:val="1"/>
      <w:marLeft w:val="0"/>
      <w:marRight w:val="0"/>
      <w:marTop w:val="0"/>
      <w:marBottom w:val="0"/>
      <w:divBdr>
        <w:top w:val="none" w:sz="0" w:space="0" w:color="auto"/>
        <w:left w:val="none" w:sz="0" w:space="0" w:color="auto"/>
        <w:bottom w:val="none" w:sz="0" w:space="0" w:color="auto"/>
        <w:right w:val="none" w:sz="0" w:space="0" w:color="auto"/>
      </w:divBdr>
    </w:div>
    <w:div w:id="1612859709">
      <w:bodyDiv w:val="1"/>
      <w:marLeft w:val="0"/>
      <w:marRight w:val="0"/>
      <w:marTop w:val="0"/>
      <w:marBottom w:val="0"/>
      <w:divBdr>
        <w:top w:val="none" w:sz="0" w:space="0" w:color="auto"/>
        <w:left w:val="none" w:sz="0" w:space="0" w:color="auto"/>
        <w:bottom w:val="none" w:sz="0" w:space="0" w:color="auto"/>
        <w:right w:val="none" w:sz="0" w:space="0" w:color="auto"/>
      </w:divBdr>
    </w:div>
    <w:div w:id="1778600381">
      <w:bodyDiv w:val="1"/>
      <w:marLeft w:val="0"/>
      <w:marRight w:val="0"/>
      <w:marTop w:val="0"/>
      <w:marBottom w:val="0"/>
      <w:divBdr>
        <w:top w:val="none" w:sz="0" w:space="0" w:color="auto"/>
        <w:left w:val="none" w:sz="0" w:space="0" w:color="auto"/>
        <w:bottom w:val="none" w:sz="0" w:space="0" w:color="auto"/>
        <w:right w:val="none" w:sz="0" w:space="0" w:color="auto"/>
      </w:divBdr>
    </w:div>
    <w:div w:id="1781802130">
      <w:bodyDiv w:val="1"/>
      <w:marLeft w:val="0"/>
      <w:marRight w:val="0"/>
      <w:marTop w:val="0"/>
      <w:marBottom w:val="0"/>
      <w:divBdr>
        <w:top w:val="none" w:sz="0" w:space="0" w:color="auto"/>
        <w:left w:val="none" w:sz="0" w:space="0" w:color="auto"/>
        <w:bottom w:val="none" w:sz="0" w:space="0" w:color="auto"/>
        <w:right w:val="none" w:sz="0" w:space="0" w:color="auto"/>
      </w:divBdr>
    </w:div>
    <w:div w:id="1816407669">
      <w:bodyDiv w:val="1"/>
      <w:marLeft w:val="0"/>
      <w:marRight w:val="0"/>
      <w:marTop w:val="0"/>
      <w:marBottom w:val="0"/>
      <w:divBdr>
        <w:top w:val="none" w:sz="0" w:space="0" w:color="auto"/>
        <w:left w:val="none" w:sz="0" w:space="0" w:color="auto"/>
        <w:bottom w:val="none" w:sz="0" w:space="0" w:color="auto"/>
        <w:right w:val="none" w:sz="0" w:space="0" w:color="auto"/>
      </w:divBdr>
    </w:div>
    <w:div w:id="1986934794">
      <w:bodyDiv w:val="1"/>
      <w:marLeft w:val="0"/>
      <w:marRight w:val="0"/>
      <w:marTop w:val="0"/>
      <w:marBottom w:val="0"/>
      <w:divBdr>
        <w:top w:val="none" w:sz="0" w:space="0" w:color="auto"/>
        <w:left w:val="none" w:sz="0" w:space="0" w:color="auto"/>
        <w:bottom w:val="none" w:sz="0" w:space="0" w:color="auto"/>
        <w:right w:val="none" w:sz="0" w:space="0" w:color="auto"/>
      </w:divBdr>
    </w:div>
    <w:div w:id="201132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business.gov.au/grants-and-programs/venture-capital-limited-partnerships"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business.gov.au/grants-and-programs/research-and-development-tax-incentiv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csiro.au/en/maps/hydrogen-projects/" TargetMode="External"/><Relationship Id="rId35" Type="http://schemas.openxmlformats.org/officeDocument/2006/relationships/hyperlink" Target="https://register.business.gov.au/"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easury.gov.au/tax-treaties/income-tax-treatie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s://business.gov.au/grants-and-programs/research-and-development-tax-incentive"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Front%20Cover.dotx" TargetMode="External"/></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813DAB6534304797DEF4E972DCD22C" ma:contentTypeVersion="21" ma:contentTypeDescription="Create a new document." ma:contentTypeScope="" ma:versionID="dacf2c3c4c9002ccf02b956dd42ee19d">
  <xsd:schema xmlns:xsd="http://www.w3.org/2001/XMLSchema" xmlns:xs="http://www.w3.org/2001/XMLSchema" xmlns:p="http://schemas.microsoft.com/office/2006/metadata/properties" xmlns:ns1="http://schemas.microsoft.com/sharepoint/v3" xmlns:ns2="d95e12a1-94ea-4b71-ac97-420419a30272" xmlns:ns3="1366a875-e77d-4c1e-a429-d527fe3574f8" targetNamespace="http://schemas.microsoft.com/office/2006/metadata/properties" ma:root="true" ma:fieldsID="6d80a01d75a9dd10a28cc49e9a361138" ns1:_="" ns2:_="" ns3:_="">
    <xsd:import namespace="http://schemas.microsoft.com/sharepoint/v3"/>
    <xsd:import namespace="d95e12a1-94ea-4b71-ac97-420419a30272"/>
    <xsd:import namespace="1366a875-e77d-4c1e-a429-d527fe3574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e12a1-94ea-4b71-ac97-420419a30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6a875-e77d-4c1e-a429-d527fe3574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9a805-241f-4279-979a-541e88cdfe87}" ma:internalName="TaxCatchAll" ma:showField="CatchAllData" ma:web="1366a875-e77d-4c1e-a429-d527fe357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366a875-e77d-4c1e-a429-d527fe3574f8" xsi:nil="true"/>
    <lcf76f155ced4ddcb4097134ff3c332f xmlns="d95e12a1-94ea-4b71-ac97-420419a302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4CDCB-2140-482B-807B-334C276F9E51}">
  <ds:schemaRefs>
    <ds:schemaRef ds:uri="http://schemas.microsoft.com/sharepoint/v3/contenttype/forms"/>
  </ds:schemaRefs>
</ds:datastoreItem>
</file>

<file path=customXml/itemProps2.xml><?xml version="1.0" encoding="utf-8"?>
<ds:datastoreItem xmlns:ds="http://schemas.openxmlformats.org/officeDocument/2006/customXml" ds:itemID="{AF485B05-40B4-4C2F-A30D-44B1D158A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5e12a1-94ea-4b71-ac97-420419a30272"/>
    <ds:schemaRef ds:uri="1366a875-e77d-4c1e-a429-d527fe357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827DE0-4C9B-4ABD-A55D-46B93EE9617E}">
  <ds:schemaRefs>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1366a875-e77d-4c1e-a429-d527fe3574f8"/>
    <ds:schemaRef ds:uri="d95e12a1-94ea-4b71-ac97-420419a30272"/>
    <ds:schemaRef ds:uri="http://schemas.microsoft.com/sharepoint/v3"/>
    <ds:schemaRef ds:uri="http://www.w3.org/XML/1998/namespace"/>
    <ds:schemaRef ds:uri="http://purl.org/dc/elements/1.1/"/>
  </ds:schemaRefs>
</ds:datastoreItem>
</file>

<file path=customXml/itemProps4.xml><?xml version="1.0" encoding="utf-8"?>
<ds:datastoreItem xmlns:ds="http://schemas.openxmlformats.org/officeDocument/2006/customXml" ds:itemID="{C4827510-A11C-47A3-8343-9D625311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Australia's Nation Brand - Front Cover.dotx</Template>
  <TotalTime>141</TotalTime>
  <Pages>54</Pages>
  <Words>11393</Words>
  <Characters>64941</Characters>
  <Application>Microsoft Office Word</Application>
  <DocSecurity>8</DocSecurity>
  <Lines>541</Lines>
  <Paragraphs>152</Paragraphs>
  <ScaleCrop>false</ScaleCrop>
  <HeadingPairs>
    <vt:vector size="2" baseType="variant">
      <vt:variant>
        <vt:lpstr>Title</vt:lpstr>
      </vt:variant>
      <vt:variant>
        <vt:i4>1</vt:i4>
      </vt:variant>
    </vt:vector>
  </HeadingPairs>
  <TitlesOfParts>
    <vt:vector size="1" baseType="lpstr">
      <vt:lpstr>Australia's Nation Brand - Front cover template</vt:lpstr>
    </vt:vector>
  </TitlesOfParts>
  <Company>Australian Trade and Investment Commission</Company>
  <LinksUpToDate>false</LinksUpToDate>
  <CharactersWithSpaces>76182</CharactersWithSpaces>
  <SharedDoc>false</SharedDoc>
  <HLinks>
    <vt:vector size="618" baseType="variant">
      <vt:variant>
        <vt:i4>851991</vt:i4>
      </vt:variant>
      <vt:variant>
        <vt:i4>657</vt:i4>
      </vt:variant>
      <vt:variant>
        <vt:i4>0</vt:i4>
      </vt:variant>
      <vt:variant>
        <vt:i4>5</vt:i4>
      </vt:variant>
      <vt:variant>
        <vt:lpwstr>https://register.business.gov.au/</vt:lpwstr>
      </vt:variant>
      <vt:variant>
        <vt:lpwstr/>
      </vt:variant>
      <vt:variant>
        <vt:i4>5898329</vt:i4>
      </vt:variant>
      <vt:variant>
        <vt:i4>648</vt:i4>
      </vt:variant>
      <vt:variant>
        <vt:i4>0</vt:i4>
      </vt:variant>
      <vt:variant>
        <vt:i4>5</vt:i4>
      </vt:variant>
      <vt:variant>
        <vt:lpwstr>https://business.gov.au/grants-and-programs/venture-capital-limited-partnerships</vt:lpwstr>
      </vt:variant>
      <vt:variant>
        <vt:lpwstr/>
      </vt:variant>
      <vt:variant>
        <vt:i4>6619172</vt:i4>
      </vt:variant>
      <vt:variant>
        <vt:i4>645</vt:i4>
      </vt:variant>
      <vt:variant>
        <vt:i4>0</vt:i4>
      </vt:variant>
      <vt:variant>
        <vt:i4>5</vt:i4>
      </vt:variant>
      <vt:variant>
        <vt:lpwstr>https://business.gov.au/grants-and-programs/research-and-development-tax-incentive</vt:lpwstr>
      </vt:variant>
      <vt:variant>
        <vt:lpwstr/>
      </vt:variant>
      <vt:variant>
        <vt:i4>6881339</vt:i4>
      </vt:variant>
      <vt:variant>
        <vt:i4>642</vt:i4>
      </vt:variant>
      <vt:variant>
        <vt:i4>0</vt:i4>
      </vt:variant>
      <vt:variant>
        <vt:i4>5</vt:i4>
      </vt:variant>
      <vt:variant>
        <vt:lpwstr>https://www.csiro.au/en/maps/hydrogen-projects/</vt:lpwstr>
      </vt:variant>
      <vt:variant>
        <vt:lpwstr/>
      </vt:variant>
      <vt:variant>
        <vt:i4>1769473</vt:i4>
      </vt:variant>
      <vt:variant>
        <vt:i4>597</vt:i4>
      </vt:variant>
      <vt:variant>
        <vt:i4>0</vt:i4>
      </vt:variant>
      <vt:variant>
        <vt:i4>5</vt:i4>
      </vt:variant>
      <vt:variant>
        <vt:lpwstr>https://treasury.gov.au/tax-treaties/income-tax-treaties</vt:lpwstr>
      </vt:variant>
      <vt:variant>
        <vt:lpwstr/>
      </vt:variant>
      <vt:variant>
        <vt:i4>6619172</vt:i4>
      </vt:variant>
      <vt:variant>
        <vt:i4>594</vt:i4>
      </vt:variant>
      <vt:variant>
        <vt:i4>0</vt:i4>
      </vt:variant>
      <vt:variant>
        <vt:i4>5</vt:i4>
      </vt:variant>
      <vt:variant>
        <vt:lpwstr>https://business.gov.au/grants-and-programs/research-and-development-tax-incentive</vt:lpwstr>
      </vt:variant>
      <vt:variant>
        <vt:lpwstr/>
      </vt:variant>
      <vt:variant>
        <vt:i4>1835059</vt:i4>
      </vt:variant>
      <vt:variant>
        <vt:i4>581</vt:i4>
      </vt:variant>
      <vt:variant>
        <vt:i4>0</vt:i4>
      </vt:variant>
      <vt:variant>
        <vt:i4>5</vt:i4>
      </vt:variant>
      <vt:variant>
        <vt:lpwstr/>
      </vt:variant>
      <vt:variant>
        <vt:lpwstr>_Toc171500399</vt:lpwstr>
      </vt:variant>
      <vt:variant>
        <vt:i4>1835059</vt:i4>
      </vt:variant>
      <vt:variant>
        <vt:i4>575</vt:i4>
      </vt:variant>
      <vt:variant>
        <vt:i4>0</vt:i4>
      </vt:variant>
      <vt:variant>
        <vt:i4>5</vt:i4>
      </vt:variant>
      <vt:variant>
        <vt:lpwstr/>
      </vt:variant>
      <vt:variant>
        <vt:lpwstr>_Toc171500398</vt:lpwstr>
      </vt:variant>
      <vt:variant>
        <vt:i4>1835059</vt:i4>
      </vt:variant>
      <vt:variant>
        <vt:i4>569</vt:i4>
      </vt:variant>
      <vt:variant>
        <vt:i4>0</vt:i4>
      </vt:variant>
      <vt:variant>
        <vt:i4>5</vt:i4>
      </vt:variant>
      <vt:variant>
        <vt:lpwstr/>
      </vt:variant>
      <vt:variant>
        <vt:lpwstr>_Toc171500397</vt:lpwstr>
      </vt:variant>
      <vt:variant>
        <vt:i4>1835059</vt:i4>
      </vt:variant>
      <vt:variant>
        <vt:i4>563</vt:i4>
      </vt:variant>
      <vt:variant>
        <vt:i4>0</vt:i4>
      </vt:variant>
      <vt:variant>
        <vt:i4>5</vt:i4>
      </vt:variant>
      <vt:variant>
        <vt:lpwstr/>
      </vt:variant>
      <vt:variant>
        <vt:lpwstr>_Toc171500396</vt:lpwstr>
      </vt:variant>
      <vt:variant>
        <vt:i4>1835059</vt:i4>
      </vt:variant>
      <vt:variant>
        <vt:i4>557</vt:i4>
      </vt:variant>
      <vt:variant>
        <vt:i4>0</vt:i4>
      </vt:variant>
      <vt:variant>
        <vt:i4>5</vt:i4>
      </vt:variant>
      <vt:variant>
        <vt:lpwstr/>
      </vt:variant>
      <vt:variant>
        <vt:lpwstr>_Toc171500395</vt:lpwstr>
      </vt:variant>
      <vt:variant>
        <vt:i4>1835059</vt:i4>
      </vt:variant>
      <vt:variant>
        <vt:i4>551</vt:i4>
      </vt:variant>
      <vt:variant>
        <vt:i4>0</vt:i4>
      </vt:variant>
      <vt:variant>
        <vt:i4>5</vt:i4>
      </vt:variant>
      <vt:variant>
        <vt:lpwstr/>
      </vt:variant>
      <vt:variant>
        <vt:lpwstr>_Toc171500394</vt:lpwstr>
      </vt:variant>
      <vt:variant>
        <vt:i4>1835059</vt:i4>
      </vt:variant>
      <vt:variant>
        <vt:i4>545</vt:i4>
      </vt:variant>
      <vt:variant>
        <vt:i4>0</vt:i4>
      </vt:variant>
      <vt:variant>
        <vt:i4>5</vt:i4>
      </vt:variant>
      <vt:variant>
        <vt:lpwstr/>
      </vt:variant>
      <vt:variant>
        <vt:lpwstr>_Toc171500393</vt:lpwstr>
      </vt:variant>
      <vt:variant>
        <vt:i4>1835059</vt:i4>
      </vt:variant>
      <vt:variant>
        <vt:i4>539</vt:i4>
      </vt:variant>
      <vt:variant>
        <vt:i4>0</vt:i4>
      </vt:variant>
      <vt:variant>
        <vt:i4>5</vt:i4>
      </vt:variant>
      <vt:variant>
        <vt:lpwstr/>
      </vt:variant>
      <vt:variant>
        <vt:lpwstr>_Toc171500392</vt:lpwstr>
      </vt:variant>
      <vt:variant>
        <vt:i4>1835059</vt:i4>
      </vt:variant>
      <vt:variant>
        <vt:i4>533</vt:i4>
      </vt:variant>
      <vt:variant>
        <vt:i4>0</vt:i4>
      </vt:variant>
      <vt:variant>
        <vt:i4>5</vt:i4>
      </vt:variant>
      <vt:variant>
        <vt:lpwstr/>
      </vt:variant>
      <vt:variant>
        <vt:lpwstr>_Toc171500391</vt:lpwstr>
      </vt:variant>
      <vt:variant>
        <vt:i4>1835059</vt:i4>
      </vt:variant>
      <vt:variant>
        <vt:i4>527</vt:i4>
      </vt:variant>
      <vt:variant>
        <vt:i4>0</vt:i4>
      </vt:variant>
      <vt:variant>
        <vt:i4>5</vt:i4>
      </vt:variant>
      <vt:variant>
        <vt:lpwstr/>
      </vt:variant>
      <vt:variant>
        <vt:lpwstr>_Toc171500390</vt:lpwstr>
      </vt:variant>
      <vt:variant>
        <vt:i4>1900595</vt:i4>
      </vt:variant>
      <vt:variant>
        <vt:i4>521</vt:i4>
      </vt:variant>
      <vt:variant>
        <vt:i4>0</vt:i4>
      </vt:variant>
      <vt:variant>
        <vt:i4>5</vt:i4>
      </vt:variant>
      <vt:variant>
        <vt:lpwstr/>
      </vt:variant>
      <vt:variant>
        <vt:lpwstr>_Toc171500389</vt:lpwstr>
      </vt:variant>
      <vt:variant>
        <vt:i4>1900595</vt:i4>
      </vt:variant>
      <vt:variant>
        <vt:i4>515</vt:i4>
      </vt:variant>
      <vt:variant>
        <vt:i4>0</vt:i4>
      </vt:variant>
      <vt:variant>
        <vt:i4>5</vt:i4>
      </vt:variant>
      <vt:variant>
        <vt:lpwstr/>
      </vt:variant>
      <vt:variant>
        <vt:lpwstr>_Toc171500388</vt:lpwstr>
      </vt:variant>
      <vt:variant>
        <vt:i4>1900595</vt:i4>
      </vt:variant>
      <vt:variant>
        <vt:i4>509</vt:i4>
      </vt:variant>
      <vt:variant>
        <vt:i4>0</vt:i4>
      </vt:variant>
      <vt:variant>
        <vt:i4>5</vt:i4>
      </vt:variant>
      <vt:variant>
        <vt:lpwstr/>
      </vt:variant>
      <vt:variant>
        <vt:lpwstr>_Toc171500387</vt:lpwstr>
      </vt:variant>
      <vt:variant>
        <vt:i4>1900595</vt:i4>
      </vt:variant>
      <vt:variant>
        <vt:i4>503</vt:i4>
      </vt:variant>
      <vt:variant>
        <vt:i4>0</vt:i4>
      </vt:variant>
      <vt:variant>
        <vt:i4>5</vt:i4>
      </vt:variant>
      <vt:variant>
        <vt:lpwstr/>
      </vt:variant>
      <vt:variant>
        <vt:lpwstr>_Toc171500386</vt:lpwstr>
      </vt:variant>
      <vt:variant>
        <vt:i4>1900595</vt:i4>
      </vt:variant>
      <vt:variant>
        <vt:i4>497</vt:i4>
      </vt:variant>
      <vt:variant>
        <vt:i4>0</vt:i4>
      </vt:variant>
      <vt:variant>
        <vt:i4>5</vt:i4>
      </vt:variant>
      <vt:variant>
        <vt:lpwstr/>
      </vt:variant>
      <vt:variant>
        <vt:lpwstr>_Toc171500385</vt:lpwstr>
      </vt:variant>
      <vt:variant>
        <vt:i4>1900595</vt:i4>
      </vt:variant>
      <vt:variant>
        <vt:i4>491</vt:i4>
      </vt:variant>
      <vt:variant>
        <vt:i4>0</vt:i4>
      </vt:variant>
      <vt:variant>
        <vt:i4>5</vt:i4>
      </vt:variant>
      <vt:variant>
        <vt:lpwstr/>
      </vt:variant>
      <vt:variant>
        <vt:lpwstr>_Toc171500384</vt:lpwstr>
      </vt:variant>
      <vt:variant>
        <vt:i4>1900595</vt:i4>
      </vt:variant>
      <vt:variant>
        <vt:i4>485</vt:i4>
      </vt:variant>
      <vt:variant>
        <vt:i4>0</vt:i4>
      </vt:variant>
      <vt:variant>
        <vt:i4>5</vt:i4>
      </vt:variant>
      <vt:variant>
        <vt:lpwstr/>
      </vt:variant>
      <vt:variant>
        <vt:lpwstr>_Toc171500383</vt:lpwstr>
      </vt:variant>
      <vt:variant>
        <vt:i4>1900595</vt:i4>
      </vt:variant>
      <vt:variant>
        <vt:i4>479</vt:i4>
      </vt:variant>
      <vt:variant>
        <vt:i4>0</vt:i4>
      </vt:variant>
      <vt:variant>
        <vt:i4>5</vt:i4>
      </vt:variant>
      <vt:variant>
        <vt:lpwstr/>
      </vt:variant>
      <vt:variant>
        <vt:lpwstr>_Toc171500382</vt:lpwstr>
      </vt:variant>
      <vt:variant>
        <vt:i4>1900595</vt:i4>
      </vt:variant>
      <vt:variant>
        <vt:i4>473</vt:i4>
      </vt:variant>
      <vt:variant>
        <vt:i4>0</vt:i4>
      </vt:variant>
      <vt:variant>
        <vt:i4>5</vt:i4>
      </vt:variant>
      <vt:variant>
        <vt:lpwstr/>
      </vt:variant>
      <vt:variant>
        <vt:lpwstr>_Toc171500381</vt:lpwstr>
      </vt:variant>
      <vt:variant>
        <vt:i4>1900595</vt:i4>
      </vt:variant>
      <vt:variant>
        <vt:i4>467</vt:i4>
      </vt:variant>
      <vt:variant>
        <vt:i4>0</vt:i4>
      </vt:variant>
      <vt:variant>
        <vt:i4>5</vt:i4>
      </vt:variant>
      <vt:variant>
        <vt:lpwstr/>
      </vt:variant>
      <vt:variant>
        <vt:lpwstr>_Toc171500380</vt:lpwstr>
      </vt:variant>
      <vt:variant>
        <vt:i4>1179699</vt:i4>
      </vt:variant>
      <vt:variant>
        <vt:i4>461</vt:i4>
      </vt:variant>
      <vt:variant>
        <vt:i4>0</vt:i4>
      </vt:variant>
      <vt:variant>
        <vt:i4>5</vt:i4>
      </vt:variant>
      <vt:variant>
        <vt:lpwstr/>
      </vt:variant>
      <vt:variant>
        <vt:lpwstr>_Toc171500379</vt:lpwstr>
      </vt:variant>
      <vt:variant>
        <vt:i4>1179699</vt:i4>
      </vt:variant>
      <vt:variant>
        <vt:i4>455</vt:i4>
      </vt:variant>
      <vt:variant>
        <vt:i4>0</vt:i4>
      </vt:variant>
      <vt:variant>
        <vt:i4>5</vt:i4>
      </vt:variant>
      <vt:variant>
        <vt:lpwstr/>
      </vt:variant>
      <vt:variant>
        <vt:lpwstr>_Toc171500378</vt:lpwstr>
      </vt:variant>
      <vt:variant>
        <vt:i4>1179699</vt:i4>
      </vt:variant>
      <vt:variant>
        <vt:i4>449</vt:i4>
      </vt:variant>
      <vt:variant>
        <vt:i4>0</vt:i4>
      </vt:variant>
      <vt:variant>
        <vt:i4>5</vt:i4>
      </vt:variant>
      <vt:variant>
        <vt:lpwstr/>
      </vt:variant>
      <vt:variant>
        <vt:lpwstr>_Toc171500377</vt:lpwstr>
      </vt:variant>
      <vt:variant>
        <vt:i4>1179699</vt:i4>
      </vt:variant>
      <vt:variant>
        <vt:i4>443</vt:i4>
      </vt:variant>
      <vt:variant>
        <vt:i4>0</vt:i4>
      </vt:variant>
      <vt:variant>
        <vt:i4>5</vt:i4>
      </vt:variant>
      <vt:variant>
        <vt:lpwstr/>
      </vt:variant>
      <vt:variant>
        <vt:lpwstr>_Toc171500376</vt:lpwstr>
      </vt:variant>
      <vt:variant>
        <vt:i4>1179699</vt:i4>
      </vt:variant>
      <vt:variant>
        <vt:i4>437</vt:i4>
      </vt:variant>
      <vt:variant>
        <vt:i4>0</vt:i4>
      </vt:variant>
      <vt:variant>
        <vt:i4>5</vt:i4>
      </vt:variant>
      <vt:variant>
        <vt:lpwstr/>
      </vt:variant>
      <vt:variant>
        <vt:lpwstr>_Toc171500375</vt:lpwstr>
      </vt:variant>
      <vt:variant>
        <vt:i4>1179699</vt:i4>
      </vt:variant>
      <vt:variant>
        <vt:i4>431</vt:i4>
      </vt:variant>
      <vt:variant>
        <vt:i4>0</vt:i4>
      </vt:variant>
      <vt:variant>
        <vt:i4>5</vt:i4>
      </vt:variant>
      <vt:variant>
        <vt:lpwstr/>
      </vt:variant>
      <vt:variant>
        <vt:lpwstr>_Toc171500374</vt:lpwstr>
      </vt:variant>
      <vt:variant>
        <vt:i4>1179699</vt:i4>
      </vt:variant>
      <vt:variant>
        <vt:i4>425</vt:i4>
      </vt:variant>
      <vt:variant>
        <vt:i4>0</vt:i4>
      </vt:variant>
      <vt:variant>
        <vt:i4>5</vt:i4>
      </vt:variant>
      <vt:variant>
        <vt:lpwstr/>
      </vt:variant>
      <vt:variant>
        <vt:lpwstr>_Toc171500373</vt:lpwstr>
      </vt:variant>
      <vt:variant>
        <vt:i4>1179699</vt:i4>
      </vt:variant>
      <vt:variant>
        <vt:i4>419</vt:i4>
      </vt:variant>
      <vt:variant>
        <vt:i4>0</vt:i4>
      </vt:variant>
      <vt:variant>
        <vt:i4>5</vt:i4>
      </vt:variant>
      <vt:variant>
        <vt:lpwstr/>
      </vt:variant>
      <vt:variant>
        <vt:lpwstr>_Toc171500372</vt:lpwstr>
      </vt:variant>
      <vt:variant>
        <vt:i4>1179699</vt:i4>
      </vt:variant>
      <vt:variant>
        <vt:i4>413</vt:i4>
      </vt:variant>
      <vt:variant>
        <vt:i4>0</vt:i4>
      </vt:variant>
      <vt:variant>
        <vt:i4>5</vt:i4>
      </vt:variant>
      <vt:variant>
        <vt:lpwstr/>
      </vt:variant>
      <vt:variant>
        <vt:lpwstr>_Toc171500371</vt:lpwstr>
      </vt:variant>
      <vt:variant>
        <vt:i4>1179699</vt:i4>
      </vt:variant>
      <vt:variant>
        <vt:i4>407</vt:i4>
      </vt:variant>
      <vt:variant>
        <vt:i4>0</vt:i4>
      </vt:variant>
      <vt:variant>
        <vt:i4>5</vt:i4>
      </vt:variant>
      <vt:variant>
        <vt:lpwstr/>
      </vt:variant>
      <vt:variant>
        <vt:lpwstr>_Toc171500370</vt:lpwstr>
      </vt:variant>
      <vt:variant>
        <vt:i4>1245235</vt:i4>
      </vt:variant>
      <vt:variant>
        <vt:i4>401</vt:i4>
      </vt:variant>
      <vt:variant>
        <vt:i4>0</vt:i4>
      </vt:variant>
      <vt:variant>
        <vt:i4>5</vt:i4>
      </vt:variant>
      <vt:variant>
        <vt:lpwstr/>
      </vt:variant>
      <vt:variant>
        <vt:lpwstr>_Toc171500369</vt:lpwstr>
      </vt:variant>
      <vt:variant>
        <vt:i4>1245235</vt:i4>
      </vt:variant>
      <vt:variant>
        <vt:i4>395</vt:i4>
      </vt:variant>
      <vt:variant>
        <vt:i4>0</vt:i4>
      </vt:variant>
      <vt:variant>
        <vt:i4>5</vt:i4>
      </vt:variant>
      <vt:variant>
        <vt:lpwstr/>
      </vt:variant>
      <vt:variant>
        <vt:lpwstr>_Toc171500368</vt:lpwstr>
      </vt:variant>
      <vt:variant>
        <vt:i4>1245235</vt:i4>
      </vt:variant>
      <vt:variant>
        <vt:i4>389</vt:i4>
      </vt:variant>
      <vt:variant>
        <vt:i4>0</vt:i4>
      </vt:variant>
      <vt:variant>
        <vt:i4>5</vt:i4>
      </vt:variant>
      <vt:variant>
        <vt:lpwstr/>
      </vt:variant>
      <vt:variant>
        <vt:lpwstr>_Toc171500367</vt:lpwstr>
      </vt:variant>
      <vt:variant>
        <vt:i4>1245235</vt:i4>
      </vt:variant>
      <vt:variant>
        <vt:i4>383</vt:i4>
      </vt:variant>
      <vt:variant>
        <vt:i4>0</vt:i4>
      </vt:variant>
      <vt:variant>
        <vt:i4>5</vt:i4>
      </vt:variant>
      <vt:variant>
        <vt:lpwstr/>
      </vt:variant>
      <vt:variant>
        <vt:lpwstr>_Toc171500366</vt:lpwstr>
      </vt:variant>
      <vt:variant>
        <vt:i4>1245235</vt:i4>
      </vt:variant>
      <vt:variant>
        <vt:i4>377</vt:i4>
      </vt:variant>
      <vt:variant>
        <vt:i4>0</vt:i4>
      </vt:variant>
      <vt:variant>
        <vt:i4>5</vt:i4>
      </vt:variant>
      <vt:variant>
        <vt:lpwstr/>
      </vt:variant>
      <vt:variant>
        <vt:lpwstr>_Toc171500365</vt:lpwstr>
      </vt:variant>
      <vt:variant>
        <vt:i4>1245235</vt:i4>
      </vt:variant>
      <vt:variant>
        <vt:i4>371</vt:i4>
      </vt:variant>
      <vt:variant>
        <vt:i4>0</vt:i4>
      </vt:variant>
      <vt:variant>
        <vt:i4>5</vt:i4>
      </vt:variant>
      <vt:variant>
        <vt:lpwstr/>
      </vt:variant>
      <vt:variant>
        <vt:lpwstr>_Toc171500364</vt:lpwstr>
      </vt:variant>
      <vt:variant>
        <vt:i4>1245235</vt:i4>
      </vt:variant>
      <vt:variant>
        <vt:i4>365</vt:i4>
      </vt:variant>
      <vt:variant>
        <vt:i4>0</vt:i4>
      </vt:variant>
      <vt:variant>
        <vt:i4>5</vt:i4>
      </vt:variant>
      <vt:variant>
        <vt:lpwstr/>
      </vt:variant>
      <vt:variant>
        <vt:lpwstr>_Toc171500363</vt:lpwstr>
      </vt:variant>
      <vt:variant>
        <vt:i4>1245235</vt:i4>
      </vt:variant>
      <vt:variant>
        <vt:i4>359</vt:i4>
      </vt:variant>
      <vt:variant>
        <vt:i4>0</vt:i4>
      </vt:variant>
      <vt:variant>
        <vt:i4>5</vt:i4>
      </vt:variant>
      <vt:variant>
        <vt:lpwstr/>
      </vt:variant>
      <vt:variant>
        <vt:lpwstr>_Toc171500362</vt:lpwstr>
      </vt:variant>
      <vt:variant>
        <vt:i4>1245235</vt:i4>
      </vt:variant>
      <vt:variant>
        <vt:i4>353</vt:i4>
      </vt:variant>
      <vt:variant>
        <vt:i4>0</vt:i4>
      </vt:variant>
      <vt:variant>
        <vt:i4>5</vt:i4>
      </vt:variant>
      <vt:variant>
        <vt:lpwstr/>
      </vt:variant>
      <vt:variant>
        <vt:lpwstr>_Toc171500361</vt:lpwstr>
      </vt:variant>
      <vt:variant>
        <vt:i4>1245235</vt:i4>
      </vt:variant>
      <vt:variant>
        <vt:i4>347</vt:i4>
      </vt:variant>
      <vt:variant>
        <vt:i4>0</vt:i4>
      </vt:variant>
      <vt:variant>
        <vt:i4>5</vt:i4>
      </vt:variant>
      <vt:variant>
        <vt:lpwstr/>
      </vt:variant>
      <vt:variant>
        <vt:lpwstr>_Toc171500360</vt:lpwstr>
      </vt:variant>
      <vt:variant>
        <vt:i4>1048627</vt:i4>
      </vt:variant>
      <vt:variant>
        <vt:i4>341</vt:i4>
      </vt:variant>
      <vt:variant>
        <vt:i4>0</vt:i4>
      </vt:variant>
      <vt:variant>
        <vt:i4>5</vt:i4>
      </vt:variant>
      <vt:variant>
        <vt:lpwstr/>
      </vt:variant>
      <vt:variant>
        <vt:lpwstr>_Toc171500359</vt:lpwstr>
      </vt:variant>
      <vt:variant>
        <vt:i4>1048627</vt:i4>
      </vt:variant>
      <vt:variant>
        <vt:i4>335</vt:i4>
      </vt:variant>
      <vt:variant>
        <vt:i4>0</vt:i4>
      </vt:variant>
      <vt:variant>
        <vt:i4>5</vt:i4>
      </vt:variant>
      <vt:variant>
        <vt:lpwstr/>
      </vt:variant>
      <vt:variant>
        <vt:lpwstr>_Toc171500358</vt:lpwstr>
      </vt:variant>
      <vt:variant>
        <vt:i4>1048627</vt:i4>
      </vt:variant>
      <vt:variant>
        <vt:i4>329</vt:i4>
      </vt:variant>
      <vt:variant>
        <vt:i4>0</vt:i4>
      </vt:variant>
      <vt:variant>
        <vt:i4>5</vt:i4>
      </vt:variant>
      <vt:variant>
        <vt:lpwstr/>
      </vt:variant>
      <vt:variant>
        <vt:lpwstr>_Toc171500357</vt:lpwstr>
      </vt:variant>
      <vt:variant>
        <vt:i4>1048627</vt:i4>
      </vt:variant>
      <vt:variant>
        <vt:i4>320</vt:i4>
      </vt:variant>
      <vt:variant>
        <vt:i4>0</vt:i4>
      </vt:variant>
      <vt:variant>
        <vt:i4>5</vt:i4>
      </vt:variant>
      <vt:variant>
        <vt:lpwstr/>
      </vt:variant>
      <vt:variant>
        <vt:lpwstr>_Toc171500356</vt:lpwstr>
      </vt:variant>
      <vt:variant>
        <vt:i4>1048627</vt:i4>
      </vt:variant>
      <vt:variant>
        <vt:i4>314</vt:i4>
      </vt:variant>
      <vt:variant>
        <vt:i4>0</vt:i4>
      </vt:variant>
      <vt:variant>
        <vt:i4>5</vt:i4>
      </vt:variant>
      <vt:variant>
        <vt:lpwstr/>
      </vt:variant>
      <vt:variant>
        <vt:lpwstr>_Toc171500355</vt:lpwstr>
      </vt:variant>
      <vt:variant>
        <vt:i4>1048627</vt:i4>
      </vt:variant>
      <vt:variant>
        <vt:i4>308</vt:i4>
      </vt:variant>
      <vt:variant>
        <vt:i4>0</vt:i4>
      </vt:variant>
      <vt:variant>
        <vt:i4>5</vt:i4>
      </vt:variant>
      <vt:variant>
        <vt:lpwstr/>
      </vt:variant>
      <vt:variant>
        <vt:lpwstr>_Toc171500354</vt:lpwstr>
      </vt:variant>
      <vt:variant>
        <vt:i4>1048627</vt:i4>
      </vt:variant>
      <vt:variant>
        <vt:i4>302</vt:i4>
      </vt:variant>
      <vt:variant>
        <vt:i4>0</vt:i4>
      </vt:variant>
      <vt:variant>
        <vt:i4>5</vt:i4>
      </vt:variant>
      <vt:variant>
        <vt:lpwstr/>
      </vt:variant>
      <vt:variant>
        <vt:lpwstr>_Toc171500353</vt:lpwstr>
      </vt:variant>
      <vt:variant>
        <vt:i4>1048627</vt:i4>
      </vt:variant>
      <vt:variant>
        <vt:i4>296</vt:i4>
      </vt:variant>
      <vt:variant>
        <vt:i4>0</vt:i4>
      </vt:variant>
      <vt:variant>
        <vt:i4>5</vt:i4>
      </vt:variant>
      <vt:variant>
        <vt:lpwstr/>
      </vt:variant>
      <vt:variant>
        <vt:lpwstr>_Toc171500352</vt:lpwstr>
      </vt:variant>
      <vt:variant>
        <vt:i4>1048627</vt:i4>
      </vt:variant>
      <vt:variant>
        <vt:i4>290</vt:i4>
      </vt:variant>
      <vt:variant>
        <vt:i4>0</vt:i4>
      </vt:variant>
      <vt:variant>
        <vt:i4>5</vt:i4>
      </vt:variant>
      <vt:variant>
        <vt:lpwstr/>
      </vt:variant>
      <vt:variant>
        <vt:lpwstr>_Toc171500351</vt:lpwstr>
      </vt:variant>
      <vt:variant>
        <vt:i4>1048627</vt:i4>
      </vt:variant>
      <vt:variant>
        <vt:i4>284</vt:i4>
      </vt:variant>
      <vt:variant>
        <vt:i4>0</vt:i4>
      </vt:variant>
      <vt:variant>
        <vt:i4>5</vt:i4>
      </vt:variant>
      <vt:variant>
        <vt:lpwstr/>
      </vt:variant>
      <vt:variant>
        <vt:lpwstr>_Toc171500350</vt:lpwstr>
      </vt:variant>
      <vt:variant>
        <vt:i4>1114163</vt:i4>
      </vt:variant>
      <vt:variant>
        <vt:i4>278</vt:i4>
      </vt:variant>
      <vt:variant>
        <vt:i4>0</vt:i4>
      </vt:variant>
      <vt:variant>
        <vt:i4>5</vt:i4>
      </vt:variant>
      <vt:variant>
        <vt:lpwstr/>
      </vt:variant>
      <vt:variant>
        <vt:lpwstr>_Toc171500349</vt:lpwstr>
      </vt:variant>
      <vt:variant>
        <vt:i4>1114163</vt:i4>
      </vt:variant>
      <vt:variant>
        <vt:i4>272</vt:i4>
      </vt:variant>
      <vt:variant>
        <vt:i4>0</vt:i4>
      </vt:variant>
      <vt:variant>
        <vt:i4>5</vt:i4>
      </vt:variant>
      <vt:variant>
        <vt:lpwstr/>
      </vt:variant>
      <vt:variant>
        <vt:lpwstr>_Toc171500348</vt:lpwstr>
      </vt:variant>
      <vt:variant>
        <vt:i4>1114163</vt:i4>
      </vt:variant>
      <vt:variant>
        <vt:i4>266</vt:i4>
      </vt:variant>
      <vt:variant>
        <vt:i4>0</vt:i4>
      </vt:variant>
      <vt:variant>
        <vt:i4>5</vt:i4>
      </vt:variant>
      <vt:variant>
        <vt:lpwstr/>
      </vt:variant>
      <vt:variant>
        <vt:lpwstr>_Toc171500347</vt:lpwstr>
      </vt:variant>
      <vt:variant>
        <vt:i4>1114163</vt:i4>
      </vt:variant>
      <vt:variant>
        <vt:i4>260</vt:i4>
      </vt:variant>
      <vt:variant>
        <vt:i4>0</vt:i4>
      </vt:variant>
      <vt:variant>
        <vt:i4>5</vt:i4>
      </vt:variant>
      <vt:variant>
        <vt:lpwstr/>
      </vt:variant>
      <vt:variant>
        <vt:lpwstr>_Toc171500346</vt:lpwstr>
      </vt:variant>
      <vt:variant>
        <vt:i4>1114163</vt:i4>
      </vt:variant>
      <vt:variant>
        <vt:i4>254</vt:i4>
      </vt:variant>
      <vt:variant>
        <vt:i4>0</vt:i4>
      </vt:variant>
      <vt:variant>
        <vt:i4>5</vt:i4>
      </vt:variant>
      <vt:variant>
        <vt:lpwstr/>
      </vt:variant>
      <vt:variant>
        <vt:lpwstr>_Toc171500345</vt:lpwstr>
      </vt:variant>
      <vt:variant>
        <vt:i4>1114163</vt:i4>
      </vt:variant>
      <vt:variant>
        <vt:i4>248</vt:i4>
      </vt:variant>
      <vt:variant>
        <vt:i4>0</vt:i4>
      </vt:variant>
      <vt:variant>
        <vt:i4>5</vt:i4>
      </vt:variant>
      <vt:variant>
        <vt:lpwstr/>
      </vt:variant>
      <vt:variant>
        <vt:lpwstr>_Toc171500344</vt:lpwstr>
      </vt:variant>
      <vt:variant>
        <vt:i4>1114163</vt:i4>
      </vt:variant>
      <vt:variant>
        <vt:i4>242</vt:i4>
      </vt:variant>
      <vt:variant>
        <vt:i4>0</vt:i4>
      </vt:variant>
      <vt:variant>
        <vt:i4>5</vt:i4>
      </vt:variant>
      <vt:variant>
        <vt:lpwstr/>
      </vt:variant>
      <vt:variant>
        <vt:lpwstr>_Toc171500343</vt:lpwstr>
      </vt:variant>
      <vt:variant>
        <vt:i4>1114163</vt:i4>
      </vt:variant>
      <vt:variant>
        <vt:i4>236</vt:i4>
      </vt:variant>
      <vt:variant>
        <vt:i4>0</vt:i4>
      </vt:variant>
      <vt:variant>
        <vt:i4>5</vt:i4>
      </vt:variant>
      <vt:variant>
        <vt:lpwstr/>
      </vt:variant>
      <vt:variant>
        <vt:lpwstr>_Toc171500342</vt:lpwstr>
      </vt:variant>
      <vt:variant>
        <vt:i4>1114163</vt:i4>
      </vt:variant>
      <vt:variant>
        <vt:i4>230</vt:i4>
      </vt:variant>
      <vt:variant>
        <vt:i4>0</vt:i4>
      </vt:variant>
      <vt:variant>
        <vt:i4>5</vt:i4>
      </vt:variant>
      <vt:variant>
        <vt:lpwstr/>
      </vt:variant>
      <vt:variant>
        <vt:lpwstr>_Toc171500341</vt:lpwstr>
      </vt:variant>
      <vt:variant>
        <vt:i4>1114163</vt:i4>
      </vt:variant>
      <vt:variant>
        <vt:i4>224</vt:i4>
      </vt:variant>
      <vt:variant>
        <vt:i4>0</vt:i4>
      </vt:variant>
      <vt:variant>
        <vt:i4>5</vt:i4>
      </vt:variant>
      <vt:variant>
        <vt:lpwstr/>
      </vt:variant>
      <vt:variant>
        <vt:lpwstr>_Toc171500340</vt:lpwstr>
      </vt:variant>
      <vt:variant>
        <vt:i4>1441843</vt:i4>
      </vt:variant>
      <vt:variant>
        <vt:i4>218</vt:i4>
      </vt:variant>
      <vt:variant>
        <vt:i4>0</vt:i4>
      </vt:variant>
      <vt:variant>
        <vt:i4>5</vt:i4>
      </vt:variant>
      <vt:variant>
        <vt:lpwstr/>
      </vt:variant>
      <vt:variant>
        <vt:lpwstr>_Toc171500339</vt:lpwstr>
      </vt:variant>
      <vt:variant>
        <vt:i4>1441843</vt:i4>
      </vt:variant>
      <vt:variant>
        <vt:i4>212</vt:i4>
      </vt:variant>
      <vt:variant>
        <vt:i4>0</vt:i4>
      </vt:variant>
      <vt:variant>
        <vt:i4>5</vt:i4>
      </vt:variant>
      <vt:variant>
        <vt:lpwstr/>
      </vt:variant>
      <vt:variant>
        <vt:lpwstr>_Toc171500338</vt:lpwstr>
      </vt:variant>
      <vt:variant>
        <vt:i4>1441843</vt:i4>
      </vt:variant>
      <vt:variant>
        <vt:i4>206</vt:i4>
      </vt:variant>
      <vt:variant>
        <vt:i4>0</vt:i4>
      </vt:variant>
      <vt:variant>
        <vt:i4>5</vt:i4>
      </vt:variant>
      <vt:variant>
        <vt:lpwstr/>
      </vt:variant>
      <vt:variant>
        <vt:lpwstr>_Toc171500337</vt:lpwstr>
      </vt:variant>
      <vt:variant>
        <vt:i4>1441843</vt:i4>
      </vt:variant>
      <vt:variant>
        <vt:i4>200</vt:i4>
      </vt:variant>
      <vt:variant>
        <vt:i4>0</vt:i4>
      </vt:variant>
      <vt:variant>
        <vt:i4>5</vt:i4>
      </vt:variant>
      <vt:variant>
        <vt:lpwstr/>
      </vt:variant>
      <vt:variant>
        <vt:lpwstr>_Toc171500336</vt:lpwstr>
      </vt:variant>
      <vt:variant>
        <vt:i4>1441843</vt:i4>
      </vt:variant>
      <vt:variant>
        <vt:i4>194</vt:i4>
      </vt:variant>
      <vt:variant>
        <vt:i4>0</vt:i4>
      </vt:variant>
      <vt:variant>
        <vt:i4>5</vt:i4>
      </vt:variant>
      <vt:variant>
        <vt:lpwstr/>
      </vt:variant>
      <vt:variant>
        <vt:lpwstr>_Toc171500335</vt:lpwstr>
      </vt:variant>
      <vt:variant>
        <vt:i4>1441843</vt:i4>
      </vt:variant>
      <vt:variant>
        <vt:i4>188</vt:i4>
      </vt:variant>
      <vt:variant>
        <vt:i4>0</vt:i4>
      </vt:variant>
      <vt:variant>
        <vt:i4>5</vt:i4>
      </vt:variant>
      <vt:variant>
        <vt:lpwstr/>
      </vt:variant>
      <vt:variant>
        <vt:lpwstr>_Toc171500334</vt:lpwstr>
      </vt:variant>
      <vt:variant>
        <vt:i4>1441843</vt:i4>
      </vt:variant>
      <vt:variant>
        <vt:i4>182</vt:i4>
      </vt:variant>
      <vt:variant>
        <vt:i4>0</vt:i4>
      </vt:variant>
      <vt:variant>
        <vt:i4>5</vt:i4>
      </vt:variant>
      <vt:variant>
        <vt:lpwstr/>
      </vt:variant>
      <vt:variant>
        <vt:lpwstr>_Toc171500333</vt:lpwstr>
      </vt:variant>
      <vt:variant>
        <vt:i4>1441843</vt:i4>
      </vt:variant>
      <vt:variant>
        <vt:i4>176</vt:i4>
      </vt:variant>
      <vt:variant>
        <vt:i4>0</vt:i4>
      </vt:variant>
      <vt:variant>
        <vt:i4>5</vt:i4>
      </vt:variant>
      <vt:variant>
        <vt:lpwstr/>
      </vt:variant>
      <vt:variant>
        <vt:lpwstr>_Toc171500332</vt:lpwstr>
      </vt:variant>
      <vt:variant>
        <vt:i4>1441843</vt:i4>
      </vt:variant>
      <vt:variant>
        <vt:i4>170</vt:i4>
      </vt:variant>
      <vt:variant>
        <vt:i4>0</vt:i4>
      </vt:variant>
      <vt:variant>
        <vt:i4>5</vt:i4>
      </vt:variant>
      <vt:variant>
        <vt:lpwstr/>
      </vt:variant>
      <vt:variant>
        <vt:lpwstr>_Toc171500331</vt:lpwstr>
      </vt:variant>
      <vt:variant>
        <vt:i4>1441843</vt:i4>
      </vt:variant>
      <vt:variant>
        <vt:i4>164</vt:i4>
      </vt:variant>
      <vt:variant>
        <vt:i4>0</vt:i4>
      </vt:variant>
      <vt:variant>
        <vt:i4>5</vt:i4>
      </vt:variant>
      <vt:variant>
        <vt:lpwstr/>
      </vt:variant>
      <vt:variant>
        <vt:lpwstr>_Toc171500330</vt:lpwstr>
      </vt:variant>
      <vt:variant>
        <vt:i4>1507379</vt:i4>
      </vt:variant>
      <vt:variant>
        <vt:i4>158</vt:i4>
      </vt:variant>
      <vt:variant>
        <vt:i4>0</vt:i4>
      </vt:variant>
      <vt:variant>
        <vt:i4>5</vt:i4>
      </vt:variant>
      <vt:variant>
        <vt:lpwstr/>
      </vt:variant>
      <vt:variant>
        <vt:lpwstr>_Toc171500329</vt:lpwstr>
      </vt:variant>
      <vt:variant>
        <vt:i4>1507379</vt:i4>
      </vt:variant>
      <vt:variant>
        <vt:i4>152</vt:i4>
      </vt:variant>
      <vt:variant>
        <vt:i4>0</vt:i4>
      </vt:variant>
      <vt:variant>
        <vt:i4>5</vt:i4>
      </vt:variant>
      <vt:variant>
        <vt:lpwstr/>
      </vt:variant>
      <vt:variant>
        <vt:lpwstr>_Toc171500328</vt:lpwstr>
      </vt:variant>
      <vt:variant>
        <vt:i4>1507379</vt:i4>
      </vt:variant>
      <vt:variant>
        <vt:i4>146</vt:i4>
      </vt:variant>
      <vt:variant>
        <vt:i4>0</vt:i4>
      </vt:variant>
      <vt:variant>
        <vt:i4>5</vt:i4>
      </vt:variant>
      <vt:variant>
        <vt:lpwstr/>
      </vt:variant>
      <vt:variant>
        <vt:lpwstr>_Toc171500327</vt:lpwstr>
      </vt:variant>
      <vt:variant>
        <vt:i4>1507379</vt:i4>
      </vt:variant>
      <vt:variant>
        <vt:i4>140</vt:i4>
      </vt:variant>
      <vt:variant>
        <vt:i4>0</vt:i4>
      </vt:variant>
      <vt:variant>
        <vt:i4>5</vt:i4>
      </vt:variant>
      <vt:variant>
        <vt:lpwstr/>
      </vt:variant>
      <vt:variant>
        <vt:lpwstr>_Toc171500326</vt:lpwstr>
      </vt:variant>
      <vt:variant>
        <vt:i4>1507379</vt:i4>
      </vt:variant>
      <vt:variant>
        <vt:i4>134</vt:i4>
      </vt:variant>
      <vt:variant>
        <vt:i4>0</vt:i4>
      </vt:variant>
      <vt:variant>
        <vt:i4>5</vt:i4>
      </vt:variant>
      <vt:variant>
        <vt:lpwstr/>
      </vt:variant>
      <vt:variant>
        <vt:lpwstr>_Toc171500325</vt:lpwstr>
      </vt:variant>
      <vt:variant>
        <vt:i4>1507379</vt:i4>
      </vt:variant>
      <vt:variant>
        <vt:i4>128</vt:i4>
      </vt:variant>
      <vt:variant>
        <vt:i4>0</vt:i4>
      </vt:variant>
      <vt:variant>
        <vt:i4>5</vt:i4>
      </vt:variant>
      <vt:variant>
        <vt:lpwstr/>
      </vt:variant>
      <vt:variant>
        <vt:lpwstr>_Toc171500324</vt:lpwstr>
      </vt:variant>
      <vt:variant>
        <vt:i4>1507379</vt:i4>
      </vt:variant>
      <vt:variant>
        <vt:i4>122</vt:i4>
      </vt:variant>
      <vt:variant>
        <vt:i4>0</vt:i4>
      </vt:variant>
      <vt:variant>
        <vt:i4>5</vt:i4>
      </vt:variant>
      <vt:variant>
        <vt:lpwstr/>
      </vt:variant>
      <vt:variant>
        <vt:lpwstr>_Toc171500323</vt:lpwstr>
      </vt:variant>
      <vt:variant>
        <vt:i4>1507379</vt:i4>
      </vt:variant>
      <vt:variant>
        <vt:i4>116</vt:i4>
      </vt:variant>
      <vt:variant>
        <vt:i4>0</vt:i4>
      </vt:variant>
      <vt:variant>
        <vt:i4>5</vt:i4>
      </vt:variant>
      <vt:variant>
        <vt:lpwstr/>
      </vt:variant>
      <vt:variant>
        <vt:lpwstr>_Toc171500322</vt:lpwstr>
      </vt:variant>
      <vt:variant>
        <vt:i4>1507379</vt:i4>
      </vt:variant>
      <vt:variant>
        <vt:i4>110</vt:i4>
      </vt:variant>
      <vt:variant>
        <vt:i4>0</vt:i4>
      </vt:variant>
      <vt:variant>
        <vt:i4>5</vt:i4>
      </vt:variant>
      <vt:variant>
        <vt:lpwstr/>
      </vt:variant>
      <vt:variant>
        <vt:lpwstr>_Toc171500321</vt:lpwstr>
      </vt:variant>
      <vt:variant>
        <vt:i4>1507379</vt:i4>
      </vt:variant>
      <vt:variant>
        <vt:i4>104</vt:i4>
      </vt:variant>
      <vt:variant>
        <vt:i4>0</vt:i4>
      </vt:variant>
      <vt:variant>
        <vt:i4>5</vt:i4>
      </vt:variant>
      <vt:variant>
        <vt:lpwstr/>
      </vt:variant>
      <vt:variant>
        <vt:lpwstr>_Toc171500320</vt:lpwstr>
      </vt:variant>
      <vt:variant>
        <vt:i4>1310771</vt:i4>
      </vt:variant>
      <vt:variant>
        <vt:i4>98</vt:i4>
      </vt:variant>
      <vt:variant>
        <vt:i4>0</vt:i4>
      </vt:variant>
      <vt:variant>
        <vt:i4>5</vt:i4>
      </vt:variant>
      <vt:variant>
        <vt:lpwstr/>
      </vt:variant>
      <vt:variant>
        <vt:lpwstr>_Toc171500319</vt:lpwstr>
      </vt:variant>
      <vt:variant>
        <vt:i4>1310771</vt:i4>
      </vt:variant>
      <vt:variant>
        <vt:i4>92</vt:i4>
      </vt:variant>
      <vt:variant>
        <vt:i4>0</vt:i4>
      </vt:variant>
      <vt:variant>
        <vt:i4>5</vt:i4>
      </vt:variant>
      <vt:variant>
        <vt:lpwstr/>
      </vt:variant>
      <vt:variant>
        <vt:lpwstr>_Toc171500318</vt:lpwstr>
      </vt:variant>
      <vt:variant>
        <vt:i4>1310771</vt:i4>
      </vt:variant>
      <vt:variant>
        <vt:i4>86</vt:i4>
      </vt:variant>
      <vt:variant>
        <vt:i4>0</vt:i4>
      </vt:variant>
      <vt:variant>
        <vt:i4>5</vt:i4>
      </vt:variant>
      <vt:variant>
        <vt:lpwstr/>
      </vt:variant>
      <vt:variant>
        <vt:lpwstr>_Toc171500317</vt:lpwstr>
      </vt:variant>
      <vt:variant>
        <vt:i4>1310771</vt:i4>
      </vt:variant>
      <vt:variant>
        <vt:i4>80</vt:i4>
      </vt:variant>
      <vt:variant>
        <vt:i4>0</vt:i4>
      </vt:variant>
      <vt:variant>
        <vt:i4>5</vt:i4>
      </vt:variant>
      <vt:variant>
        <vt:lpwstr/>
      </vt:variant>
      <vt:variant>
        <vt:lpwstr>_Toc171500316</vt:lpwstr>
      </vt:variant>
      <vt:variant>
        <vt:i4>1310771</vt:i4>
      </vt:variant>
      <vt:variant>
        <vt:i4>74</vt:i4>
      </vt:variant>
      <vt:variant>
        <vt:i4>0</vt:i4>
      </vt:variant>
      <vt:variant>
        <vt:i4>5</vt:i4>
      </vt:variant>
      <vt:variant>
        <vt:lpwstr/>
      </vt:variant>
      <vt:variant>
        <vt:lpwstr>_Toc171500315</vt:lpwstr>
      </vt:variant>
      <vt:variant>
        <vt:i4>1310771</vt:i4>
      </vt:variant>
      <vt:variant>
        <vt:i4>68</vt:i4>
      </vt:variant>
      <vt:variant>
        <vt:i4>0</vt:i4>
      </vt:variant>
      <vt:variant>
        <vt:i4>5</vt:i4>
      </vt:variant>
      <vt:variant>
        <vt:lpwstr/>
      </vt:variant>
      <vt:variant>
        <vt:lpwstr>_Toc171500314</vt:lpwstr>
      </vt:variant>
      <vt:variant>
        <vt:i4>1310771</vt:i4>
      </vt:variant>
      <vt:variant>
        <vt:i4>62</vt:i4>
      </vt:variant>
      <vt:variant>
        <vt:i4>0</vt:i4>
      </vt:variant>
      <vt:variant>
        <vt:i4>5</vt:i4>
      </vt:variant>
      <vt:variant>
        <vt:lpwstr/>
      </vt:variant>
      <vt:variant>
        <vt:lpwstr>_Toc171500313</vt:lpwstr>
      </vt:variant>
      <vt:variant>
        <vt:i4>1310771</vt:i4>
      </vt:variant>
      <vt:variant>
        <vt:i4>56</vt:i4>
      </vt:variant>
      <vt:variant>
        <vt:i4>0</vt:i4>
      </vt:variant>
      <vt:variant>
        <vt:i4>5</vt:i4>
      </vt:variant>
      <vt:variant>
        <vt:lpwstr/>
      </vt:variant>
      <vt:variant>
        <vt:lpwstr>_Toc171500312</vt:lpwstr>
      </vt:variant>
      <vt:variant>
        <vt:i4>1310771</vt:i4>
      </vt:variant>
      <vt:variant>
        <vt:i4>50</vt:i4>
      </vt:variant>
      <vt:variant>
        <vt:i4>0</vt:i4>
      </vt:variant>
      <vt:variant>
        <vt:i4>5</vt:i4>
      </vt:variant>
      <vt:variant>
        <vt:lpwstr/>
      </vt:variant>
      <vt:variant>
        <vt:lpwstr>_Toc171500311</vt:lpwstr>
      </vt:variant>
      <vt:variant>
        <vt:i4>1310771</vt:i4>
      </vt:variant>
      <vt:variant>
        <vt:i4>44</vt:i4>
      </vt:variant>
      <vt:variant>
        <vt:i4>0</vt:i4>
      </vt:variant>
      <vt:variant>
        <vt:i4>5</vt:i4>
      </vt:variant>
      <vt:variant>
        <vt:lpwstr/>
      </vt:variant>
      <vt:variant>
        <vt:lpwstr>_Toc171500310</vt:lpwstr>
      </vt:variant>
      <vt:variant>
        <vt:i4>1376307</vt:i4>
      </vt:variant>
      <vt:variant>
        <vt:i4>38</vt:i4>
      </vt:variant>
      <vt:variant>
        <vt:i4>0</vt:i4>
      </vt:variant>
      <vt:variant>
        <vt:i4>5</vt:i4>
      </vt:variant>
      <vt:variant>
        <vt:lpwstr/>
      </vt:variant>
      <vt:variant>
        <vt:lpwstr>_Toc171500309</vt:lpwstr>
      </vt:variant>
      <vt:variant>
        <vt:i4>1376307</vt:i4>
      </vt:variant>
      <vt:variant>
        <vt:i4>32</vt:i4>
      </vt:variant>
      <vt:variant>
        <vt:i4>0</vt:i4>
      </vt:variant>
      <vt:variant>
        <vt:i4>5</vt:i4>
      </vt:variant>
      <vt:variant>
        <vt:lpwstr/>
      </vt:variant>
      <vt:variant>
        <vt:lpwstr>_Toc171500308</vt:lpwstr>
      </vt:variant>
      <vt:variant>
        <vt:i4>1376307</vt:i4>
      </vt:variant>
      <vt:variant>
        <vt:i4>26</vt:i4>
      </vt:variant>
      <vt:variant>
        <vt:i4>0</vt:i4>
      </vt:variant>
      <vt:variant>
        <vt:i4>5</vt:i4>
      </vt:variant>
      <vt:variant>
        <vt:lpwstr/>
      </vt:variant>
      <vt:variant>
        <vt:lpwstr>_Toc171500307</vt:lpwstr>
      </vt:variant>
      <vt:variant>
        <vt:i4>1376307</vt:i4>
      </vt:variant>
      <vt:variant>
        <vt:i4>20</vt:i4>
      </vt:variant>
      <vt:variant>
        <vt:i4>0</vt:i4>
      </vt:variant>
      <vt:variant>
        <vt:i4>5</vt:i4>
      </vt:variant>
      <vt:variant>
        <vt:lpwstr/>
      </vt:variant>
      <vt:variant>
        <vt:lpwstr>_Toc171500306</vt:lpwstr>
      </vt:variant>
      <vt:variant>
        <vt:i4>1376307</vt:i4>
      </vt:variant>
      <vt:variant>
        <vt:i4>14</vt:i4>
      </vt:variant>
      <vt:variant>
        <vt:i4>0</vt:i4>
      </vt:variant>
      <vt:variant>
        <vt:i4>5</vt:i4>
      </vt:variant>
      <vt:variant>
        <vt:lpwstr/>
      </vt:variant>
      <vt:variant>
        <vt:lpwstr>_Toc171500305</vt:lpwstr>
      </vt:variant>
      <vt:variant>
        <vt:i4>1376307</vt:i4>
      </vt:variant>
      <vt:variant>
        <vt:i4>8</vt:i4>
      </vt:variant>
      <vt:variant>
        <vt:i4>0</vt:i4>
      </vt:variant>
      <vt:variant>
        <vt:i4>5</vt:i4>
      </vt:variant>
      <vt:variant>
        <vt:lpwstr/>
      </vt:variant>
      <vt:variant>
        <vt:lpwstr>_Toc171500304</vt:lpwstr>
      </vt:variant>
      <vt:variant>
        <vt:i4>1376307</vt:i4>
      </vt:variant>
      <vt:variant>
        <vt:i4>2</vt:i4>
      </vt:variant>
      <vt:variant>
        <vt:i4>0</vt:i4>
      </vt:variant>
      <vt:variant>
        <vt:i4>5</vt:i4>
      </vt:variant>
      <vt:variant>
        <vt:lpwstr/>
      </vt:variant>
      <vt:variant>
        <vt:lpwstr>_Toc171500303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Nation Brand - Front cover template</dc:title>
  <dc:subject/>
  <dc:creator>Fernando-Ramirez [Canberra]</dc:creator>
  <cp:keywords>Template</cp:keywords>
  <dc:description/>
  <cp:lastModifiedBy>Fernando-Ramirez [Canberra]</cp:lastModifiedBy>
  <cp:revision>40</cp:revision>
  <cp:lastPrinted>2024-07-01T16:15:00Z</cp:lastPrinted>
  <dcterms:created xsi:type="dcterms:W3CDTF">2024-07-12T03:39:00Z</dcterms:created>
  <dcterms:modified xsi:type="dcterms:W3CDTF">2024-07-12T07:10:00Z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0x0101005D813DAB6534304797DEF4E972DCD22C</vt:lpwstr>
  </property>
</Properties>
</file>