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8892901" w:displacedByCustomXml="next"/>
    <w:sdt>
      <w:sdtPr>
        <w:rPr>
          <w:rFonts w:ascii="Verdana" w:hAnsi="Verdana"/>
          <w:b/>
          <w:bCs/>
          <w:color w:val="00694B" w:themeColor="accent3"/>
        </w:rPr>
        <w:id w:val="-1649280474"/>
        <w:docPartObj>
          <w:docPartGallery w:val="Cover Pages"/>
          <w:docPartUnique/>
        </w:docPartObj>
      </w:sdtPr>
      <w:sdtEndPr>
        <w:rPr>
          <w:color w:val="auto"/>
        </w:rPr>
      </w:sdtEndPr>
      <w:sdtContent>
        <w:p w14:paraId="2C3FAC92" w14:textId="67AC2091" w:rsidR="00501469" w:rsidRPr="002322B7" w:rsidRDefault="00543750" w:rsidP="00257319">
          <w:r w:rsidRPr="002322B7">
            <w:rPr>
              <w:noProof/>
            </w:rPr>
            <w:drawing>
              <wp:anchor distT="0" distB="0" distL="114300" distR="114300" simplePos="0" relativeHeight="251658240" behindDoc="1" locked="1" layoutInCell="1" allowOverlap="1" wp14:anchorId="65ED824E" wp14:editId="32094BED">
                <wp:simplePos x="0" y="0"/>
                <wp:positionH relativeFrom="margin">
                  <wp:posOffset>-678815</wp:posOffset>
                </wp:positionH>
                <wp:positionV relativeFrom="page">
                  <wp:posOffset>-60960</wp:posOffset>
                </wp:positionV>
                <wp:extent cx="7620000" cy="1081024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620000" cy="10810240"/>
                        </a:xfrm>
                        <a:prstGeom prst="rect">
                          <a:avLst/>
                        </a:prstGeom>
                      </pic:spPr>
                    </pic:pic>
                  </a:graphicData>
                </a:graphic>
                <wp14:sizeRelH relativeFrom="page">
                  <wp14:pctWidth>0</wp14:pctWidth>
                </wp14:sizeRelH>
                <wp14:sizeRelV relativeFrom="page">
                  <wp14:pctHeight>0</wp14:pctHeight>
                </wp14:sizeRelV>
              </wp:anchor>
            </w:drawing>
          </w:r>
        </w:p>
        <w:p w14:paraId="21CC38E7" w14:textId="77777777" w:rsidR="00501469" w:rsidRPr="002322B7" w:rsidRDefault="00501469" w:rsidP="00257319"/>
        <w:p w14:paraId="32AFC3EB" w14:textId="77777777" w:rsidR="00501469" w:rsidRPr="002322B7" w:rsidRDefault="00501469" w:rsidP="00257319"/>
        <w:p w14:paraId="1BFBEB96" w14:textId="14650FA5" w:rsidR="00DE709D" w:rsidRPr="002322B7" w:rsidRDefault="00E704C3" w:rsidP="00257319">
          <w:pPr>
            <w:pStyle w:val="Coverpage-header"/>
            <w:jc w:val="left"/>
            <w:rPr>
              <w:lang w:val="en-AU"/>
            </w:rPr>
          </w:pPr>
          <w:bookmarkStart w:id="1" w:name="_Hlk118890678"/>
          <w:r w:rsidRPr="002322B7">
            <w:rPr>
              <w:lang w:val="en-AU"/>
            </w:rPr>
            <w:t>Why Australia</w:t>
          </w:r>
        </w:p>
        <w:bookmarkEnd w:id="1"/>
        <w:p w14:paraId="2A898B79" w14:textId="77777777" w:rsidR="00B4699C" w:rsidRPr="002322B7" w:rsidRDefault="00B4699C" w:rsidP="00257319">
          <w:pPr>
            <w:pStyle w:val="Subtitle"/>
            <w:jc w:val="left"/>
          </w:pPr>
        </w:p>
        <w:p w14:paraId="79B85A59" w14:textId="77777777" w:rsidR="00B4699C" w:rsidRPr="002322B7" w:rsidRDefault="00B4699C" w:rsidP="00257319">
          <w:pPr>
            <w:pStyle w:val="Subtitle"/>
            <w:jc w:val="left"/>
          </w:pPr>
        </w:p>
        <w:p w14:paraId="306F0DC8" w14:textId="1F147E2C" w:rsidR="00B4699C" w:rsidRPr="002322B7" w:rsidRDefault="00E704C3" w:rsidP="00257319">
          <w:pPr>
            <w:pStyle w:val="Coverpage-subtitleanddate"/>
            <w:jc w:val="left"/>
          </w:pPr>
          <w:r w:rsidRPr="002322B7">
            <w:t>Benchmark Report 202</w:t>
          </w:r>
          <w:r w:rsidR="005B368E" w:rsidRPr="002322B7">
            <w:t>4</w:t>
          </w:r>
        </w:p>
        <w:p w14:paraId="2F707877" w14:textId="77777777" w:rsidR="00B4699C" w:rsidRPr="002322B7" w:rsidRDefault="00B4699C" w:rsidP="00257319">
          <w:pPr>
            <w:pStyle w:val="Subtitle"/>
            <w:jc w:val="left"/>
          </w:pPr>
        </w:p>
        <w:p w14:paraId="08CA39A9" w14:textId="4DDC845A" w:rsidR="00B4699C" w:rsidRPr="002322B7" w:rsidRDefault="005F6C6C" w:rsidP="00257319">
          <w:pPr>
            <w:pStyle w:val="CoverPageSubtitle"/>
            <w:jc w:val="left"/>
          </w:pPr>
          <w:r w:rsidRPr="002322B7">
            <w:t>Ju</w:t>
          </w:r>
          <w:r w:rsidR="00F513D0">
            <w:t>ly</w:t>
          </w:r>
          <w:r w:rsidR="008D6A73" w:rsidRPr="002322B7">
            <w:t xml:space="preserve"> 2024</w:t>
          </w:r>
        </w:p>
        <w:p w14:paraId="5112C65C" w14:textId="77777777" w:rsidR="003E38E3" w:rsidRPr="002322B7" w:rsidRDefault="003E38E3" w:rsidP="00257319">
          <w:pPr>
            <w:pStyle w:val="Heading2"/>
          </w:pPr>
        </w:p>
        <w:p w14:paraId="58509994" w14:textId="77777777" w:rsidR="00B11AF6" w:rsidRPr="002322B7" w:rsidRDefault="00B11AF6" w:rsidP="00257319"/>
        <w:p w14:paraId="27209AA9" w14:textId="77777777" w:rsidR="00B11AF6" w:rsidRPr="002322B7" w:rsidRDefault="00B11AF6" w:rsidP="00257319"/>
        <w:p w14:paraId="28D9FB58" w14:textId="77777777" w:rsidR="00B11AF6" w:rsidRPr="002322B7" w:rsidRDefault="00B11AF6" w:rsidP="00257319"/>
        <w:p w14:paraId="4D8C306A" w14:textId="77777777" w:rsidR="00B11AF6" w:rsidRPr="002322B7" w:rsidRDefault="00B11AF6" w:rsidP="00257319"/>
        <w:p w14:paraId="162A3D5C" w14:textId="77777777" w:rsidR="005E3CF0" w:rsidRPr="002322B7" w:rsidRDefault="005E3CF0" w:rsidP="00257319">
          <w:r w:rsidRPr="002322B7">
            <w:br w:type="page"/>
          </w:r>
        </w:p>
        <w:p w14:paraId="6F4C23CB" w14:textId="77777777" w:rsidR="002C65C2" w:rsidRPr="002322B7" w:rsidRDefault="002C65C2" w:rsidP="00257319">
          <w:pPr>
            <w:pStyle w:val="Heading-level1"/>
          </w:pPr>
          <w:bookmarkStart w:id="2" w:name="_Toc178256543"/>
          <w:r w:rsidRPr="002322B7">
            <w:lastRenderedPageBreak/>
            <w:t>Contents</w:t>
          </w:r>
          <w:bookmarkEnd w:id="2"/>
        </w:p>
        <w:sdt>
          <w:sdtPr>
            <w:id w:val="782928278"/>
            <w:docPartObj>
              <w:docPartGallery w:val="Table of Contents"/>
              <w:docPartUnique/>
            </w:docPartObj>
          </w:sdtPr>
          <w:sdtEndPr>
            <w:rPr>
              <w:b/>
              <w:bCs/>
              <w:noProof/>
            </w:rPr>
          </w:sdtEndPr>
          <w:sdtContent>
            <w:p w14:paraId="622B1DFF" w14:textId="66ABB5CD" w:rsidR="006D17B1" w:rsidRDefault="00145000">
              <w:pPr>
                <w:pStyle w:val="TOC1"/>
                <w:rPr>
                  <w:rFonts w:eastAsiaTheme="minorEastAsia"/>
                  <w:noProof/>
                  <w:kern w:val="2"/>
                  <w:sz w:val="24"/>
                  <w:szCs w:val="24"/>
                  <w:lang w:eastAsia="en-AU"/>
                  <w14:ligatures w14:val="standardContextual"/>
                </w:rPr>
              </w:pPr>
              <w:r w:rsidRPr="002322B7">
                <w:fldChar w:fldCharType="begin"/>
              </w:r>
              <w:r w:rsidRPr="002322B7">
                <w:instrText xml:space="preserve"> TOC \o "1-4" \h \z \t "Heading - level 2,2" </w:instrText>
              </w:r>
              <w:r w:rsidRPr="002322B7">
                <w:fldChar w:fldCharType="separate"/>
              </w:r>
              <w:hyperlink w:anchor="_Toc178256543" w:history="1">
                <w:r w:rsidR="006D17B1" w:rsidRPr="00222CE6">
                  <w:rPr>
                    <w:rStyle w:val="Hyperlink"/>
                    <w:noProof/>
                  </w:rPr>
                  <w:t>Contents</w:t>
                </w:r>
                <w:r w:rsidR="006D17B1">
                  <w:rPr>
                    <w:noProof/>
                    <w:webHidden/>
                  </w:rPr>
                  <w:tab/>
                </w:r>
                <w:r w:rsidR="006D17B1">
                  <w:rPr>
                    <w:noProof/>
                    <w:webHidden/>
                  </w:rPr>
                  <w:fldChar w:fldCharType="begin"/>
                </w:r>
                <w:r w:rsidR="006D17B1">
                  <w:rPr>
                    <w:noProof/>
                    <w:webHidden/>
                  </w:rPr>
                  <w:instrText xml:space="preserve"> PAGEREF _Toc178256543 \h </w:instrText>
                </w:r>
                <w:r w:rsidR="006D17B1">
                  <w:rPr>
                    <w:noProof/>
                    <w:webHidden/>
                  </w:rPr>
                </w:r>
                <w:r w:rsidR="006D17B1">
                  <w:rPr>
                    <w:noProof/>
                    <w:webHidden/>
                  </w:rPr>
                  <w:fldChar w:fldCharType="separate"/>
                </w:r>
                <w:r w:rsidR="006D17B1">
                  <w:rPr>
                    <w:noProof/>
                    <w:webHidden/>
                  </w:rPr>
                  <w:t>1</w:t>
                </w:r>
                <w:r w:rsidR="006D17B1">
                  <w:rPr>
                    <w:noProof/>
                    <w:webHidden/>
                  </w:rPr>
                  <w:fldChar w:fldCharType="end"/>
                </w:r>
              </w:hyperlink>
            </w:p>
            <w:p w14:paraId="2B2AB593" w14:textId="04AAF65B" w:rsidR="006D17B1" w:rsidRDefault="00000000">
              <w:pPr>
                <w:pStyle w:val="TOC1"/>
                <w:rPr>
                  <w:rFonts w:eastAsiaTheme="minorEastAsia"/>
                  <w:noProof/>
                  <w:kern w:val="2"/>
                  <w:sz w:val="24"/>
                  <w:szCs w:val="24"/>
                  <w:lang w:eastAsia="en-AU"/>
                  <w14:ligatures w14:val="standardContextual"/>
                </w:rPr>
              </w:pPr>
              <w:hyperlink w:anchor="_Toc178256544" w:history="1">
                <w:r w:rsidR="006D17B1" w:rsidRPr="00222CE6">
                  <w:rPr>
                    <w:rStyle w:val="Hyperlink"/>
                    <w:noProof/>
                  </w:rPr>
                  <w:t>CEO’s foreword</w:t>
                </w:r>
                <w:r w:rsidR="006D17B1">
                  <w:rPr>
                    <w:noProof/>
                    <w:webHidden/>
                  </w:rPr>
                  <w:tab/>
                </w:r>
                <w:r w:rsidR="006D17B1">
                  <w:rPr>
                    <w:noProof/>
                    <w:webHidden/>
                  </w:rPr>
                  <w:fldChar w:fldCharType="begin"/>
                </w:r>
                <w:r w:rsidR="006D17B1">
                  <w:rPr>
                    <w:noProof/>
                    <w:webHidden/>
                  </w:rPr>
                  <w:instrText xml:space="preserve"> PAGEREF _Toc178256544 \h </w:instrText>
                </w:r>
                <w:r w:rsidR="006D17B1">
                  <w:rPr>
                    <w:noProof/>
                    <w:webHidden/>
                  </w:rPr>
                </w:r>
                <w:r w:rsidR="006D17B1">
                  <w:rPr>
                    <w:noProof/>
                    <w:webHidden/>
                  </w:rPr>
                  <w:fldChar w:fldCharType="separate"/>
                </w:r>
                <w:r w:rsidR="006D17B1">
                  <w:rPr>
                    <w:noProof/>
                    <w:webHidden/>
                  </w:rPr>
                  <w:t>5</w:t>
                </w:r>
                <w:r w:rsidR="006D17B1">
                  <w:rPr>
                    <w:noProof/>
                    <w:webHidden/>
                  </w:rPr>
                  <w:fldChar w:fldCharType="end"/>
                </w:r>
              </w:hyperlink>
            </w:p>
            <w:p w14:paraId="20849E7F" w14:textId="73A672AA" w:rsidR="006D17B1" w:rsidRDefault="00000000">
              <w:pPr>
                <w:pStyle w:val="TOC1"/>
                <w:rPr>
                  <w:rFonts w:eastAsiaTheme="minorEastAsia"/>
                  <w:noProof/>
                  <w:kern w:val="2"/>
                  <w:sz w:val="24"/>
                  <w:szCs w:val="24"/>
                  <w:lang w:eastAsia="en-AU"/>
                  <w14:ligatures w14:val="standardContextual"/>
                </w:rPr>
              </w:pPr>
              <w:hyperlink w:anchor="_Toc178256545" w:history="1">
                <w:r w:rsidR="006D17B1" w:rsidRPr="00222CE6">
                  <w:rPr>
                    <w:rStyle w:val="Hyperlink"/>
                    <w:noProof/>
                  </w:rPr>
                  <w:t>Chapter 1 – Fundamentals</w:t>
                </w:r>
                <w:r w:rsidR="006D17B1">
                  <w:rPr>
                    <w:noProof/>
                    <w:webHidden/>
                  </w:rPr>
                  <w:tab/>
                </w:r>
                <w:r w:rsidR="006D17B1">
                  <w:rPr>
                    <w:noProof/>
                    <w:webHidden/>
                  </w:rPr>
                  <w:fldChar w:fldCharType="begin"/>
                </w:r>
                <w:r w:rsidR="006D17B1">
                  <w:rPr>
                    <w:noProof/>
                    <w:webHidden/>
                  </w:rPr>
                  <w:instrText xml:space="preserve"> PAGEREF _Toc178256545 \h </w:instrText>
                </w:r>
                <w:r w:rsidR="006D17B1">
                  <w:rPr>
                    <w:noProof/>
                    <w:webHidden/>
                  </w:rPr>
                </w:r>
                <w:r w:rsidR="006D17B1">
                  <w:rPr>
                    <w:noProof/>
                    <w:webHidden/>
                  </w:rPr>
                  <w:fldChar w:fldCharType="separate"/>
                </w:r>
                <w:r w:rsidR="006D17B1">
                  <w:rPr>
                    <w:noProof/>
                    <w:webHidden/>
                  </w:rPr>
                  <w:t>6</w:t>
                </w:r>
                <w:r w:rsidR="006D17B1">
                  <w:rPr>
                    <w:noProof/>
                    <w:webHidden/>
                  </w:rPr>
                  <w:fldChar w:fldCharType="end"/>
                </w:r>
              </w:hyperlink>
            </w:p>
            <w:p w14:paraId="1AC13CAA" w14:textId="25868001" w:rsidR="006D17B1" w:rsidRDefault="00000000">
              <w:pPr>
                <w:pStyle w:val="TOC2"/>
                <w:rPr>
                  <w:rFonts w:cstheme="minorBidi"/>
                  <w:noProof/>
                  <w:kern w:val="2"/>
                  <w:sz w:val="24"/>
                  <w:szCs w:val="24"/>
                  <w:lang w:val="en-AU" w:eastAsia="en-AU"/>
                  <w14:ligatures w14:val="standardContextual"/>
                </w:rPr>
              </w:pPr>
              <w:hyperlink w:anchor="_Toc178256546" w:history="1">
                <w:r w:rsidR="006D17B1" w:rsidRPr="00222CE6">
                  <w:rPr>
                    <w:rStyle w:val="Hyperlink"/>
                    <w:noProof/>
                  </w:rPr>
                  <w:t>The world’s 13</w:t>
                </w:r>
                <w:r w:rsidR="006D17B1" w:rsidRPr="00222CE6">
                  <w:rPr>
                    <w:rStyle w:val="Hyperlink"/>
                    <w:noProof/>
                    <w:vertAlign w:val="superscript"/>
                  </w:rPr>
                  <w:t>th</w:t>
                </w:r>
                <w:r w:rsidR="006D17B1" w:rsidRPr="00222CE6">
                  <w:rPr>
                    <w:rStyle w:val="Hyperlink"/>
                    <w:noProof/>
                  </w:rPr>
                  <w:t>-largest economy</w:t>
                </w:r>
                <w:r w:rsidR="006D17B1">
                  <w:rPr>
                    <w:noProof/>
                    <w:webHidden/>
                  </w:rPr>
                  <w:tab/>
                </w:r>
                <w:r w:rsidR="006D17B1">
                  <w:rPr>
                    <w:noProof/>
                    <w:webHidden/>
                  </w:rPr>
                  <w:fldChar w:fldCharType="begin"/>
                </w:r>
                <w:r w:rsidR="006D17B1">
                  <w:rPr>
                    <w:noProof/>
                    <w:webHidden/>
                  </w:rPr>
                  <w:instrText xml:space="preserve"> PAGEREF _Toc178256546 \h </w:instrText>
                </w:r>
                <w:r w:rsidR="006D17B1">
                  <w:rPr>
                    <w:noProof/>
                    <w:webHidden/>
                  </w:rPr>
                </w:r>
                <w:r w:rsidR="006D17B1">
                  <w:rPr>
                    <w:noProof/>
                    <w:webHidden/>
                  </w:rPr>
                  <w:fldChar w:fldCharType="separate"/>
                </w:r>
                <w:r w:rsidR="006D17B1">
                  <w:rPr>
                    <w:noProof/>
                    <w:webHidden/>
                  </w:rPr>
                  <w:t>7</w:t>
                </w:r>
                <w:r w:rsidR="006D17B1">
                  <w:rPr>
                    <w:noProof/>
                    <w:webHidden/>
                  </w:rPr>
                  <w:fldChar w:fldCharType="end"/>
                </w:r>
              </w:hyperlink>
            </w:p>
            <w:p w14:paraId="02410706" w14:textId="0F0F3A4C" w:rsidR="006D17B1" w:rsidRDefault="00000000">
              <w:pPr>
                <w:pStyle w:val="TOC2"/>
                <w:rPr>
                  <w:rFonts w:cstheme="minorBidi"/>
                  <w:noProof/>
                  <w:kern w:val="2"/>
                  <w:sz w:val="24"/>
                  <w:szCs w:val="24"/>
                  <w:lang w:val="en-AU" w:eastAsia="en-AU"/>
                  <w14:ligatures w14:val="standardContextual"/>
                </w:rPr>
              </w:pPr>
              <w:hyperlink w:anchor="_Toc178256547" w:history="1">
                <w:r w:rsidR="006D17B1" w:rsidRPr="00222CE6">
                  <w:rPr>
                    <w:rStyle w:val="Hyperlink"/>
                    <w:noProof/>
                  </w:rPr>
                  <w:t>Our outperforming economy</w:t>
                </w:r>
                <w:r w:rsidR="006D17B1">
                  <w:rPr>
                    <w:noProof/>
                    <w:webHidden/>
                  </w:rPr>
                  <w:tab/>
                </w:r>
                <w:r w:rsidR="006D17B1">
                  <w:rPr>
                    <w:noProof/>
                    <w:webHidden/>
                  </w:rPr>
                  <w:fldChar w:fldCharType="begin"/>
                </w:r>
                <w:r w:rsidR="006D17B1">
                  <w:rPr>
                    <w:noProof/>
                    <w:webHidden/>
                  </w:rPr>
                  <w:instrText xml:space="preserve"> PAGEREF _Toc178256547 \h </w:instrText>
                </w:r>
                <w:r w:rsidR="006D17B1">
                  <w:rPr>
                    <w:noProof/>
                    <w:webHidden/>
                  </w:rPr>
                </w:r>
                <w:r w:rsidR="006D17B1">
                  <w:rPr>
                    <w:noProof/>
                    <w:webHidden/>
                  </w:rPr>
                  <w:fldChar w:fldCharType="separate"/>
                </w:r>
                <w:r w:rsidR="006D17B1">
                  <w:rPr>
                    <w:noProof/>
                    <w:webHidden/>
                  </w:rPr>
                  <w:t>8</w:t>
                </w:r>
                <w:r w:rsidR="006D17B1">
                  <w:rPr>
                    <w:noProof/>
                    <w:webHidden/>
                  </w:rPr>
                  <w:fldChar w:fldCharType="end"/>
                </w:r>
              </w:hyperlink>
            </w:p>
            <w:p w14:paraId="13B72CAD" w14:textId="5D3EDB13" w:rsidR="006D17B1" w:rsidRDefault="00000000">
              <w:pPr>
                <w:pStyle w:val="TOC2"/>
                <w:rPr>
                  <w:rFonts w:cstheme="minorBidi"/>
                  <w:noProof/>
                  <w:kern w:val="2"/>
                  <w:sz w:val="24"/>
                  <w:szCs w:val="24"/>
                  <w:lang w:val="en-AU" w:eastAsia="en-AU"/>
                  <w14:ligatures w14:val="standardContextual"/>
                </w:rPr>
              </w:pPr>
              <w:hyperlink w:anchor="_Toc178256548" w:history="1">
                <w:r w:rsidR="006D17B1" w:rsidRPr="00222CE6">
                  <w:rPr>
                    <w:rStyle w:val="Hyperlink"/>
                    <w:noProof/>
                  </w:rPr>
                  <w:t>Australia is a low-tax country</w:t>
                </w:r>
                <w:r w:rsidR="006D17B1">
                  <w:rPr>
                    <w:noProof/>
                    <w:webHidden/>
                  </w:rPr>
                  <w:tab/>
                </w:r>
                <w:r w:rsidR="006D17B1">
                  <w:rPr>
                    <w:noProof/>
                    <w:webHidden/>
                  </w:rPr>
                  <w:fldChar w:fldCharType="begin"/>
                </w:r>
                <w:r w:rsidR="006D17B1">
                  <w:rPr>
                    <w:noProof/>
                    <w:webHidden/>
                  </w:rPr>
                  <w:instrText xml:space="preserve"> PAGEREF _Toc178256548 \h </w:instrText>
                </w:r>
                <w:r w:rsidR="006D17B1">
                  <w:rPr>
                    <w:noProof/>
                    <w:webHidden/>
                  </w:rPr>
                </w:r>
                <w:r w:rsidR="006D17B1">
                  <w:rPr>
                    <w:noProof/>
                    <w:webHidden/>
                  </w:rPr>
                  <w:fldChar w:fldCharType="separate"/>
                </w:r>
                <w:r w:rsidR="006D17B1">
                  <w:rPr>
                    <w:noProof/>
                    <w:webHidden/>
                  </w:rPr>
                  <w:t>9</w:t>
                </w:r>
                <w:r w:rsidR="006D17B1">
                  <w:rPr>
                    <w:noProof/>
                    <w:webHidden/>
                  </w:rPr>
                  <w:fldChar w:fldCharType="end"/>
                </w:r>
              </w:hyperlink>
            </w:p>
            <w:p w14:paraId="7539A4DD" w14:textId="76E6919E" w:rsidR="006D17B1" w:rsidRDefault="00000000">
              <w:pPr>
                <w:pStyle w:val="TOC2"/>
                <w:rPr>
                  <w:rFonts w:cstheme="minorBidi"/>
                  <w:noProof/>
                  <w:kern w:val="2"/>
                  <w:sz w:val="24"/>
                  <w:szCs w:val="24"/>
                  <w:lang w:val="en-AU" w:eastAsia="en-AU"/>
                  <w14:ligatures w14:val="standardContextual"/>
                </w:rPr>
              </w:pPr>
              <w:hyperlink w:anchor="_Toc178256549" w:history="1">
                <w:r w:rsidR="006D17B1" w:rsidRPr="00222CE6">
                  <w:rPr>
                    <w:rStyle w:val="Hyperlink"/>
                    <w:noProof/>
                  </w:rPr>
                  <w:t>Good governance, strong institutions and the rule of law</w:t>
                </w:r>
                <w:r w:rsidR="006D17B1">
                  <w:rPr>
                    <w:noProof/>
                    <w:webHidden/>
                  </w:rPr>
                  <w:tab/>
                </w:r>
                <w:r w:rsidR="006D17B1">
                  <w:rPr>
                    <w:noProof/>
                    <w:webHidden/>
                  </w:rPr>
                  <w:fldChar w:fldCharType="begin"/>
                </w:r>
                <w:r w:rsidR="006D17B1">
                  <w:rPr>
                    <w:noProof/>
                    <w:webHidden/>
                  </w:rPr>
                  <w:instrText xml:space="preserve"> PAGEREF _Toc178256549 \h </w:instrText>
                </w:r>
                <w:r w:rsidR="006D17B1">
                  <w:rPr>
                    <w:noProof/>
                    <w:webHidden/>
                  </w:rPr>
                </w:r>
                <w:r w:rsidR="006D17B1">
                  <w:rPr>
                    <w:noProof/>
                    <w:webHidden/>
                  </w:rPr>
                  <w:fldChar w:fldCharType="separate"/>
                </w:r>
                <w:r w:rsidR="006D17B1">
                  <w:rPr>
                    <w:noProof/>
                    <w:webHidden/>
                  </w:rPr>
                  <w:t>10</w:t>
                </w:r>
                <w:r w:rsidR="006D17B1">
                  <w:rPr>
                    <w:noProof/>
                    <w:webHidden/>
                  </w:rPr>
                  <w:fldChar w:fldCharType="end"/>
                </w:r>
              </w:hyperlink>
            </w:p>
            <w:p w14:paraId="3F76B616" w14:textId="5C891F8A" w:rsidR="006D17B1" w:rsidRDefault="00000000">
              <w:pPr>
                <w:pStyle w:val="TOC2"/>
                <w:rPr>
                  <w:rFonts w:cstheme="minorBidi"/>
                  <w:noProof/>
                  <w:kern w:val="2"/>
                  <w:sz w:val="24"/>
                  <w:szCs w:val="24"/>
                  <w:lang w:val="en-AU" w:eastAsia="en-AU"/>
                  <w14:ligatures w14:val="standardContextual"/>
                </w:rPr>
              </w:pPr>
              <w:hyperlink w:anchor="_Toc178256550" w:history="1">
                <w:r w:rsidR="006D17B1" w:rsidRPr="00222CE6">
                  <w:rPr>
                    <w:rStyle w:val="Hyperlink"/>
                    <w:noProof/>
                  </w:rPr>
                  <w:t>Australia: open and business-friendly</w:t>
                </w:r>
                <w:r w:rsidR="006D17B1">
                  <w:rPr>
                    <w:noProof/>
                    <w:webHidden/>
                  </w:rPr>
                  <w:tab/>
                </w:r>
                <w:r w:rsidR="006D17B1">
                  <w:rPr>
                    <w:noProof/>
                    <w:webHidden/>
                  </w:rPr>
                  <w:fldChar w:fldCharType="begin"/>
                </w:r>
                <w:r w:rsidR="006D17B1">
                  <w:rPr>
                    <w:noProof/>
                    <w:webHidden/>
                  </w:rPr>
                  <w:instrText xml:space="preserve"> PAGEREF _Toc178256550 \h </w:instrText>
                </w:r>
                <w:r w:rsidR="006D17B1">
                  <w:rPr>
                    <w:noProof/>
                    <w:webHidden/>
                  </w:rPr>
                </w:r>
                <w:r w:rsidR="006D17B1">
                  <w:rPr>
                    <w:noProof/>
                    <w:webHidden/>
                  </w:rPr>
                  <w:fldChar w:fldCharType="separate"/>
                </w:r>
                <w:r w:rsidR="006D17B1">
                  <w:rPr>
                    <w:noProof/>
                    <w:webHidden/>
                  </w:rPr>
                  <w:t>11</w:t>
                </w:r>
                <w:r w:rsidR="006D17B1">
                  <w:rPr>
                    <w:noProof/>
                    <w:webHidden/>
                  </w:rPr>
                  <w:fldChar w:fldCharType="end"/>
                </w:r>
              </w:hyperlink>
            </w:p>
            <w:p w14:paraId="483430F3" w14:textId="532E772B" w:rsidR="006D17B1" w:rsidRDefault="00000000">
              <w:pPr>
                <w:pStyle w:val="TOC2"/>
                <w:rPr>
                  <w:rFonts w:cstheme="minorBidi"/>
                  <w:noProof/>
                  <w:kern w:val="2"/>
                  <w:sz w:val="24"/>
                  <w:szCs w:val="24"/>
                  <w:lang w:val="en-AU" w:eastAsia="en-AU"/>
                  <w14:ligatures w14:val="standardContextual"/>
                </w:rPr>
              </w:pPr>
              <w:hyperlink w:anchor="_Toc178256551" w:history="1">
                <w:r w:rsidR="006D17B1" w:rsidRPr="00222CE6">
                  <w:rPr>
                    <w:rStyle w:val="Hyperlink"/>
                    <w:noProof/>
                  </w:rPr>
                  <w:t>A strong and dynamic financial system</w:t>
                </w:r>
                <w:r w:rsidR="006D17B1">
                  <w:rPr>
                    <w:noProof/>
                    <w:webHidden/>
                  </w:rPr>
                  <w:tab/>
                </w:r>
                <w:r w:rsidR="006D17B1">
                  <w:rPr>
                    <w:noProof/>
                    <w:webHidden/>
                  </w:rPr>
                  <w:fldChar w:fldCharType="begin"/>
                </w:r>
                <w:r w:rsidR="006D17B1">
                  <w:rPr>
                    <w:noProof/>
                    <w:webHidden/>
                  </w:rPr>
                  <w:instrText xml:space="preserve"> PAGEREF _Toc178256551 \h </w:instrText>
                </w:r>
                <w:r w:rsidR="006D17B1">
                  <w:rPr>
                    <w:noProof/>
                    <w:webHidden/>
                  </w:rPr>
                </w:r>
                <w:r w:rsidR="006D17B1">
                  <w:rPr>
                    <w:noProof/>
                    <w:webHidden/>
                  </w:rPr>
                  <w:fldChar w:fldCharType="separate"/>
                </w:r>
                <w:r w:rsidR="006D17B1">
                  <w:rPr>
                    <w:noProof/>
                    <w:webHidden/>
                  </w:rPr>
                  <w:t>12</w:t>
                </w:r>
                <w:r w:rsidR="006D17B1">
                  <w:rPr>
                    <w:noProof/>
                    <w:webHidden/>
                  </w:rPr>
                  <w:fldChar w:fldCharType="end"/>
                </w:r>
              </w:hyperlink>
            </w:p>
            <w:p w14:paraId="1546B4A5" w14:textId="32699147" w:rsidR="006D17B1" w:rsidRDefault="00000000">
              <w:pPr>
                <w:pStyle w:val="TOC2"/>
                <w:rPr>
                  <w:rFonts w:cstheme="minorBidi"/>
                  <w:noProof/>
                  <w:kern w:val="2"/>
                  <w:sz w:val="24"/>
                  <w:szCs w:val="24"/>
                  <w:lang w:val="en-AU" w:eastAsia="en-AU"/>
                  <w14:ligatures w14:val="standardContextual"/>
                </w:rPr>
              </w:pPr>
              <w:hyperlink w:anchor="_Toc178256552" w:history="1">
                <w:r w:rsidR="006D17B1" w:rsidRPr="00222CE6">
                  <w:rPr>
                    <w:rStyle w:val="Hyperlink"/>
                    <w:noProof/>
                  </w:rPr>
                  <w:t>The world’s 5</w:t>
                </w:r>
                <w:r w:rsidR="006D17B1" w:rsidRPr="00222CE6">
                  <w:rPr>
                    <w:rStyle w:val="Hyperlink"/>
                    <w:noProof/>
                    <w:vertAlign w:val="superscript"/>
                  </w:rPr>
                  <w:t>th</w:t>
                </w:r>
                <w:r w:rsidR="006D17B1" w:rsidRPr="00222CE6">
                  <w:rPr>
                    <w:rStyle w:val="Hyperlink"/>
                    <w:noProof/>
                  </w:rPr>
                  <w:t>-most-valuable pension system</w:t>
                </w:r>
                <w:r w:rsidR="006D17B1">
                  <w:rPr>
                    <w:noProof/>
                    <w:webHidden/>
                  </w:rPr>
                  <w:tab/>
                </w:r>
                <w:r w:rsidR="006D17B1">
                  <w:rPr>
                    <w:noProof/>
                    <w:webHidden/>
                  </w:rPr>
                  <w:fldChar w:fldCharType="begin"/>
                </w:r>
                <w:r w:rsidR="006D17B1">
                  <w:rPr>
                    <w:noProof/>
                    <w:webHidden/>
                  </w:rPr>
                  <w:instrText xml:space="preserve"> PAGEREF _Toc178256552 \h </w:instrText>
                </w:r>
                <w:r w:rsidR="006D17B1">
                  <w:rPr>
                    <w:noProof/>
                    <w:webHidden/>
                  </w:rPr>
                </w:r>
                <w:r w:rsidR="006D17B1">
                  <w:rPr>
                    <w:noProof/>
                    <w:webHidden/>
                  </w:rPr>
                  <w:fldChar w:fldCharType="separate"/>
                </w:r>
                <w:r w:rsidR="006D17B1">
                  <w:rPr>
                    <w:noProof/>
                    <w:webHidden/>
                  </w:rPr>
                  <w:t>13</w:t>
                </w:r>
                <w:r w:rsidR="006D17B1">
                  <w:rPr>
                    <w:noProof/>
                    <w:webHidden/>
                  </w:rPr>
                  <w:fldChar w:fldCharType="end"/>
                </w:r>
              </w:hyperlink>
            </w:p>
            <w:p w14:paraId="548CD3AA" w14:textId="39CE5DC5" w:rsidR="006D17B1" w:rsidRDefault="00000000">
              <w:pPr>
                <w:pStyle w:val="TOC2"/>
                <w:rPr>
                  <w:rFonts w:cstheme="minorBidi"/>
                  <w:noProof/>
                  <w:kern w:val="2"/>
                  <w:sz w:val="24"/>
                  <w:szCs w:val="24"/>
                  <w:lang w:val="en-AU" w:eastAsia="en-AU"/>
                  <w14:ligatures w14:val="standardContextual"/>
                </w:rPr>
              </w:pPr>
              <w:hyperlink w:anchor="_Toc178256553" w:history="1">
                <w:r w:rsidR="006D17B1" w:rsidRPr="00222CE6">
                  <w:rPr>
                    <w:rStyle w:val="Hyperlink"/>
                    <w:noProof/>
                  </w:rPr>
                  <w:t>Australia’s cashless society</w:t>
                </w:r>
                <w:r w:rsidR="006D17B1">
                  <w:rPr>
                    <w:noProof/>
                    <w:webHidden/>
                  </w:rPr>
                  <w:tab/>
                </w:r>
                <w:r w:rsidR="006D17B1">
                  <w:rPr>
                    <w:noProof/>
                    <w:webHidden/>
                  </w:rPr>
                  <w:fldChar w:fldCharType="begin"/>
                </w:r>
                <w:r w:rsidR="006D17B1">
                  <w:rPr>
                    <w:noProof/>
                    <w:webHidden/>
                  </w:rPr>
                  <w:instrText xml:space="preserve"> PAGEREF _Toc178256553 \h </w:instrText>
                </w:r>
                <w:r w:rsidR="006D17B1">
                  <w:rPr>
                    <w:noProof/>
                    <w:webHidden/>
                  </w:rPr>
                </w:r>
                <w:r w:rsidR="006D17B1">
                  <w:rPr>
                    <w:noProof/>
                    <w:webHidden/>
                  </w:rPr>
                  <w:fldChar w:fldCharType="separate"/>
                </w:r>
                <w:r w:rsidR="006D17B1">
                  <w:rPr>
                    <w:noProof/>
                    <w:webHidden/>
                  </w:rPr>
                  <w:t>14</w:t>
                </w:r>
                <w:r w:rsidR="006D17B1">
                  <w:rPr>
                    <w:noProof/>
                    <w:webHidden/>
                  </w:rPr>
                  <w:fldChar w:fldCharType="end"/>
                </w:r>
              </w:hyperlink>
            </w:p>
            <w:p w14:paraId="39A103AA" w14:textId="7CDB6DFD" w:rsidR="006D17B1" w:rsidRDefault="00000000">
              <w:pPr>
                <w:pStyle w:val="TOC1"/>
                <w:rPr>
                  <w:rFonts w:eastAsiaTheme="minorEastAsia"/>
                  <w:noProof/>
                  <w:kern w:val="2"/>
                  <w:sz w:val="24"/>
                  <w:szCs w:val="24"/>
                  <w:lang w:eastAsia="en-AU"/>
                  <w14:ligatures w14:val="standardContextual"/>
                </w:rPr>
              </w:pPr>
              <w:hyperlink w:anchor="_Toc178256554" w:history="1">
                <w:r w:rsidR="006D17B1" w:rsidRPr="00222CE6">
                  <w:rPr>
                    <w:rStyle w:val="Hyperlink"/>
                    <w:noProof/>
                  </w:rPr>
                  <w:t>Chapter 2 – Australia: A global resource for a net zero future</w:t>
                </w:r>
                <w:r w:rsidR="006D17B1">
                  <w:rPr>
                    <w:noProof/>
                    <w:webHidden/>
                  </w:rPr>
                  <w:tab/>
                </w:r>
                <w:r w:rsidR="006D17B1">
                  <w:rPr>
                    <w:noProof/>
                    <w:webHidden/>
                  </w:rPr>
                  <w:fldChar w:fldCharType="begin"/>
                </w:r>
                <w:r w:rsidR="006D17B1">
                  <w:rPr>
                    <w:noProof/>
                    <w:webHidden/>
                  </w:rPr>
                  <w:instrText xml:space="preserve"> PAGEREF _Toc178256554 \h </w:instrText>
                </w:r>
                <w:r w:rsidR="006D17B1">
                  <w:rPr>
                    <w:noProof/>
                    <w:webHidden/>
                  </w:rPr>
                </w:r>
                <w:r w:rsidR="006D17B1">
                  <w:rPr>
                    <w:noProof/>
                    <w:webHidden/>
                  </w:rPr>
                  <w:fldChar w:fldCharType="separate"/>
                </w:r>
                <w:r w:rsidR="006D17B1">
                  <w:rPr>
                    <w:noProof/>
                    <w:webHidden/>
                  </w:rPr>
                  <w:t>15</w:t>
                </w:r>
                <w:r w:rsidR="006D17B1">
                  <w:rPr>
                    <w:noProof/>
                    <w:webHidden/>
                  </w:rPr>
                  <w:fldChar w:fldCharType="end"/>
                </w:r>
              </w:hyperlink>
            </w:p>
            <w:p w14:paraId="7116619A" w14:textId="2CF8F7AF" w:rsidR="006D17B1" w:rsidRDefault="00000000">
              <w:pPr>
                <w:pStyle w:val="TOC2"/>
                <w:rPr>
                  <w:rFonts w:cstheme="minorBidi"/>
                  <w:noProof/>
                  <w:kern w:val="2"/>
                  <w:sz w:val="24"/>
                  <w:szCs w:val="24"/>
                  <w:lang w:val="en-AU" w:eastAsia="en-AU"/>
                  <w14:ligatures w14:val="standardContextual"/>
                </w:rPr>
              </w:pPr>
              <w:hyperlink w:anchor="_Toc178256555" w:history="1">
                <w:r w:rsidR="006D17B1" w:rsidRPr="00222CE6">
                  <w:rPr>
                    <w:rStyle w:val="Hyperlink"/>
                    <w:noProof/>
                  </w:rPr>
                  <w:t>A partner of choice in a net zero world</w:t>
                </w:r>
                <w:r w:rsidR="006D17B1">
                  <w:rPr>
                    <w:noProof/>
                    <w:webHidden/>
                  </w:rPr>
                  <w:tab/>
                </w:r>
                <w:r w:rsidR="006D17B1">
                  <w:rPr>
                    <w:noProof/>
                    <w:webHidden/>
                  </w:rPr>
                  <w:fldChar w:fldCharType="begin"/>
                </w:r>
                <w:r w:rsidR="006D17B1">
                  <w:rPr>
                    <w:noProof/>
                    <w:webHidden/>
                  </w:rPr>
                  <w:instrText xml:space="preserve"> PAGEREF _Toc178256555 \h </w:instrText>
                </w:r>
                <w:r w:rsidR="006D17B1">
                  <w:rPr>
                    <w:noProof/>
                    <w:webHidden/>
                  </w:rPr>
                </w:r>
                <w:r w:rsidR="006D17B1">
                  <w:rPr>
                    <w:noProof/>
                    <w:webHidden/>
                  </w:rPr>
                  <w:fldChar w:fldCharType="separate"/>
                </w:r>
                <w:r w:rsidR="006D17B1">
                  <w:rPr>
                    <w:noProof/>
                    <w:webHidden/>
                  </w:rPr>
                  <w:t>15</w:t>
                </w:r>
                <w:r w:rsidR="006D17B1">
                  <w:rPr>
                    <w:noProof/>
                    <w:webHidden/>
                  </w:rPr>
                  <w:fldChar w:fldCharType="end"/>
                </w:r>
              </w:hyperlink>
            </w:p>
            <w:p w14:paraId="02AB50C7" w14:textId="23FDD48F" w:rsidR="006D17B1" w:rsidRDefault="00000000">
              <w:pPr>
                <w:pStyle w:val="TOC2"/>
                <w:rPr>
                  <w:rFonts w:cstheme="minorBidi"/>
                  <w:noProof/>
                  <w:kern w:val="2"/>
                  <w:sz w:val="24"/>
                  <w:szCs w:val="24"/>
                  <w:lang w:val="en-AU" w:eastAsia="en-AU"/>
                  <w14:ligatures w14:val="standardContextual"/>
                </w:rPr>
              </w:pPr>
              <w:hyperlink w:anchor="_Toc178256556" w:history="1">
                <w:r w:rsidR="006D17B1" w:rsidRPr="00222CE6">
                  <w:rPr>
                    <w:rStyle w:val="Hyperlink"/>
                    <w:noProof/>
                  </w:rPr>
                  <w:t>A natural leader in clean energy</w:t>
                </w:r>
                <w:r w:rsidR="006D17B1">
                  <w:rPr>
                    <w:noProof/>
                    <w:webHidden/>
                  </w:rPr>
                  <w:tab/>
                </w:r>
                <w:r w:rsidR="006D17B1">
                  <w:rPr>
                    <w:noProof/>
                    <w:webHidden/>
                  </w:rPr>
                  <w:fldChar w:fldCharType="begin"/>
                </w:r>
                <w:r w:rsidR="006D17B1">
                  <w:rPr>
                    <w:noProof/>
                    <w:webHidden/>
                  </w:rPr>
                  <w:instrText xml:space="preserve"> PAGEREF _Toc178256556 \h </w:instrText>
                </w:r>
                <w:r w:rsidR="006D17B1">
                  <w:rPr>
                    <w:noProof/>
                    <w:webHidden/>
                  </w:rPr>
                </w:r>
                <w:r w:rsidR="006D17B1">
                  <w:rPr>
                    <w:noProof/>
                    <w:webHidden/>
                  </w:rPr>
                  <w:fldChar w:fldCharType="separate"/>
                </w:r>
                <w:r w:rsidR="006D17B1">
                  <w:rPr>
                    <w:noProof/>
                    <w:webHidden/>
                  </w:rPr>
                  <w:t>16</w:t>
                </w:r>
                <w:r w:rsidR="006D17B1">
                  <w:rPr>
                    <w:noProof/>
                    <w:webHidden/>
                  </w:rPr>
                  <w:fldChar w:fldCharType="end"/>
                </w:r>
              </w:hyperlink>
            </w:p>
            <w:p w14:paraId="01469147" w14:textId="2B0A31C2" w:rsidR="006D17B1" w:rsidRDefault="00000000">
              <w:pPr>
                <w:pStyle w:val="TOC2"/>
                <w:rPr>
                  <w:rFonts w:cstheme="minorBidi"/>
                  <w:noProof/>
                  <w:kern w:val="2"/>
                  <w:sz w:val="24"/>
                  <w:szCs w:val="24"/>
                  <w:lang w:val="en-AU" w:eastAsia="en-AU"/>
                  <w14:ligatures w14:val="standardContextual"/>
                </w:rPr>
              </w:pPr>
              <w:hyperlink w:anchor="_Toc178256557" w:history="1">
                <w:r w:rsidR="006D17B1" w:rsidRPr="00222CE6">
                  <w:rPr>
                    <w:rStyle w:val="Hyperlink"/>
                    <w:noProof/>
                  </w:rPr>
                  <w:t>Abundant minerals for a net zero transformation</w:t>
                </w:r>
                <w:r w:rsidR="006D17B1">
                  <w:rPr>
                    <w:noProof/>
                    <w:webHidden/>
                  </w:rPr>
                  <w:tab/>
                </w:r>
                <w:r w:rsidR="006D17B1">
                  <w:rPr>
                    <w:noProof/>
                    <w:webHidden/>
                  </w:rPr>
                  <w:fldChar w:fldCharType="begin"/>
                </w:r>
                <w:r w:rsidR="006D17B1">
                  <w:rPr>
                    <w:noProof/>
                    <w:webHidden/>
                  </w:rPr>
                  <w:instrText xml:space="preserve"> PAGEREF _Toc178256557 \h </w:instrText>
                </w:r>
                <w:r w:rsidR="006D17B1">
                  <w:rPr>
                    <w:noProof/>
                    <w:webHidden/>
                  </w:rPr>
                </w:r>
                <w:r w:rsidR="006D17B1">
                  <w:rPr>
                    <w:noProof/>
                    <w:webHidden/>
                  </w:rPr>
                  <w:fldChar w:fldCharType="separate"/>
                </w:r>
                <w:r w:rsidR="006D17B1">
                  <w:rPr>
                    <w:noProof/>
                    <w:webHidden/>
                  </w:rPr>
                  <w:t>17</w:t>
                </w:r>
                <w:r w:rsidR="006D17B1">
                  <w:rPr>
                    <w:noProof/>
                    <w:webHidden/>
                  </w:rPr>
                  <w:fldChar w:fldCharType="end"/>
                </w:r>
              </w:hyperlink>
            </w:p>
            <w:p w14:paraId="0B400001" w14:textId="7ECDE3E3" w:rsidR="006D17B1" w:rsidRDefault="00000000">
              <w:pPr>
                <w:pStyle w:val="TOC2"/>
                <w:rPr>
                  <w:rFonts w:cstheme="minorBidi"/>
                  <w:noProof/>
                  <w:kern w:val="2"/>
                  <w:sz w:val="24"/>
                  <w:szCs w:val="24"/>
                  <w:lang w:val="en-AU" w:eastAsia="en-AU"/>
                  <w14:ligatures w14:val="standardContextual"/>
                </w:rPr>
              </w:pPr>
              <w:hyperlink w:anchor="_Toc178256558" w:history="1">
                <w:r w:rsidR="006D17B1" w:rsidRPr="00222CE6">
                  <w:rPr>
                    <w:rStyle w:val="Hyperlink"/>
                    <w:noProof/>
                  </w:rPr>
                  <w:t>A top destination for renewables investment</w:t>
                </w:r>
                <w:r w:rsidR="006D17B1">
                  <w:rPr>
                    <w:noProof/>
                    <w:webHidden/>
                  </w:rPr>
                  <w:tab/>
                </w:r>
                <w:r w:rsidR="006D17B1">
                  <w:rPr>
                    <w:noProof/>
                    <w:webHidden/>
                  </w:rPr>
                  <w:fldChar w:fldCharType="begin"/>
                </w:r>
                <w:r w:rsidR="006D17B1">
                  <w:rPr>
                    <w:noProof/>
                    <w:webHidden/>
                  </w:rPr>
                  <w:instrText xml:space="preserve"> PAGEREF _Toc178256558 \h </w:instrText>
                </w:r>
                <w:r w:rsidR="006D17B1">
                  <w:rPr>
                    <w:noProof/>
                    <w:webHidden/>
                  </w:rPr>
                </w:r>
                <w:r w:rsidR="006D17B1">
                  <w:rPr>
                    <w:noProof/>
                    <w:webHidden/>
                  </w:rPr>
                  <w:fldChar w:fldCharType="separate"/>
                </w:r>
                <w:r w:rsidR="006D17B1">
                  <w:rPr>
                    <w:noProof/>
                    <w:webHidden/>
                  </w:rPr>
                  <w:t>18</w:t>
                </w:r>
                <w:r w:rsidR="006D17B1">
                  <w:rPr>
                    <w:noProof/>
                    <w:webHidden/>
                  </w:rPr>
                  <w:fldChar w:fldCharType="end"/>
                </w:r>
              </w:hyperlink>
            </w:p>
            <w:p w14:paraId="314CDB1C" w14:textId="1905DF49" w:rsidR="006D17B1" w:rsidRDefault="00000000">
              <w:pPr>
                <w:pStyle w:val="TOC2"/>
                <w:rPr>
                  <w:rFonts w:cstheme="minorBidi"/>
                  <w:noProof/>
                  <w:kern w:val="2"/>
                  <w:sz w:val="24"/>
                  <w:szCs w:val="24"/>
                  <w:lang w:val="en-AU" w:eastAsia="en-AU"/>
                  <w14:ligatures w14:val="standardContextual"/>
                </w:rPr>
              </w:pPr>
              <w:hyperlink w:anchor="_Toc178256559" w:history="1">
                <w:r w:rsidR="006D17B1" w:rsidRPr="00222CE6">
                  <w:rPr>
                    <w:rStyle w:val="Hyperlink"/>
                    <w:noProof/>
                  </w:rPr>
                  <w:t>Rapid growth in renewable energy</w:t>
                </w:r>
                <w:r w:rsidR="006D17B1">
                  <w:rPr>
                    <w:noProof/>
                    <w:webHidden/>
                  </w:rPr>
                  <w:tab/>
                </w:r>
                <w:r w:rsidR="006D17B1">
                  <w:rPr>
                    <w:noProof/>
                    <w:webHidden/>
                  </w:rPr>
                  <w:fldChar w:fldCharType="begin"/>
                </w:r>
                <w:r w:rsidR="006D17B1">
                  <w:rPr>
                    <w:noProof/>
                    <w:webHidden/>
                  </w:rPr>
                  <w:instrText xml:space="preserve"> PAGEREF _Toc178256559 \h </w:instrText>
                </w:r>
                <w:r w:rsidR="006D17B1">
                  <w:rPr>
                    <w:noProof/>
                    <w:webHidden/>
                  </w:rPr>
                </w:r>
                <w:r w:rsidR="006D17B1">
                  <w:rPr>
                    <w:noProof/>
                    <w:webHidden/>
                  </w:rPr>
                  <w:fldChar w:fldCharType="separate"/>
                </w:r>
                <w:r w:rsidR="006D17B1">
                  <w:rPr>
                    <w:noProof/>
                    <w:webHidden/>
                  </w:rPr>
                  <w:t>19</w:t>
                </w:r>
                <w:r w:rsidR="006D17B1">
                  <w:rPr>
                    <w:noProof/>
                    <w:webHidden/>
                  </w:rPr>
                  <w:fldChar w:fldCharType="end"/>
                </w:r>
              </w:hyperlink>
            </w:p>
            <w:p w14:paraId="6C7E8316" w14:textId="4201EBBF" w:rsidR="006D17B1" w:rsidRDefault="00000000">
              <w:pPr>
                <w:pStyle w:val="TOC2"/>
                <w:rPr>
                  <w:rFonts w:cstheme="minorBidi"/>
                  <w:noProof/>
                  <w:kern w:val="2"/>
                  <w:sz w:val="24"/>
                  <w:szCs w:val="24"/>
                  <w:lang w:val="en-AU" w:eastAsia="en-AU"/>
                  <w14:ligatures w14:val="standardContextual"/>
                </w:rPr>
              </w:pPr>
              <w:hyperlink w:anchor="_Toc178256560" w:history="1">
                <w:r w:rsidR="006D17B1" w:rsidRPr="00222CE6">
                  <w:rPr>
                    <w:rStyle w:val="Hyperlink"/>
                    <w:noProof/>
                  </w:rPr>
                  <w:t>Solar power: Australia’s next gold rush</w:t>
                </w:r>
                <w:r w:rsidR="006D17B1">
                  <w:rPr>
                    <w:noProof/>
                    <w:webHidden/>
                  </w:rPr>
                  <w:tab/>
                </w:r>
                <w:r w:rsidR="006D17B1">
                  <w:rPr>
                    <w:noProof/>
                    <w:webHidden/>
                  </w:rPr>
                  <w:fldChar w:fldCharType="begin"/>
                </w:r>
                <w:r w:rsidR="006D17B1">
                  <w:rPr>
                    <w:noProof/>
                    <w:webHidden/>
                  </w:rPr>
                  <w:instrText xml:space="preserve"> PAGEREF _Toc178256560 \h </w:instrText>
                </w:r>
                <w:r w:rsidR="006D17B1">
                  <w:rPr>
                    <w:noProof/>
                    <w:webHidden/>
                  </w:rPr>
                </w:r>
                <w:r w:rsidR="006D17B1">
                  <w:rPr>
                    <w:noProof/>
                    <w:webHidden/>
                  </w:rPr>
                  <w:fldChar w:fldCharType="separate"/>
                </w:r>
                <w:r w:rsidR="006D17B1">
                  <w:rPr>
                    <w:noProof/>
                    <w:webHidden/>
                  </w:rPr>
                  <w:t>20</w:t>
                </w:r>
                <w:r w:rsidR="006D17B1">
                  <w:rPr>
                    <w:noProof/>
                    <w:webHidden/>
                  </w:rPr>
                  <w:fldChar w:fldCharType="end"/>
                </w:r>
              </w:hyperlink>
            </w:p>
            <w:p w14:paraId="4C77E511" w14:textId="7DEDFBA6" w:rsidR="006D17B1" w:rsidRDefault="00000000">
              <w:pPr>
                <w:pStyle w:val="TOC2"/>
                <w:rPr>
                  <w:rFonts w:cstheme="minorBidi"/>
                  <w:noProof/>
                  <w:kern w:val="2"/>
                  <w:sz w:val="24"/>
                  <w:szCs w:val="24"/>
                  <w:lang w:val="en-AU" w:eastAsia="en-AU"/>
                  <w14:ligatures w14:val="standardContextual"/>
                </w:rPr>
              </w:pPr>
              <w:hyperlink w:anchor="_Toc178256561" w:history="1">
                <w:r w:rsidR="006D17B1" w:rsidRPr="00222CE6">
                  <w:rPr>
                    <w:rStyle w:val="Hyperlink"/>
                    <w:noProof/>
                  </w:rPr>
                  <w:t>The southern hemisphere’s solar powerhouse</w:t>
                </w:r>
                <w:r w:rsidR="006D17B1">
                  <w:rPr>
                    <w:noProof/>
                    <w:webHidden/>
                  </w:rPr>
                  <w:tab/>
                </w:r>
                <w:r w:rsidR="006D17B1">
                  <w:rPr>
                    <w:noProof/>
                    <w:webHidden/>
                  </w:rPr>
                  <w:fldChar w:fldCharType="begin"/>
                </w:r>
                <w:r w:rsidR="006D17B1">
                  <w:rPr>
                    <w:noProof/>
                    <w:webHidden/>
                  </w:rPr>
                  <w:instrText xml:space="preserve"> PAGEREF _Toc178256561 \h </w:instrText>
                </w:r>
                <w:r w:rsidR="006D17B1">
                  <w:rPr>
                    <w:noProof/>
                    <w:webHidden/>
                  </w:rPr>
                </w:r>
                <w:r w:rsidR="006D17B1">
                  <w:rPr>
                    <w:noProof/>
                    <w:webHidden/>
                  </w:rPr>
                  <w:fldChar w:fldCharType="separate"/>
                </w:r>
                <w:r w:rsidR="006D17B1">
                  <w:rPr>
                    <w:noProof/>
                    <w:webHidden/>
                  </w:rPr>
                  <w:t>21</w:t>
                </w:r>
                <w:r w:rsidR="006D17B1">
                  <w:rPr>
                    <w:noProof/>
                    <w:webHidden/>
                  </w:rPr>
                  <w:fldChar w:fldCharType="end"/>
                </w:r>
              </w:hyperlink>
            </w:p>
            <w:p w14:paraId="2E9BA39B" w14:textId="5D43E2F0" w:rsidR="006D17B1" w:rsidRDefault="00000000">
              <w:pPr>
                <w:pStyle w:val="TOC2"/>
                <w:rPr>
                  <w:rFonts w:cstheme="minorBidi"/>
                  <w:noProof/>
                  <w:kern w:val="2"/>
                  <w:sz w:val="24"/>
                  <w:szCs w:val="24"/>
                  <w:lang w:val="en-AU" w:eastAsia="en-AU"/>
                  <w14:ligatures w14:val="standardContextual"/>
                </w:rPr>
              </w:pPr>
              <w:hyperlink w:anchor="_Toc178256562" w:history="1">
                <w:r w:rsidR="006D17B1" w:rsidRPr="00222CE6">
                  <w:rPr>
                    <w:rStyle w:val="Hyperlink"/>
                    <w:noProof/>
                  </w:rPr>
                  <w:t>Efficient solar power generation</w:t>
                </w:r>
                <w:r w:rsidR="006D17B1">
                  <w:rPr>
                    <w:noProof/>
                    <w:webHidden/>
                  </w:rPr>
                  <w:tab/>
                </w:r>
                <w:r w:rsidR="006D17B1">
                  <w:rPr>
                    <w:noProof/>
                    <w:webHidden/>
                  </w:rPr>
                  <w:fldChar w:fldCharType="begin"/>
                </w:r>
                <w:r w:rsidR="006D17B1">
                  <w:rPr>
                    <w:noProof/>
                    <w:webHidden/>
                  </w:rPr>
                  <w:instrText xml:space="preserve"> PAGEREF _Toc178256562 \h </w:instrText>
                </w:r>
                <w:r w:rsidR="006D17B1">
                  <w:rPr>
                    <w:noProof/>
                    <w:webHidden/>
                  </w:rPr>
                </w:r>
                <w:r w:rsidR="006D17B1">
                  <w:rPr>
                    <w:noProof/>
                    <w:webHidden/>
                  </w:rPr>
                  <w:fldChar w:fldCharType="separate"/>
                </w:r>
                <w:r w:rsidR="006D17B1">
                  <w:rPr>
                    <w:noProof/>
                    <w:webHidden/>
                  </w:rPr>
                  <w:t>22</w:t>
                </w:r>
                <w:r w:rsidR="006D17B1">
                  <w:rPr>
                    <w:noProof/>
                    <w:webHidden/>
                  </w:rPr>
                  <w:fldChar w:fldCharType="end"/>
                </w:r>
              </w:hyperlink>
            </w:p>
            <w:p w14:paraId="23E03066" w14:textId="20358AC3" w:rsidR="006D17B1" w:rsidRDefault="00000000">
              <w:pPr>
                <w:pStyle w:val="TOC2"/>
                <w:rPr>
                  <w:rFonts w:cstheme="minorBidi"/>
                  <w:noProof/>
                  <w:kern w:val="2"/>
                  <w:sz w:val="24"/>
                  <w:szCs w:val="24"/>
                  <w:lang w:val="en-AU" w:eastAsia="en-AU"/>
                  <w14:ligatures w14:val="standardContextual"/>
                </w:rPr>
              </w:pPr>
              <w:hyperlink w:anchor="_Toc178256563" w:history="1">
                <w:r w:rsidR="006D17B1" w:rsidRPr="00222CE6">
                  <w:rPr>
                    <w:rStyle w:val="Hyperlink"/>
                    <w:noProof/>
                  </w:rPr>
                  <w:t>Investment in industrial-scale hydrogen</w:t>
                </w:r>
                <w:r w:rsidR="006D17B1">
                  <w:rPr>
                    <w:noProof/>
                    <w:webHidden/>
                  </w:rPr>
                  <w:tab/>
                </w:r>
                <w:r w:rsidR="006D17B1">
                  <w:rPr>
                    <w:noProof/>
                    <w:webHidden/>
                  </w:rPr>
                  <w:fldChar w:fldCharType="begin"/>
                </w:r>
                <w:r w:rsidR="006D17B1">
                  <w:rPr>
                    <w:noProof/>
                    <w:webHidden/>
                  </w:rPr>
                  <w:instrText xml:space="preserve"> PAGEREF _Toc178256563 \h </w:instrText>
                </w:r>
                <w:r w:rsidR="006D17B1">
                  <w:rPr>
                    <w:noProof/>
                    <w:webHidden/>
                  </w:rPr>
                </w:r>
                <w:r w:rsidR="006D17B1">
                  <w:rPr>
                    <w:noProof/>
                    <w:webHidden/>
                  </w:rPr>
                  <w:fldChar w:fldCharType="separate"/>
                </w:r>
                <w:r w:rsidR="006D17B1">
                  <w:rPr>
                    <w:noProof/>
                    <w:webHidden/>
                  </w:rPr>
                  <w:t>23</w:t>
                </w:r>
                <w:r w:rsidR="006D17B1">
                  <w:rPr>
                    <w:noProof/>
                    <w:webHidden/>
                  </w:rPr>
                  <w:fldChar w:fldCharType="end"/>
                </w:r>
              </w:hyperlink>
            </w:p>
            <w:p w14:paraId="6AAD90A5" w14:textId="337B964D" w:rsidR="006D17B1" w:rsidRDefault="00000000">
              <w:pPr>
                <w:pStyle w:val="TOC1"/>
                <w:rPr>
                  <w:rFonts w:eastAsiaTheme="minorEastAsia"/>
                  <w:noProof/>
                  <w:kern w:val="2"/>
                  <w:sz w:val="24"/>
                  <w:szCs w:val="24"/>
                  <w:lang w:eastAsia="en-AU"/>
                  <w14:ligatures w14:val="standardContextual"/>
                </w:rPr>
              </w:pPr>
              <w:hyperlink w:anchor="_Toc178256564" w:history="1">
                <w:r w:rsidR="006D17B1" w:rsidRPr="00222CE6">
                  <w:rPr>
                    <w:rStyle w:val="Hyperlink"/>
                    <w:noProof/>
                  </w:rPr>
                  <w:t>Chapter 3 – Our skills and innovation</w:t>
                </w:r>
                <w:r w:rsidR="006D17B1">
                  <w:rPr>
                    <w:noProof/>
                    <w:webHidden/>
                  </w:rPr>
                  <w:tab/>
                </w:r>
                <w:r w:rsidR="006D17B1">
                  <w:rPr>
                    <w:noProof/>
                    <w:webHidden/>
                  </w:rPr>
                  <w:fldChar w:fldCharType="begin"/>
                </w:r>
                <w:r w:rsidR="006D17B1">
                  <w:rPr>
                    <w:noProof/>
                    <w:webHidden/>
                  </w:rPr>
                  <w:instrText xml:space="preserve"> PAGEREF _Toc178256564 \h </w:instrText>
                </w:r>
                <w:r w:rsidR="006D17B1">
                  <w:rPr>
                    <w:noProof/>
                    <w:webHidden/>
                  </w:rPr>
                </w:r>
                <w:r w:rsidR="006D17B1">
                  <w:rPr>
                    <w:noProof/>
                    <w:webHidden/>
                  </w:rPr>
                  <w:fldChar w:fldCharType="separate"/>
                </w:r>
                <w:r w:rsidR="006D17B1">
                  <w:rPr>
                    <w:noProof/>
                    <w:webHidden/>
                  </w:rPr>
                  <w:t>24</w:t>
                </w:r>
                <w:r w:rsidR="006D17B1">
                  <w:rPr>
                    <w:noProof/>
                    <w:webHidden/>
                  </w:rPr>
                  <w:fldChar w:fldCharType="end"/>
                </w:r>
              </w:hyperlink>
            </w:p>
            <w:p w14:paraId="1F92F0BF" w14:textId="64421A0F" w:rsidR="006D17B1" w:rsidRDefault="00000000">
              <w:pPr>
                <w:pStyle w:val="TOC2"/>
                <w:rPr>
                  <w:rFonts w:cstheme="minorBidi"/>
                  <w:noProof/>
                  <w:kern w:val="2"/>
                  <w:sz w:val="24"/>
                  <w:szCs w:val="24"/>
                  <w:lang w:val="en-AU" w:eastAsia="en-AU"/>
                  <w14:ligatures w14:val="standardContextual"/>
                </w:rPr>
              </w:pPr>
              <w:hyperlink w:anchor="_Toc178256565" w:history="1">
                <w:r w:rsidR="006D17B1" w:rsidRPr="00222CE6">
                  <w:rPr>
                    <w:rStyle w:val="Hyperlink"/>
                    <w:noProof/>
                  </w:rPr>
                  <w:t>Top performers: from academia to quantum and beyond</w:t>
                </w:r>
                <w:r w:rsidR="006D17B1">
                  <w:rPr>
                    <w:noProof/>
                    <w:webHidden/>
                  </w:rPr>
                  <w:tab/>
                </w:r>
                <w:r w:rsidR="006D17B1">
                  <w:rPr>
                    <w:noProof/>
                    <w:webHidden/>
                  </w:rPr>
                  <w:fldChar w:fldCharType="begin"/>
                </w:r>
                <w:r w:rsidR="006D17B1">
                  <w:rPr>
                    <w:noProof/>
                    <w:webHidden/>
                  </w:rPr>
                  <w:instrText xml:space="preserve"> PAGEREF _Toc178256565 \h </w:instrText>
                </w:r>
                <w:r w:rsidR="006D17B1">
                  <w:rPr>
                    <w:noProof/>
                    <w:webHidden/>
                  </w:rPr>
                </w:r>
                <w:r w:rsidR="006D17B1">
                  <w:rPr>
                    <w:noProof/>
                    <w:webHidden/>
                  </w:rPr>
                  <w:fldChar w:fldCharType="separate"/>
                </w:r>
                <w:r w:rsidR="006D17B1">
                  <w:rPr>
                    <w:noProof/>
                    <w:webHidden/>
                  </w:rPr>
                  <w:t>24</w:t>
                </w:r>
                <w:r w:rsidR="006D17B1">
                  <w:rPr>
                    <w:noProof/>
                    <w:webHidden/>
                  </w:rPr>
                  <w:fldChar w:fldCharType="end"/>
                </w:r>
              </w:hyperlink>
            </w:p>
            <w:p w14:paraId="632A8AF4" w14:textId="1F5CAB51" w:rsidR="006D17B1" w:rsidRDefault="00000000">
              <w:pPr>
                <w:pStyle w:val="TOC2"/>
                <w:rPr>
                  <w:rFonts w:cstheme="minorBidi"/>
                  <w:noProof/>
                  <w:kern w:val="2"/>
                  <w:sz w:val="24"/>
                  <w:szCs w:val="24"/>
                  <w:lang w:val="en-AU" w:eastAsia="en-AU"/>
                  <w14:ligatures w14:val="standardContextual"/>
                </w:rPr>
              </w:pPr>
              <w:hyperlink w:anchor="_Toc178256566" w:history="1">
                <w:r w:rsidR="006D17B1" w:rsidRPr="00222CE6">
                  <w:rPr>
                    <w:rStyle w:val="Hyperlink"/>
                    <w:noProof/>
                  </w:rPr>
                  <w:t>Australia’s smart tech sectors</w:t>
                </w:r>
                <w:r w:rsidR="006D17B1">
                  <w:rPr>
                    <w:noProof/>
                    <w:webHidden/>
                  </w:rPr>
                  <w:tab/>
                </w:r>
                <w:r w:rsidR="006D17B1">
                  <w:rPr>
                    <w:noProof/>
                    <w:webHidden/>
                  </w:rPr>
                  <w:fldChar w:fldCharType="begin"/>
                </w:r>
                <w:r w:rsidR="006D17B1">
                  <w:rPr>
                    <w:noProof/>
                    <w:webHidden/>
                  </w:rPr>
                  <w:instrText xml:space="preserve"> PAGEREF _Toc178256566 \h </w:instrText>
                </w:r>
                <w:r w:rsidR="006D17B1">
                  <w:rPr>
                    <w:noProof/>
                    <w:webHidden/>
                  </w:rPr>
                </w:r>
                <w:r w:rsidR="006D17B1">
                  <w:rPr>
                    <w:noProof/>
                    <w:webHidden/>
                  </w:rPr>
                  <w:fldChar w:fldCharType="separate"/>
                </w:r>
                <w:r w:rsidR="006D17B1">
                  <w:rPr>
                    <w:noProof/>
                    <w:webHidden/>
                  </w:rPr>
                  <w:t>25</w:t>
                </w:r>
                <w:r w:rsidR="006D17B1">
                  <w:rPr>
                    <w:noProof/>
                    <w:webHidden/>
                  </w:rPr>
                  <w:fldChar w:fldCharType="end"/>
                </w:r>
              </w:hyperlink>
            </w:p>
            <w:p w14:paraId="72219BFD" w14:textId="236A19DB" w:rsidR="006D17B1" w:rsidRDefault="00000000">
              <w:pPr>
                <w:pStyle w:val="TOC2"/>
                <w:rPr>
                  <w:rFonts w:cstheme="minorBidi"/>
                  <w:noProof/>
                  <w:kern w:val="2"/>
                  <w:sz w:val="24"/>
                  <w:szCs w:val="24"/>
                  <w:lang w:val="en-AU" w:eastAsia="en-AU"/>
                  <w14:ligatures w14:val="standardContextual"/>
                </w:rPr>
              </w:pPr>
              <w:hyperlink w:anchor="_Toc178256567" w:history="1">
                <w:r w:rsidR="006D17B1" w:rsidRPr="00222CE6">
                  <w:rPr>
                    <w:rStyle w:val="Hyperlink"/>
                    <w:noProof/>
                  </w:rPr>
                  <w:t>#1 for new tech skills</w:t>
                </w:r>
                <w:r w:rsidR="006D17B1">
                  <w:rPr>
                    <w:noProof/>
                    <w:webHidden/>
                  </w:rPr>
                  <w:tab/>
                </w:r>
                <w:r w:rsidR="006D17B1">
                  <w:rPr>
                    <w:noProof/>
                    <w:webHidden/>
                  </w:rPr>
                  <w:fldChar w:fldCharType="begin"/>
                </w:r>
                <w:r w:rsidR="006D17B1">
                  <w:rPr>
                    <w:noProof/>
                    <w:webHidden/>
                  </w:rPr>
                  <w:instrText xml:space="preserve"> PAGEREF _Toc178256567 \h </w:instrText>
                </w:r>
                <w:r w:rsidR="006D17B1">
                  <w:rPr>
                    <w:noProof/>
                    <w:webHidden/>
                  </w:rPr>
                </w:r>
                <w:r w:rsidR="006D17B1">
                  <w:rPr>
                    <w:noProof/>
                    <w:webHidden/>
                  </w:rPr>
                  <w:fldChar w:fldCharType="separate"/>
                </w:r>
                <w:r w:rsidR="006D17B1">
                  <w:rPr>
                    <w:noProof/>
                    <w:webHidden/>
                  </w:rPr>
                  <w:t>26</w:t>
                </w:r>
                <w:r w:rsidR="006D17B1">
                  <w:rPr>
                    <w:noProof/>
                    <w:webHidden/>
                  </w:rPr>
                  <w:fldChar w:fldCharType="end"/>
                </w:r>
              </w:hyperlink>
            </w:p>
            <w:p w14:paraId="0E6A2197" w14:textId="6D595BDF" w:rsidR="006D17B1" w:rsidRDefault="00000000">
              <w:pPr>
                <w:pStyle w:val="TOC2"/>
                <w:rPr>
                  <w:rFonts w:cstheme="minorBidi"/>
                  <w:noProof/>
                  <w:kern w:val="2"/>
                  <w:sz w:val="24"/>
                  <w:szCs w:val="24"/>
                  <w:lang w:val="en-AU" w:eastAsia="en-AU"/>
                  <w14:ligatures w14:val="standardContextual"/>
                </w:rPr>
              </w:pPr>
              <w:hyperlink w:anchor="_Toc178256568" w:history="1">
                <w:r w:rsidR="006D17B1" w:rsidRPr="00222CE6">
                  <w:rPr>
                    <w:rStyle w:val="Hyperlink"/>
                    <w:noProof/>
                  </w:rPr>
                  <w:t>A leader in digital government</w:t>
                </w:r>
                <w:r w:rsidR="006D17B1">
                  <w:rPr>
                    <w:noProof/>
                    <w:webHidden/>
                  </w:rPr>
                  <w:tab/>
                </w:r>
                <w:r w:rsidR="006D17B1">
                  <w:rPr>
                    <w:noProof/>
                    <w:webHidden/>
                  </w:rPr>
                  <w:fldChar w:fldCharType="begin"/>
                </w:r>
                <w:r w:rsidR="006D17B1">
                  <w:rPr>
                    <w:noProof/>
                    <w:webHidden/>
                  </w:rPr>
                  <w:instrText xml:space="preserve"> PAGEREF _Toc178256568 \h </w:instrText>
                </w:r>
                <w:r w:rsidR="006D17B1">
                  <w:rPr>
                    <w:noProof/>
                    <w:webHidden/>
                  </w:rPr>
                </w:r>
                <w:r w:rsidR="006D17B1">
                  <w:rPr>
                    <w:noProof/>
                    <w:webHidden/>
                  </w:rPr>
                  <w:fldChar w:fldCharType="separate"/>
                </w:r>
                <w:r w:rsidR="006D17B1">
                  <w:rPr>
                    <w:noProof/>
                    <w:webHidden/>
                  </w:rPr>
                  <w:t>27</w:t>
                </w:r>
                <w:r w:rsidR="006D17B1">
                  <w:rPr>
                    <w:noProof/>
                    <w:webHidden/>
                  </w:rPr>
                  <w:fldChar w:fldCharType="end"/>
                </w:r>
              </w:hyperlink>
            </w:p>
            <w:p w14:paraId="189747E5" w14:textId="2F6AA47E" w:rsidR="006D17B1" w:rsidRDefault="00000000">
              <w:pPr>
                <w:pStyle w:val="TOC2"/>
                <w:rPr>
                  <w:rFonts w:cstheme="minorBidi"/>
                  <w:noProof/>
                  <w:kern w:val="2"/>
                  <w:sz w:val="24"/>
                  <w:szCs w:val="24"/>
                  <w:lang w:val="en-AU" w:eastAsia="en-AU"/>
                  <w14:ligatures w14:val="standardContextual"/>
                </w:rPr>
              </w:pPr>
              <w:hyperlink w:anchor="_Toc178256569" w:history="1">
                <w:r w:rsidR="006D17B1" w:rsidRPr="00222CE6">
                  <w:rPr>
                    <w:rStyle w:val="Hyperlink"/>
                    <w:noProof/>
                  </w:rPr>
                  <w:t>A pioneer in renewables R&amp;D</w:t>
                </w:r>
                <w:r w:rsidR="006D17B1">
                  <w:rPr>
                    <w:noProof/>
                    <w:webHidden/>
                  </w:rPr>
                  <w:tab/>
                </w:r>
                <w:r w:rsidR="006D17B1">
                  <w:rPr>
                    <w:noProof/>
                    <w:webHidden/>
                  </w:rPr>
                  <w:fldChar w:fldCharType="begin"/>
                </w:r>
                <w:r w:rsidR="006D17B1">
                  <w:rPr>
                    <w:noProof/>
                    <w:webHidden/>
                  </w:rPr>
                  <w:instrText xml:space="preserve"> PAGEREF _Toc178256569 \h </w:instrText>
                </w:r>
                <w:r w:rsidR="006D17B1">
                  <w:rPr>
                    <w:noProof/>
                    <w:webHidden/>
                  </w:rPr>
                </w:r>
                <w:r w:rsidR="006D17B1">
                  <w:rPr>
                    <w:noProof/>
                    <w:webHidden/>
                  </w:rPr>
                  <w:fldChar w:fldCharType="separate"/>
                </w:r>
                <w:r w:rsidR="006D17B1">
                  <w:rPr>
                    <w:noProof/>
                    <w:webHidden/>
                  </w:rPr>
                  <w:t>28</w:t>
                </w:r>
                <w:r w:rsidR="006D17B1">
                  <w:rPr>
                    <w:noProof/>
                    <w:webHidden/>
                  </w:rPr>
                  <w:fldChar w:fldCharType="end"/>
                </w:r>
              </w:hyperlink>
            </w:p>
            <w:p w14:paraId="7EADCBD8" w14:textId="2B5760EB" w:rsidR="006D17B1" w:rsidRDefault="00000000">
              <w:pPr>
                <w:pStyle w:val="TOC2"/>
                <w:rPr>
                  <w:rFonts w:cstheme="minorBidi"/>
                  <w:noProof/>
                  <w:kern w:val="2"/>
                  <w:sz w:val="24"/>
                  <w:szCs w:val="24"/>
                  <w:lang w:val="en-AU" w:eastAsia="en-AU"/>
                  <w14:ligatures w14:val="standardContextual"/>
                </w:rPr>
              </w:pPr>
              <w:hyperlink w:anchor="_Toc178256570" w:history="1">
                <w:r w:rsidR="006D17B1" w:rsidRPr="00222CE6">
                  <w:rPr>
                    <w:rStyle w:val="Hyperlink"/>
                    <w:noProof/>
                  </w:rPr>
                  <w:t>Advanced research in hydrogen</w:t>
                </w:r>
                <w:r w:rsidR="006D17B1">
                  <w:rPr>
                    <w:noProof/>
                    <w:webHidden/>
                  </w:rPr>
                  <w:tab/>
                </w:r>
                <w:r w:rsidR="006D17B1">
                  <w:rPr>
                    <w:noProof/>
                    <w:webHidden/>
                  </w:rPr>
                  <w:fldChar w:fldCharType="begin"/>
                </w:r>
                <w:r w:rsidR="006D17B1">
                  <w:rPr>
                    <w:noProof/>
                    <w:webHidden/>
                  </w:rPr>
                  <w:instrText xml:space="preserve"> PAGEREF _Toc178256570 \h </w:instrText>
                </w:r>
                <w:r w:rsidR="006D17B1">
                  <w:rPr>
                    <w:noProof/>
                    <w:webHidden/>
                  </w:rPr>
                </w:r>
                <w:r w:rsidR="006D17B1">
                  <w:rPr>
                    <w:noProof/>
                    <w:webHidden/>
                  </w:rPr>
                  <w:fldChar w:fldCharType="separate"/>
                </w:r>
                <w:r w:rsidR="006D17B1">
                  <w:rPr>
                    <w:noProof/>
                    <w:webHidden/>
                  </w:rPr>
                  <w:t>29</w:t>
                </w:r>
                <w:r w:rsidR="006D17B1">
                  <w:rPr>
                    <w:noProof/>
                    <w:webHidden/>
                  </w:rPr>
                  <w:fldChar w:fldCharType="end"/>
                </w:r>
              </w:hyperlink>
            </w:p>
            <w:p w14:paraId="6C720B63" w14:textId="5644B705" w:rsidR="006D17B1" w:rsidRDefault="00000000">
              <w:pPr>
                <w:pStyle w:val="TOC2"/>
                <w:rPr>
                  <w:rFonts w:cstheme="minorBidi"/>
                  <w:noProof/>
                  <w:kern w:val="2"/>
                  <w:sz w:val="24"/>
                  <w:szCs w:val="24"/>
                  <w:lang w:val="en-AU" w:eastAsia="en-AU"/>
                  <w14:ligatures w14:val="standardContextual"/>
                </w:rPr>
              </w:pPr>
              <w:hyperlink w:anchor="_Toc178256571" w:history="1">
                <w:r w:rsidR="006D17B1" w:rsidRPr="00222CE6">
                  <w:rPr>
                    <w:rStyle w:val="Hyperlink"/>
                    <w:noProof/>
                  </w:rPr>
                  <w:t>Academic excellence — from neuroscience to space</w:t>
                </w:r>
                <w:r w:rsidR="006D17B1">
                  <w:rPr>
                    <w:noProof/>
                    <w:webHidden/>
                  </w:rPr>
                  <w:tab/>
                </w:r>
                <w:r w:rsidR="006D17B1">
                  <w:rPr>
                    <w:noProof/>
                    <w:webHidden/>
                  </w:rPr>
                  <w:fldChar w:fldCharType="begin"/>
                </w:r>
                <w:r w:rsidR="006D17B1">
                  <w:rPr>
                    <w:noProof/>
                    <w:webHidden/>
                  </w:rPr>
                  <w:instrText xml:space="preserve"> PAGEREF _Toc178256571 \h </w:instrText>
                </w:r>
                <w:r w:rsidR="006D17B1">
                  <w:rPr>
                    <w:noProof/>
                    <w:webHidden/>
                  </w:rPr>
                </w:r>
                <w:r w:rsidR="006D17B1">
                  <w:rPr>
                    <w:noProof/>
                    <w:webHidden/>
                  </w:rPr>
                  <w:fldChar w:fldCharType="separate"/>
                </w:r>
                <w:r w:rsidR="006D17B1">
                  <w:rPr>
                    <w:noProof/>
                    <w:webHidden/>
                  </w:rPr>
                  <w:t>30</w:t>
                </w:r>
                <w:r w:rsidR="006D17B1">
                  <w:rPr>
                    <w:noProof/>
                    <w:webHidden/>
                  </w:rPr>
                  <w:fldChar w:fldCharType="end"/>
                </w:r>
              </w:hyperlink>
            </w:p>
            <w:p w14:paraId="6E2BC0C9" w14:textId="37C7037B" w:rsidR="006D17B1" w:rsidRDefault="00000000">
              <w:pPr>
                <w:pStyle w:val="TOC2"/>
                <w:rPr>
                  <w:rFonts w:cstheme="minorBidi"/>
                  <w:noProof/>
                  <w:kern w:val="2"/>
                  <w:sz w:val="24"/>
                  <w:szCs w:val="24"/>
                  <w:lang w:val="en-AU" w:eastAsia="en-AU"/>
                  <w14:ligatures w14:val="standardContextual"/>
                </w:rPr>
              </w:pPr>
              <w:hyperlink w:anchor="_Toc178256572" w:history="1">
                <w:r w:rsidR="006D17B1" w:rsidRPr="00222CE6">
                  <w:rPr>
                    <w:rStyle w:val="Hyperlink"/>
                    <w:noProof/>
                  </w:rPr>
                  <w:t>Skilled workforce and innovation indicators</w:t>
                </w:r>
                <w:r w:rsidR="006D17B1">
                  <w:rPr>
                    <w:noProof/>
                    <w:webHidden/>
                  </w:rPr>
                  <w:tab/>
                </w:r>
                <w:r w:rsidR="006D17B1">
                  <w:rPr>
                    <w:noProof/>
                    <w:webHidden/>
                  </w:rPr>
                  <w:fldChar w:fldCharType="begin"/>
                </w:r>
                <w:r w:rsidR="006D17B1">
                  <w:rPr>
                    <w:noProof/>
                    <w:webHidden/>
                  </w:rPr>
                  <w:instrText xml:space="preserve"> PAGEREF _Toc178256572 \h </w:instrText>
                </w:r>
                <w:r w:rsidR="006D17B1">
                  <w:rPr>
                    <w:noProof/>
                    <w:webHidden/>
                  </w:rPr>
                </w:r>
                <w:r w:rsidR="006D17B1">
                  <w:rPr>
                    <w:noProof/>
                    <w:webHidden/>
                  </w:rPr>
                  <w:fldChar w:fldCharType="separate"/>
                </w:r>
                <w:r w:rsidR="006D17B1">
                  <w:rPr>
                    <w:noProof/>
                    <w:webHidden/>
                  </w:rPr>
                  <w:t>31</w:t>
                </w:r>
                <w:r w:rsidR="006D17B1">
                  <w:rPr>
                    <w:noProof/>
                    <w:webHidden/>
                  </w:rPr>
                  <w:fldChar w:fldCharType="end"/>
                </w:r>
              </w:hyperlink>
            </w:p>
            <w:p w14:paraId="1F8FC78C" w14:textId="05C00B58" w:rsidR="006D17B1" w:rsidRDefault="00000000">
              <w:pPr>
                <w:pStyle w:val="TOC2"/>
                <w:rPr>
                  <w:rFonts w:cstheme="minorBidi"/>
                  <w:noProof/>
                  <w:kern w:val="2"/>
                  <w:sz w:val="24"/>
                  <w:szCs w:val="24"/>
                  <w:lang w:val="en-AU" w:eastAsia="en-AU"/>
                  <w14:ligatures w14:val="standardContextual"/>
                </w:rPr>
              </w:pPr>
              <w:hyperlink w:anchor="_Toc178256573" w:history="1">
                <w:r w:rsidR="006D17B1" w:rsidRPr="00222CE6">
                  <w:rPr>
                    <w:rStyle w:val="Hyperlink"/>
                    <w:noProof/>
                  </w:rPr>
                  <w:t>Australia's highly educated workforce</w:t>
                </w:r>
                <w:r w:rsidR="006D17B1">
                  <w:rPr>
                    <w:noProof/>
                    <w:webHidden/>
                  </w:rPr>
                  <w:tab/>
                </w:r>
                <w:r w:rsidR="006D17B1">
                  <w:rPr>
                    <w:noProof/>
                    <w:webHidden/>
                  </w:rPr>
                  <w:fldChar w:fldCharType="begin"/>
                </w:r>
                <w:r w:rsidR="006D17B1">
                  <w:rPr>
                    <w:noProof/>
                    <w:webHidden/>
                  </w:rPr>
                  <w:instrText xml:space="preserve"> PAGEREF _Toc178256573 \h </w:instrText>
                </w:r>
                <w:r w:rsidR="006D17B1">
                  <w:rPr>
                    <w:noProof/>
                    <w:webHidden/>
                  </w:rPr>
                </w:r>
                <w:r w:rsidR="006D17B1">
                  <w:rPr>
                    <w:noProof/>
                    <w:webHidden/>
                  </w:rPr>
                  <w:fldChar w:fldCharType="separate"/>
                </w:r>
                <w:r w:rsidR="006D17B1">
                  <w:rPr>
                    <w:noProof/>
                    <w:webHidden/>
                  </w:rPr>
                  <w:t>32</w:t>
                </w:r>
                <w:r w:rsidR="006D17B1">
                  <w:rPr>
                    <w:noProof/>
                    <w:webHidden/>
                  </w:rPr>
                  <w:fldChar w:fldCharType="end"/>
                </w:r>
              </w:hyperlink>
            </w:p>
            <w:p w14:paraId="69E70852" w14:textId="310D6E97" w:rsidR="006D17B1" w:rsidRDefault="00000000">
              <w:pPr>
                <w:pStyle w:val="TOC2"/>
                <w:rPr>
                  <w:rFonts w:cstheme="minorBidi"/>
                  <w:noProof/>
                  <w:kern w:val="2"/>
                  <w:sz w:val="24"/>
                  <w:szCs w:val="24"/>
                  <w:lang w:val="en-AU" w:eastAsia="en-AU"/>
                  <w14:ligatures w14:val="standardContextual"/>
                </w:rPr>
              </w:pPr>
              <w:hyperlink w:anchor="_Toc178256574" w:history="1">
                <w:r w:rsidR="006D17B1" w:rsidRPr="00222CE6">
                  <w:rPr>
                    <w:rStyle w:val="Hyperlink"/>
                    <w:noProof/>
                  </w:rPr>
                  <w:t>A big investor in education</w:t>
                </w:r>
                <w:r w:rsidR="006D17B1">
                  <w:rPr>
                    <w:noProof/>
                    <w:webHidden/>
                  </w:rPr>
                  <w:tab/>
                </w:r>
                <w:r w:rsidR="006D17B1">
                  <w:rPr>
                    <w:noProof/>
                    <w:webHidden/>
                  </w:rPr>
                  <w:fldChar w:fldCharType="begin"/>
                </w:r>
                <w:r w:rsidR="006D17B1">
                  <w:rPr>
                    <w:noProof/>
                    <w:webHidden/>
                  </w:rPr>
                  <w:instrText xml:space="preserve"> PAGEREF _Toc178256574 \h </w:instrText>
                </w:r>
                <w:r w:rsidR="006D17B1">
                  <w:rPr>
                    <w:noProof/>
                    <w:webHidden/>
                  </w:rPr>
                </w:r>
                <w:r w:rsidR="006D17B1">
                  <w:rPr>
                    <w:noProof/>
                    <w:webHidden/>
                  </w:rPr>
                  <w:fldChar w:fldCharType="separate"/>
                </w:r>
                <w:r w:rsidR="006D17B1">
                  <w:rPr>
                    <w:noProof/>
                    <w:webHidden/>
                  </w:rPr>
                  <w:t>33</w:t>
                </w:r>
                <w:r w:rsidR="006D17B1">
                  <w:rPr>
                    <w:noProof/>
                    <w:webHidden/>
                  </w:rPr>
                  <w:fldChar w:fldCharType="end"/>
                </w:r>
              </w:hyperlink>
            </w:p>
            <w:p w14:paraId="5F37100C" w14:textId="4DB42A96" w:rsidR="006D17B1" w:rsidRDefault="00000000">
              <w:pPr>
                <w:pStyle w:val="TOC2"/>
                <w:rPr>
                  <w:rFonts w:cstheme="minorBidi"/>
                  <w:noProof/>
                  <w:kern w:val="2"/>
                  <w:sz w:val="24"/>
                  <w:szCs w:val="24"/>
                  <w:lang w:val="en-AU" w:eastAsia="en-AU"/>
                  <w14:ligatures w14:val="standardContextual"/>
                </w:rPr>
              </w:pPr>
              <w:hyperlink w:anchor="_Toc178256575" w:history="1">
                <w:r w:rsidR="006D17B1" w:rsidRPr="00222CE6">
                  <w:rPr>
                    <w:rStyle w:val="Hyperlink"/>
                    <w:noProof/>
                  </w:rPr>
                  <w:t>Australia at #4 globally for top-ranked universities</w:t>
                </w:r>
                <w:r w:rsidR="006D17B1">
                  <w:rPr>
                    <w:noProof/>
                    <w:webHidden/>
                  </w:rPr>
                  <w:tab/>
                </w:r>
                <w:r w:rsidR="006D17B1">
                  <w:rPr>
                    <w:noProof/>
                    <w:webHidden/>
                  </w:rPr>
                  <w:fldChar w:fldCharType="begin"/>
                </w:r>
                <w:r w:rsidR="006D17B1">
                  <w:rPr>
                    <w:noProof/>
                    <w:webHidden/>
                  </w:rPr>
                  <w:instrText xml:space="preserve"> PAGEREF _Toc178256575 \h </w:instrText>
                </w:r>
                <w:r w:rsidR="006D17B1">
                  <w:rPr>
                    <w:noProof/>
                    <w:webHidden/>
                  </w:rPr>
                </w:r>
                <w:r w:rsidR="006D17B1">
                  <w:rPr>
                    <w:noProof/>
                    <w:webHidden/>
                  </w:rPr>
                  <w:fldChar w:fldCharType="separate"/>
                </w:r>
                <w:r w:rsidR="006D17B1">
                  <w:rPr>
                    <w:noProof/>
                    <w:webHidden/>
                  </w:rPr>
                  <w:t>34</w:t>
                </w:r>
                <w:r w:rsidR="006D17B1">
                  <w:rPr>
                    <w:noProof/>
                    <w:webHidden/>
                  </w:rPr>
                  <w:fldChar w:fldCharType="end"/>
                </w:r>
              </w:hyperlink>
            </w:p>
            <w:p w14:paraId="5E6F8987" w14:textId="4B65F167" w:rsidR="006D17B1" w:rsidRDefault="00000000">
              <w:pPr>
                <w:pStyle w:val="TOC2"/>
                <w:rPr>
                  <w:rFonts w:cstheme="minorBidi"/>
                  <w:noProof/>
                  <w:kern w:val="2"/>
                  <w:sz w:val="24"/>
                  <w:szCs w:val="24"/>
                  <w:lang w:val="en-AU" w:eastAsia="en-AU"/>
                  <w14:ligatures w14:val="standardContextual"/>
                </w:rPr>
              </w:pPr>
              <w:hyperlink w:anchor="_Toc178256576" w:history="1">
                <w:r w:rsidR="006D17B1" w:rsidRPr="00222CE6">
                  <w:rPr>
                    <w:rStyle w:val="Hyperlink"/>
                    <w:noProof/>
                  </w:rPr>
                  <w:t>Australian research pursues UN goals</w:t>
                </w:r>
                <w:r w:rsidR="006D17B1">
                  <w:rPr>
                    <w:noProof/>
                    <w:webHidden/>
                  </w:rPr>
                  <w:tab/>
                </w:r>
                <w:r w:rsidR="006D17B1">
                  <w:rPr>
                    <w:noProof/>
                    <w:webHidden/>
                  </w:rPr>
                  <w:fldChar w:fldCharType="begin"/>
                </w:r>
                <w:r w:rsidR="006D17B1">
                  <w:rPr>
                    <w:noProof/>
                    <w:webHidden/>
                  </w:rPr>
                  <w:instrText xml:space="preserve"> PAGEREF _Toc178256576 \h </w:instrText>
                </w:r>
                <w:r w:rsidR="006D17B1">
                  <w:rPr>
                    <w:noProof/>
                    <w:webHidden/>
                  </w:rPr>
                </w:r>
                <w:r w:rsidR="006D17B1">
                  <w:rPr>
                    <w:noProof/>
                    <w:webHidden/>
                  </w:rPr>
                  <w:fldChar w:fldCharType="separate"/>
                </w:r>
                <w:r w:rsidR="006D17B1">
                  <w:rPr>
                    <w:noProof/>
                    <w:webHidden/>
                  </w:rPr>
                  <w:t>35</w:t>
                </w:r>
                <w:r w:rsidR="006D17B1">
                  <w:rPr>
                    <w:noProof/>
                    <w:webHidden/>
                  </w:rPr>
                  <w:fldChar w:fldCharType="end"/>
                </w:r>
              </w:hyperlink>
            </w:p>
            <w:p w14:paraId="77FBF2D4" w14:textId="09C0F9A5" w:rsidR="006D17B1" w:rsidRDefault="00000000">
              <w:pPr>
                <w:pStyle w:val="TOC1"/>
                <w:rPr>
                  <w:rFonts w:eastAsiaTheme="minorEastAsia"/>
                  <w:noProof/>
                  <w:kern w:val="2"/>
                  <w:sz w:val="24"/>
                  <w:szCs w:val="24"/>
                  <w:lang w:eastAsia="en-AU"/>
                  <w14:ligatures w14:val="standardContextual"/>
                </w:rPr>
              </w:pPr>
              <w:hyperlink w:anchor="_Toc178256577" w:history="1">
                <w:r w:rsidR="006D17B1" w:rsidRPr="00222CE6">
                  <w:rPr>
                    <w:rStyle w:val="Hyperlink"/>
                    <w:noProof/>
                  </w:rPr>
                  <w:t>Chapter 4 – Global ties &amp; open markets</w:t>
                </w:r>
                <w:r w:rsidR="006D17B1">
                  <w:rPr>
                    <w:noProof/>
                    <w:webHidden/>
                  </w:rPr>
                  <w:tab/>
                </w:r>
                <w:r w:rsidR="006D17B1">
                  <w:rPr>
                    <w:noProof/>
                    <w:webHidden/>
                  </w:rPr>
                  <w:fldChar w:fldCharType="begin"/>
                </w:r>
                <w:r w:rsidR="006D17B1">
                  <w:rPr>
                    <w:noProof/>
                    <w:webHidden/>
                  </w:rPr>
                  <w:instrText xml:space="preserve"> PAGEREF _Toc178256577 \h </w:instrText>
                </w:r>
                <w:r w:rsidR="006D17B1">
                  <w:rPr>
                    <w:noProof/>
                    <w:webHidden/>
                  </w:rPr>
                </w:r>
                <w:r w:rsidR="006D17B1">
                  <w:rPr>
                    <w:noProof/>
                    <w:webHidden/>
                  </w:rPr>
                  <w:fldChar w:fldCharType="separate"/>
                </w:r>
                <w:r w:rsidR="006D17B1">
                  <w:rPr>
                    <w:noProof/>
                    <w:webHidden/>
                  </w:rPr>
                  <w:t>36</w:t>
                </w:r>
                <w:r w:rsidR="006D17B1">
                  <w:rPr>
                    <w:noProof/>
                    <w:webHidden/>
                  </w:rPr>
                  <w:fldChar w:fldCharType="end"/>
                </w:r>
              </w:hyperlink>
            </w:p>
            <w:p w14:paraId="179FB9B6" w14:textId="6EB16B6C" w:rsidR="006D17B1" w:rsidRDefault="00000000">
              <w:pPr>
                <w:pStyle w:val="TOC2"/>
                <w:rPr>
                  <w:rFonts w:cstheme="minorBidi"/>
                  <w:noProof/>
                  <w:kern w:val="2"/>
                  <w:sz w:val="24"/>
                  <w:szCs w:val="24"/>
                  <w:lang w:val="en-AU" w:eastAsia="en-AU"/>
                  <w14:ligatures w14:val="standardContextual"/>
                </w:rPr>
              </w:pPr>
              <w:hyperlink w:anchor="_Toc178256578" w:history="1">
                <w:r w:rsidR="006D17B1" w:rsidRPr="00222CE6">
                  <w:rPr>
                    <w:rStyle w:val="Hyperlink"/>
                    <w:noProof/>
                  </w:rPr>
                  <w:t>Outward looking with a passion for free trade</w:t>
                </w:r>
                <w:r w:rsidR="006D17B1">
                  <w:rPr>
                    <w:noProof/>
                    <w:webHidden/>
                  </w:rPr>
                  <w:tab/>
                </w:r>
                <w:r w:rsidR="006D17B1">
                  <w:rPr>
                    <w:noProof/>
                    <w:webHidden/>
                  </w:rPr>
                  <w:fldChar w:fldCharType="begin"/>
                </w:r>
                <w:r w:rsidR="006D17B1">
                  <w:rPr>
                    <w:noProof/>
                    <w:webHidden/>
                  </w:rPr>
                  <w:instrText xml:space="preserve"> PAGEREF _Toc178256578 \h </w:instrText>
                </w:r>
                <w:r w:rsidR="006D17B1">
                  <w:rPr>
                    <w:noProof/>
                    <w:webHidden/>
                  </w:rPr>
                </w:r>
                <w:r w:rsidR="006D17B1">
                  <w:rPr>
                    <w:noProof/>
                    <w:webHidden/>
                  </w:rPr>
                  <w:fldChar w:fldCharType="separate"/>
                </w:r>
                <w:r w:rsidR="006D17B1">
                  <w:rPr>
                    <w:noProof/>
                    <w:webHidden/>
                  </w:rPr>
                  <w:t>36</w:t>
                </w:r>
                <w:r w:rsidR="006D17B1">
                  <w:rPr>
                    <w:noProof/>
                    <w:webHidden/>
                  </w:rPr>
                  <w:fldChar w:fldCharType="end"/>
                </w:r>
              </w:hyperlink>
            </w:p>
            <w:p w14:paraId="65A436FC" w14:textId="7F33AF2E" w:rsidR="006D17B1" w:rsidRDefault="00000000">
              <w:pPr>
                <w:pStyle w:val="TOC2"/>
                <w:rPr>
                  <w:rFonts w:cstheme="minorBidi"/>
                  <w:noProof/>
                  <w:kern w:val="2"/>
                  <w:sz w:val="24"/>
                  <w:szCs w:val="24"/>
                  <w:lang w:val="en-AU" w:eastAsia="en-AU"/>
                  <w14:ligatures w14:val="standardContextual"/>
                </w:rPr>
              </w:pPr>
              <w:hyperlink w:anchor="_Toc178256579" w:history="1">
                <w:r w:rsidR="006D17B1" w:rsidRPr="00222CE6">
                  <w:rPr>
                    <w:rStyle w:val="Hyperlink"/>
                    <w:noProof/>
                  </w:rPr>
                  <w:t>Proximity to Asia’s powerhouse economies</w:t>
                </w:r>
                <w:r w:rsidR="006D17B1">
                  <w:rPr>
                    <w:noProof/>
                    <w:webHidden/>
                  </w:rPr>
                  <w:tab/>
                </w:r>
                <w:r w:rsidR="006D17B1">
                  <w:rPr>
                    <w:noProof/>
                    <w:webHidden/>
                  </w:rPr>
                  <w:fldChar w:fldCharType="begin"/>
                </w:r>
                <w:r w:rsidR="006D17B1">
                  <w:rPr>
                    <w:noProof/>
                    <w:webHidden/>
                  </w:rPr>
                  <w:instrText xml:space="preserve"> PAGEREF _Toc178256579 \h </w:instrText>
                </w:r>
                <w:r w:rsidR="006D17B1">
                  <w:rPr>
                    <w:noProof/>
                    <w:webHidden/>
                  </w:rPr>
                </w:r>
                <w:r w:rsidR="006D17B1">
                  <w:rPr>
                    <w:noProof/>
                    <w:webHidden/>
                  </w:rPr>
                  <w:fldChar w:fldCharType="separate"/>
                </w:r>
                <w:r w:rsidR="006D17B1">
                  <w:rPr>
                    <w:noProof/>
                    <w:webHidden/>
                  </w:rPr>
                  <w:t>37</w:t>
                </w:r>
                <w:r w:rsidR="006D17B1">
                  <w:rPr>
                    <w:noProof/>
                    <w:webHidden/>
                  </w:rPr>
                  <w:fldChar w:fldCharType="end"/>
                </w:r>
              </w:hyperlink>
            </w:p>
            <w:p w14:paraId="67DE4067" w14:textId="3506A704" w:rsidR="006D17B1" w:rsidRDefault="00000000">
              <w:pPr>
                <w:pStyle w:val="TOC2"/>
                <w:rPr>
                  <w:rFonts w:cstheme="minorBidi"/>
                  <w:noProof/>
                  <w:kern w:val="2"/>
                  <w:sz w:val="24"/>
                  <w:szCs w:val="24"/>
                  <w:lang w:val="en-AU" w:eastAsia="en-AU"/>
                  <w14:ligatures w14:val="standardContextual"/>
                </w:rPr>
              </w:pPr>
              <w:hyperlink w:anchor="_Toc178256580" w:history="1">
                <w:r w:rsidR="006D17B1" w:rsidRPr="00222CE6">
                  <w:rPr>
                    <w:rStyle w:val="Hyperlink"/>
                    <w:noProof/>
                  </w:rPr>
                  <w:t>A broad network of trade agreements</w:t>
                </w:r>
                <w:r w:rsidR="006D17B1">
                  <w:rPr>
                    <w:noProof/>
                    <w:webHidden/>
                  </w:rPr>
                  <w:tab/>
                </w:r>
                <w:r w:rsidR="006D17B1">
                  <w:rPr>
                    <w:noProof/>
                    <w:webHidden/>
                  </w:rPr>
                  <w:fldChar w:fldCharType="begin"/>
                </w:r>
                <w:r w:rsidR="006D17B1">
                  <w:rPr>
                    <w:noProof/>
                    <w:webHidden/>
                  </w:rPr>
                  <w:instrText xml:space="preserve"> PAGEREF _Toc178256580 \h </w:instrText>
                </w:r>
                <w:r w:rsidR="006D17B1">
                  <w:rPr>
                    <w:noProof/>
                    <w:webHidden/>
                  </w:rPr>
                </w:r>
                <w:r w:rsidR="006D17B1">
                  <w:rPr>
                    <w:noProof/>
                    <w:webHidden/>
                  </w:rPr>
                  <w:fldChar w:fldCharType="separate"/>
                </w:r>
                <w:r w:rsidR="006D17B1">
                  <w:rPr>
                    <w:noProof/>
                    <w:webHidden/>
                  </w:rPr>
                  <w:t>38</w:t>
                </w:r>
                <w:r w:rsidR="006D17B1">
                  <w:rPr>
                    <w:noProof/>
                    <w:webHidden/>
                  </w:rPr>
                  <w:fldChar w:fldCharType="end"/>
                </w:r>
              </w:hyperlink>
            </w:p>
            <w:p w14:paraId="5459ADF9" w14:textId="356550C7" w:rsidR="006D17B1" w:rsidRDefault="00000000">
              <w:pPr>
                <w:pStyle w:val="TOC2"/>
                <w:rPr>
                  <w:rFonts w:cstheme="minorBidi"/>
                  <w:noProof/>
                  <w:kern w:val="2"/>
                  <w:sz w:val="24"/>
                  <w:szCs w:val="24"/>
                  <w:lang w:val="en-AU" w:eastAsia="en-AU"/>
                  <w14:ligatures w14:val="standardContextual"/>
                </w:rPr>
              </w:pPr>
              <w:hyperlink w:anchor="_Toc178256581" w:history="1">
                <w:r w:rsidR="006D17B1" w:rsidRPr="00222CE6">
                  <w:rPr>
                    <w:rStyle w:val="Hyperlink"/>
                    <w:noProof/>
                  </w:rPr>
                  <w:t>Pioneering the modernisation of global trade</w:t>
                </w:r>
                <w:r w:rsidR="006D17B1">
                  <w:rPr>
                    <w:noProof/>
                    <w:webHidden/>
                  </w:rPr>
                  <w:tab/>
                </w:r>
                <w:r w:rsidR="006D17B1">
                  <w:rPr>
                    <w:noProof/>
                    <w:webHidden/>
                  </w:rPr>
                  <w:fldChar w:fldCharType="begin"/>
                </w:r>
                <w:r w:rsidR="006D17B1">
                  <w:rPr>
                    <w:noProof/>
                    <w:webHidden/>
                  </w:rPr>
                  <w:instrText xml:space="preserve"> PAGEREF _Toc178256581 \h </w:instrText>
                </w:r>
                <w:r w:rsidR="006D17B1">
                  <w:rPr>
                    <w:noProof/>
                    <w:webHidden/>
                  </w:rPr>
                </w:r>
                <w:r w:rsidR="006D17B1">
                  <w:rPr>
                    <w:noProof/>
                    <w:webHidden/>
                  </w:rPr>
                  <w:fldChar w:fldCharType="separate"/>
                </w:r>
                <w:r w:rsidR="006D17B1">
                  <w:rPr>
                    <w:noProof/>
                    <w:webHidden/>
                  </w:rPr>
                  <w:t>40</w:t>
                </w:r>
                <w:r w:rsidR="006D17B1">
                  <w:rPr>
                    <w:noProof/>
                    <w:webHidden/>
                  </w:rPr>
                  <w:fldChar w:fldCharType="end"/>
                </w:r>
              </w:hyperlink>
            </w:p>
            <w:p w14:paraId="0F73FB48" w14:textId="07976CAF" w:rsidR="006D17B1" w:rsidRDefault="00000000">
              <w:pPr>
                <w:pStyle w:val="TOC2"/>
                <w:rPr>
                  <w:rFonts w:cstheme="minorBidi"/>
                  <w:noProof/>
                  <w:kern w:val="2"/>
                  <w:sz w:val="24"/>
                  <w:szCs w:val="24"/>
                  <w:lang w:val="en-AU" w:eastAsia="en-AU"/>
                  <w14:ligatures w14:val="standardContextual"/>
                </w:rPr>
              </w:pPr>
              <w:hyperlink w:anchor="_Toc178256582" w:history="1">
                <w:r w:rsidR="006D17B1" w:rsidRPr="00222CE6">
                  <w:rPr>
                    <w:rStyle w:val="Hyperlink"/>
                    <w:noProof/>
                  </w:rPr>
                  <w:t>A global hub with diverse connections</w:t>
                </w:r>
                <w:r w:rsidR="006D17B1">
                  <w:rPr>
                    <w:noProof/>
                    <w:webHidden/>
                  </w:rPr>
                  <w:tab/>
                </w:r>
                <w:r w:rsidR="006D17B1">
                  <w:rPr>
                    <w:noProof/>
                    <w:webHidden/>
                  </w:rPr>
                  <w:fldChar w:fldCharType="begin"/>
                </w:r>
                <w:r w:rsidR="006D17B1">
                  <w:rPr>
                    <w:noProof/>
                    <w:webHidden/>
                  </w:rPr>
                  <w:instrText xml:space="preserve"> PAGEREF _Toc178256582 \h </w:instrText>
                </w:r>
                <w:r w:rsidR="006D17B1">
                  <w:rPr>
                    <w:noProof/>
                    <w:webHidden/>
                  </w:rPr>
                </w:r>
                <w:r w:rsidR="006D17B1">
                  <w:rPr>
                    <w:noProof/>
                    <w:webHidden/>
                  </w:rPr>
                  <w:fldChar w:fldCharType="separate"/>
                </w:r>
                <w:r w:rsidR="006D17B1">
                  <w:rPr>
                    <w:noProof/>
                    <w:webHidden/>
                  </w:rPr>
                  <w:t>41</w:t>
                </w:r>
                <w:r w:rsidR="006D17B1">
                  <w:rPr>
                    <w:noProof/>
                    <w:webHidden/>
                  </w:rPr>
                  <w:fldChar w:fldCharType="end"/>
                </w:r>
              </w:hyperlink>
            </w:p>
            <w:p w14:paraId="6F7BBA1E" w14:textId="64718F96" w:rsidR="006D17B1" w:rsidRDefault="00000000">
              <w:pPr>
                <w:pStyle w:val="TOC2"/>
                <w:rPr>
                  <w:rFonts w:cstheme="minorBidi"/>
                  <w:noProof/>
                  <w:kern w:val="2"/>
                  <w:sz w:val="24"/>
                  <w:szCs w:val="24"/>
                  <w:lang w:val="en-AU" w:eastAsia="en-AU"/>
                  <w14:ligatures w14:val="standardContextual"/>
                </w:rPr>
              </w:pPr>
              <w:hyperlink w:anchor="_Toc178256583" w:history="1">
                <w:r w:rsidR="006D17B1" w:rsidRPr="00222CE6">
                  <w:rPr>
                    <w:rStyle w:val="Hyperlink"/>
                    <w:noProof/>
                  </w:rPr>
                  <w:t>Foreign investment reaches A$4.7 trillion</w:t>
                </w:r>
                <w:r w:rsidR="006D17B1">
                  <w:rPr>
                    <w:noProof/>
                    <w:webHidden/>
                  </w:rPr>
                  <w:tab/>
                </w:r>
                <w:r w:rsidR="006D17B1">
                  <w:rPr>
                    <w:noProof/>
                    <w:webHidden/>
                  </w:rPr>
                  <w:fldChar w:fldCharType="begin"/>
                </w:r>
                <w:r w:rsidR="006D17B1">
                  <w:rPr>
                    <w:noProof/>
                    <w:webHidden/>
                  </w:rPr>
                  <w:instrText xml:space="preserve"> PAGEREF _Toc178256583 \h </w:instrText>
                </w:r>
                <w:r w:rsidR="006D17B1">
                  <w:rPr>
                    <w:noProof/>
                    <w:webHidden/>
                  </w:rPr>
                </w:r>
                <w:r w:rsidR="006D17B1">
                  <w:rPr>
                    <w:noProof/>
                    <w:webHidden/>
                  </w:rPr>
                  <w:fldChar w:fldCharType="separate"/>
                </w:r>
                <w:r w:rsidR="006D17B1">
                  <w:rPr>
                    <w:noProof/>
                    <w:webHidden/>
                  </w:rPr>
                  <w:t>42</w:t>
                </w:r>
                <w:r w:rsidR="006D17B1">
                  <w:rPr>
                    <w:noProof/>
                    <w:webHidden/>
                  </w:rPr>
                  <w:fldChar w:fldCharType="end"/>
                </w:r>
              </w:hyperlink>
            </w:p>
            <w:p w14:paraId="789FFD3E" w14:textId="23C45326" w:rsidR="006D17B1" w:rsidRDefault="00000000">
              <w:pPr>
                <w:pStyle w:val="TOC2"/>
                <w:rPr>
                  <w:rFonts w:cstheme="minorBidi"/>
                  <w:noProof/>
                  <w:kern w:val="2"/>
                  <w:sz w:val="24"/>
                  <w:szCs w:val="24"/>
                  <w:lang w:val="en-AU" w:eastAsia="en-AU"/>
                  <w14:ligatures w14:val="standardContextual"/>
                </w:rPr>
              </w:pPr>
              <w:hyperlink w:anchor="_Toc178256584" w:history="1">
                <w:r w:rsidR="006D17B1" w:rsidRPr="00222CE6">
                  <w:rPr>
                    <w:rStyle w:val="Hyperlink"/>
                    <w:noProof/>
                  </w:rPr>
                  <w:t>Australia attracts investors from America, Europe and Asia</w:t>
                </w:r>
                <w:r w:rsidR="006D17B1">
                  <w:rPr>
                    <w:noProof/>
                    <w:webHidden/>
                  </w:rPr>
                  <w:tab/>
                </w:r>
                <w:r w:rsidR="006D17B1">
                  <w:rPr>
                    <w:noProof/>
                    <w:webHidden/>
                  </w:rPr>
                  <w:fldChar w:fldCharType="begin"/>
                </w:r>
                <w:r w:rsidR="006D17B1">
                  <w:rPr>
                    <w:noProof/>
                    <w:webHidden/>
                  </w:rPr>
                  <w:instrText xml:space="preserve"> PAGEREF _Toc178256584 \h </w:instrText>
                </w:r>
                <w:r w:rsidR="006D17B1">
                  <w:rPr>
                    <w:noProof/>
                    <w:webHidden/>
                  </w:rPr>
                </w:r>
                <w:r w:rsidR="006D17B1">
                  <w:rPr>
                    <w:noProof/>
                    <w:webHidden/>
                  </w:rPr>
                  <w:fldChar w:fldCharType="separate"/>
                </w:r>
                <w:r w:rsidR="006D17B1">
                  <w:rPr>
                    <w:noProof/>
                    <w:webHidden/>
                  </w:rPr>
                  <w:t>43</w:t>
                </w:r>
                <w:r w:rsidR="006D17B1">
                  <w:rPr>
                    <w:noProof/>
                    <w:webHidden/>
                  </w:rPr>
                  <w:fldChar w:fldCharType="end"/>
                </w:r>
              </w:hyperlink>
            </w:p>
            <w:p w14:paraId="2CC3268A" w14:textId="54797D74" w:rsidR="006D17B1" w:rsidRDefault="00000000">
              <w:pPr>
                <w:pStyle w:val="TOC2"/>
                <w:rPr>
                  <w:rFonts w:cstheme="minorBidi"/>
                  <w:noProof/>
                  <w:kern w:val="2"/>
                  <w:sz w:val="24"/>
                  <w:szCs w:val="24"/>
                  <w:lang w:val="en-AU" w:eastAsia="en-AU"/>
                  <w14:ligatures w14:val="standardContextual"/>
                </w:rPr>
              </w:pPr>
              <w:hyperlink w:anchor="_Toc178256585" w:history="1">
                <w:r w:rsidR="006D17B1" w:rsidRPr="00222CE6">
                  <w:rPr>
                    <w:rStyle w:val="Hyperlink"/>
                    <w:noProof/>
                  </w:rPr>
                  <w:t>The trillion-dollar trading nation</w:t>
                </w:r>
                <w:r w:rsidR="006D17B1">
                  <w:rPr>
                    <w:noProof/>
                    <w:webHidden/>
                  </w:rPr>
                  <w:tab/>
                </w:r>
                <w:r w:rsidR="006D17B1">
                  <w:rPr>
                    <w:noProof/>
                    <w:webHidden/>
                  </w:rPr>
                  <w:fldChar w:fldCharType="begin"/>
                </w:r>
                <w:r w:rsidR="006D17B1">
                  <w:rPr>
                    <w:noProof/>
                    <w:webHidden/>
                  </w:rPr>
                  <w:instrText xml:space="preserve"> PAGEREF _Toc178256585 \h </w:instrText>
                </w:r>
                <w:r w:rsidR="006D17B1">
                  <w:rPr>
                    <w:noProof/>
                    <w:webHidden/>
                  </w:rPr>
                </w:r>
                <w:r w:rsidR="006D17B1">
                  <w:rPr>
                    <w:noProof/>
                    <w:webHidden/>
                  </w:rPr>
                  <w:fldChar w:fldCharType="separate"/>
                </w:r>
                <w:r w:rsidR="006D17B1">
                  <w:rPr>
                    <w:noProof/>
                    <w:webHidden/>
                  </w:rPr>
                  <w:t>44</w:t>
                </w:r>
                <w:r w:rsidR="006D17B1">
                  <w:rPr>
                    <w:noProof/>
                    <w:webHidden/>
                  </w:rPr>
                  <w:fldChar w:fldCharType="end"/>
                </w:r>
              </w:hyperlink>
            </w:p>
            <w:p w14:paraId="55AA4F14" w14:textId="6BAA7C25" w:rsidR="006D17B1" w:rsidRDefault="00000000">
              <w:pPr>
                <w:pStyle w:val="TOC2"/>
                <w:rPr>
                  <w:rFonts w:cstheme="minorBidi"/>
                  <w:noProof/>
                  <w:kern w:val="2"/>
                  <w:sz w:val="24"/>
                  <w:szCs w:val="24"/>
                  <w:lang w:val="en-AU" w:eastAsia="en-AU"/>
                  <w14:ligatures w14:val="standardContextual"/>
                </w:rPr>
              </w:pPr>
              <w:hyperlink w:anchor="_Toc178256586" w:history="1">
                <w:r w:rsidR="006D17B1" w:rsidRPr="00222CE6">
                  <w:rPr>
                    <w:rStyle w:val="Hyperlink"/>
                    <w:noProof/>
                  </w:rPr>
                  <w:t>An open trading economy for services</w:t>
                </w:r>
                <w:r w:rsidR="006D17B1">
                  <w:rPr>
                    <w:noProof/>
                    <w:webHidden/>
                  </w:rPr>
                  <w:tab/>
                </w:r>
                <w:r w:rsidR="006D17B1">
                  <w:rPr>
                    <w:noProof/>
                    <w:webHidden/>
                  </w:rPr>
                  <w:fldChar w:fldCharType="begin"/>
                </w:r>
                <w:r w:rsidR="006D17B1">
                  <w:rPr>
                    <w:noProof/>
                    <w:webHidden/>
                  </w:rPr>
                  <w:instrText xml:space="preserve"> PAGEREF _Toc178256586 \h </w:instrText>
                </w:r>
                <w:r w:rsidR="006D17B1">
                  <w:rPr>
                    <w:noProof/>
                    <w:webHidden/>
                  </w:rPr>
                </w:r>
                <w:r w:rsidR="006D17B1">
                  <w:rPr>
                    <w:noProof/>
                    <w:webHidden/>
                  </w:rPr>
                  <w:fldChar w:fldCharType="separate"/>
                </w:r>
                <w:r w:rsidR="006D17B1">
                  <w:rPr>
                    <w:noProof/>
                    <w:webHidden/>
                  </w:rPr>
                  <w:t>45</w:t>
                </w:r>
                <w:r w:rsidR="006D17B1">
                  <w:rPr>
                    <w:noProof/>
                    <w:webHidden/>
                  </w:rPr>
                  <w:fldChar w:fldCharType="end"/>
                </w:r>
              </w:hyperlink>
            </w:p>
            <w:p w14:paraId="01A88F08" w14:textId="6A436D4E" w:rsidR="006D17B1" w:rsidRDefault="00000000">
              <w:pPr>
                <w:pStyle w:val="TOC2"/>
                <w:rPr>
                  <w:rFonts w:cstheme="minorBidi"/>
                  <w:noProof/>
                  <w:kern w:val="2"/>
                  <w:sz w:val="24"/>
                  <w:szCs w:val="24"/>
                  <w:lang w:val="en-AU" w:eastAsia="en-AU"/>
                  <w14:ligatures w14:val="standardContextual"/>
                </w:rPr>
              </w:pPr>
              <w:hyperlink w:anchor="_Toc178256587" w:history="1">
                <w:r w:rsidR="006D17B1" w:rsidRPr="00222CE6">
                  <w:rPr>
                    <w:rStyle w:val="Hyperlink"/>
                    <w:noProof/>
                  </w:rPr>
                  <w:t>Abundant energy and resources</w:t>
                </w:r>
                <w:r w:rsidR="006D17B1">
                  <w:rPr>
                    <w:noProof/>
                    <w:webHidden/>
                  </w:rPr>
                  <w:tab/>
                </w:r>
                <w:r w:rsidR="006D17B1">
                  <w:rPr>
                    <w:noProof/>
                    <w:webHidden/>
                  </w:rPr>
                  <w:fldChar w:fldCharType="begin"/>
                </w:r>
                <w:r w:rsidR="006D17B1">
                  <w:rPr>
                    <w:noProof/>
                    <w:webHidden/>
                  </w:rPr>
                  <w:instrText xml:space="preserve"> PAGEREF _Toc178256587 \h </w:instrText>
                </w:r>
                <w:r w:rsidR="006D17B1">
                  <w:rPr>
                    <w:noProof/>
                    <w:webHidden/>
                  </w:rPr>
                </w:r>
                <w:r w:rsidR="006D17B1">
                  <w:rPr>
                    <w:noProof/>
                    <w:webHidden/>
                  </w:rPr>
                  <w:fldChar w:fldCharType="separate"/>
                </w:r>
                <w:r w:rsidR="006D17B1">
                  <w:rPr>
                    <w:noProof/>
                    <w:webHidden/>
                  </w:rPr>
                  <w:t>46</w:t>
                </w:r>
                <w:r w:rsidR="006D17B1">
                  <w:rPr>
                    <w:noProof/>
                    <w:webHidden/>
                  </w:rPr>
                  <w:fldChar w:fldCharType="end"/>
                </w:r>
              </w:hyperlink>
            </w:p>
            <w:p w14:paraId="3A83D470" w14:textId="4B5499A1" w:rsidR="006D17B1" w:rsidRDefault="00000000">
              <w:pPr>
                <w:pStyle w:val="TOC2"/>
                <w:rPr>
                  <w:rFonts w:cstheme="minorBidi"/>
                  <w:noProof/>
                  <w:kern w:val="2"/>
                  <w:sz w:val="24"/>
                  <w:szCs w:val="24"/>
                  <w:lang w:val="en-AU" w:eastAsia="en-AU"/>
                  <w14:ligatures w14:val="standardContextual"/>
                </w:rPr>
              </w:pPr>
              <w:hyperlink w:anchor="_Toc178256588" w:history="1">
                <w:r w:rsidR="006D17B1" w:rsidRPr="00222CE6">
                  <w:rPr>
                    <w:rStyle w:val="Hyperlink"/>
                    <w:noProof/>
                  </w:rPr>
                  <w:t>Agrifood exports grow in global and premium markets</w:t>
                </w:r>
                <w:r w:rsidR="006D17B1">
                  <w:rPr>
                    <w:noProof/>
                    <w:webHidden/>
                  </w:rPr>
                  <w:tab/>
                </w:r>
                <w:r w:rsidR="006D17B1">
                  <w:rPr>
                    <w:noProof/>
                    <w:webHidden/>
                  </w:rPr>
                  <w:fldChar w:fldCharType="begin"/>
                </w:r>
                <w:r w:rsidR="006D17B1">
                  <w:rPr>
                    <w:noProof/>
                    <w:webHidden/>
                  </w:rPr>
                  <w:instrText xml:space="preserve"> PAGEREF _Toc178256588 \h </w:instrText>
                </w:r>
                <w:r w:rsidR="006D17B1">
                  <w:rPr>
                    <w:noProof/>
                    <w:webHidden/>
                  </w:rPr>
                </w:r>
                <w:r w:rsidR="006D17B1">
                  <w:rPr>
                    <w:noProof/>
                    <w:webHidden/>
                  </w:rPr>
                  <w:fldChar w:fldCharType="separate"/>
                </w:r>
                <w:r w:rsidR="006D17B1">
                  <w:rPr>
                    <w:noProof/>
                    <w:webHidden/>
                  </w:rPr>
                  <w:t>47</w:t>
                </w:r>
                <w:r w:rsidR="006D17B1">
                  <w:rPr>
                    <w:noProof/>
                    <w:webHidden/>
                  </w:rPr>
                  <w:fldChar w:fldCharType="end"/>
                </w:r>
              </w:hyperlink>
            </w:p>
            <w:p w14:paraId="6E799ECF" w14:textId="1473E7D0" w:rsidR="006D17B1" w:rsidRDefault="00000000">
              <w:pPr>
                <w:pStyle w:val="TOC2"/>
                <w:rPr>
                  <w:rFonts w:cstheme="minorBidi"/>
                  <w:noProof/>
                  <w:kern w:val="2"/>
                  <w:sz w:val="24"/>
                  <w:szCs w:val="24"/>
                  <w:lang w:val="en-AU" w:eastAsia="en-AU"/>
                  <w14:ligatures w14:val="standardContextual"/>
                </w:rPr>
              </w:pPr>
              <w:hyperlink w:anchor="_Toc178256589" w:history="1">
                <w:r w:rsidR="006D17B1" w:rsidRPr="00222CE6">
                  <w:rPr>
                    <w:rStyle w:val="Hyperlink"/>
                    <w:noProof/>
                  </w:rPr>
                  <w:t>A growth market for international travellers</w:t>
                </w:r>
                <w:r w:rsidR="006D17B1">
                  <w:rPr>
                    <w:noProof/>
                    <w:webHidden/>
                  </w:rPr>
                  <w:tab/>
                </w:r>
                <w:r w:rsidR="006D17B1">
                  <w:rPr>
                    <w:noProof/>
                    <w:webHidden/>
                  </w:rPr>
                  <w:fldChar w:fldCharType="begin"/>
                </w:r>
                <w:r w:rsidR="006D17B1">
                  <w:rPr>
                    <w:noProof/>
                    <w:webHidden/>
                  </w:rPr>
                  <w:instrText xml:space="preserve"> PAGEREF _Toc178256589 \h </w:instrText>
                </w:r>
                <w:r w:rsidR="006D17B1">
                  <w:rPr>
                    <w:noProof/>
                    <w:webHidden/>
                  </w:rPr>
                </w:r>
                <w:r w:rsidR="006D17B1">
                  <w:rPr>
                    <w:noProof/>
                    <w:webHidden/>
                  </w:rPr>
                  <w:fldChar w:fldCharType="separate"/>
                </w:r>
                <w:r w:rsidR="006D17B1">
                  <w:rPr>
                    <w:noProof/>
                    <w:webHidden/>
                  </w:rPr>
                  <w:t>48</w:t>
                </w:r>
                <w:r w:rsidR="006D17B1">
                  <w:rPr>
                    <w:noProof/>
                    <w:webHidden/>
                  </w:rPr>
                  <w:fldChar w:fldCharType="end"/>
                </w:r>
              </w:hyperlink>
            </w:p>
            <w:p w14:paraId="4ACE5380" w14:textId="0EEF419A" w:rsidR="006D17B1" w:rsidRDefault="00000000">
              <w:pPr>
                <w:pStyle w:val="TOC1"/>
                <w:rPr>
                  <w:rFonts w:eastAsiaTheme="minorEastAsia"/>
                  <w:noProof/>
                  <w:kern w:val="2"/>
                  <w:sz w:val="24"/>
                  <w:szCs w:val="24"/>
                  <w:lang w:eastAsia="en-AU"/>
                  <w14:ligatures w14:val="standardContextual"/>
                </w:rPr>
              </w:pPr>
              <w:hyperlink w:anchor="_Toc178256590" w:history="1">
                <w:r w:rsidR="006D17B1" w:rsidRPr="00222CE6">
                  <w:rPr>
                    <w:rStyle w:val="Hyperlink"/>
                    <w:noProof/>
                  </w:rPr>
                  <w:t>Chapter 5 – High quality of life</w:t>
                </w:r>
                <w:r w:rsidR="006D17B1">
                  <w:rPr>
                    <w:noProof/>
                    <w:webHidden/>
                  </w:rPr>
                  <w:tab/>
                </w:r>
                <w:r w:rsidR="006D17B1">
                  <w:rPr>
                    <w:noProof/>
                    <w:webHidden/>
                  </w:rPr>
                  <w:fldChar w:fldCharType="begin"/>
                </w:r>
                <w:r w:rsidR="006D17B1">
                  <w:rPr>
                    <w:noProof/>
                    <w:webHidden/>
                  </w:rPr>
                  <w:instrText xml:space="preserve"> PAGEREF _Toc178256590 \h </w:instrText>
                </w:r>
                <w:r w:rsidR="006D17B1">
                  <w:rPr>
                    <w:noProof/>
                    <w:webHidden/>
                  </w:rPr>
                </w:r>
                <w:r w:rsidR="006D17B1">
                  <w:rPr>
                    <w:noProof/>
                    <w:webHidden/>
                  </w:rPr>
                  <w:fldChar w:fldCharType="separate"/>
                </w:r>
                <w:r w:rsidR="006D17B1">
                  <w:rPr>
                    <w:noProof/>
                    <w:webHidden/>
                  </w:rPr>
                  <w:t>49</w:t>
                </w:r>
                <w:r w:rsidR="006D17B1">
                  <w:rPr>
                    <w:noProof/>
                    <w:webHidden/>
                  </w:rPr>
                  <w:fldChar w:fldCharType="end"/>
                </w:r>
              </w:hyperlink>
            </w:p>
            <w:p w14:paraId="68662958" w14:textId="38A6AAE7" w:rsidR="006D17B1" w:rsidRDefault="00000000">
              <w:pPr>
                <w:pStyle w:val="TOC2"/>
                <w:rPr>
                  <w:rFonts w:cstheme="minorBidi"/>
                  <w:noProof/>
                  <w:kern w:val="2"/>
                  <w:sz w:val="24"/>
                  <w:szCs w:val="24"/>
                  <w:lang w:val="en-AU" w:eastAsia="en-AU"/>
                  <w14:ligatures w14:val="standardContextual"/>
                </w:rPr>
              </w:pPr>
              <w:hyperlink w:anchor="_Toc178256591" w:history="1">
                <w:r w:rsidR="006D17B1" w:rsidRPr="00222CE6">
                  <w:rPr>
                    <w:rStyle w:val="Hyperlink"/>
                    <w:noProof/>
                  </w:rPr>
                  <w:t>An attractive place to live and work</w:t>
                </w:r>
                <w:r w:rsidR="006D17B1">
                  <w:rPr>
                    <w:noProof/>
                    <w:webHidden/>
                  </w:rPr>
                  <w:tab/>
                </w:r>
                <w:r w:rsidR="006D17B1">
                  <w:rPr>
                    <w:noProof/>
                    <w:webHidden/>
                  </w:rPr>
                  <w:fldChar w:fldCharType="begin"/>
                </w:r>
                <w:r w:rsidR="006D17B1">
                  <w:rPr>
                    <w:noProof/>
                    <w:webHidden/>
                  </w:rPr>
                  <w:instrText xml:space="preserve"> PAGEREF _Toc178256591 \h </w:instrText>
                </w:r>
                <w:r w:rsidR="006D17B1">
                  <w:rPr>
                    <w:noProof/>
                    <w:webHidden/>
                  </w:rPr>
                </w:r>
                <w:r w:rsidR="006D17B1">
                  <w:rPr>
                    <w:noProof/>
                    <w:webHidden/>
                  </w:rPr>
                  <w:fldChar w:fldCharType="separate"/>
                </w:r>
                <w:r w:rsidR="006D17B1">
                  <w:rPr>
                    <w:noProof/>
                    <w:webHidden/>
                  </w:rPr>
                  <w:t>49</w:t>
                </w:r>
                <w:r w:rsidR="006D17B1">
                  <w:rPr>
                    <w:noProof/>
                    <w:webHidden/>
                  </w:rPr>
                  <w:fldChar w:fldCharType="end"/>
                </w:r>
              </w:hyperlink>
            </w:p>
            <w:p w14:paraId="324CF8A0" w14:textId="498B5950" w:rsidR="006D17B1" w:rsidRDefault="00000000">
              <w:pPr>
                <w:pStyle w:val="TOC2"/>
                <w:rPr>
                  <w:rFonts w:cstheme="minorBidi"/>
                  <w:noProof/>
                  <w:kern w:val="2"/>
                  <w:sz w:val="24"/>
                  <w:szCs w:val="24"/>
                  <w:lang w:val="en-AU" w:eastAsia="en-AU"/>
                  <w14:ligatures w14:val="standardContextual"/>
                </w:rPr>
              </w:pPr>
              <w:hyperlink w:anchor="_Toc178256592" w:history="1">
                <w:r w:rsidR="006D17B1" w:rsidRPr="00222CE6">
                  <w:rPr>
                    <w:rStyle w:val="Hyperlink"/>
                    <w:noProof/>
                  </w:rPr>
                  <w:t>Top marks for talent attraction</w:t>
                </w:r>
                <w:r w:rsidR="006D17B1">
                  <w:rPr>
                    <w:noProof/>
                    <w:webHidden/>
                  </w:rPr>
                  <w:tab/>
                </w:r>
                <w:r w:rsidR="006D17B1">
                  <w:rPr>
                    <w:noProof/>
                    <w:webHidden/>
                  </w:rPr>
                  <w:fldChar w:fldCharType="begin"/>
                </w:r>
                <w:r w:rsidR="006D17B1">
                  <w:rPr>
                    <w:noProof/>
                    <w:webHidden/>
                  </w:rPr>
                  <w:instrText xml:space="preserve"> PAGEREF _Toc178256592 \h </w:instrText>
                </w:r>
                <w:r w:rsidR="006D17B1">
                  <w:rPr>
                    <w:noProof/>
                    <w:webHidden/>
                  </w:rPr>
                </w:r>
                <w:r w:rsidR="006D17B1">
                  <w:rPr>
                    <w:noProof/>
                    <w:webHidden/>
                  </w:rPr>
                  <w:fldChar w:fldCharType="separate"/>
                </w:r>
                <w:r w:rsidR="006D17B1">
                  <w:rPr>
                    <w:noProof/>
                    <w:webHidden/>
                  </w:rPr>
                  <w:t>50</w:t>
                </w:r>
                <w:r w:rsidR="006D17B1">
                  <w:rPr>
                    <w:noProof/>
                    <w:webHidden/>
                  </w:rPr>
                  <w:fldChar w:fldCharType="end"/>
                </w:r>
              </w:hyperlink>
            </w:p>
            <w:p w14:paraId="4DEADBEE" w14:textId="4376D043" w:rsidR="006D17B1" w:rsidRDefault="00000000">
              <w:pPr>
                <w:pStyle w:val="TOC2"/>
                <w:rPr>
                  <w:rFonts w:cstheme="minorBidi"/>
                  <w:noProof/>
                  <w:kern w:val="2"/>
                  <w:sz w:val="24"/>
                  <w:szCs w:val="24"/>
                  <w:lang w:val="en-AU" w:eastAsia="en-AU"/>
                  <w14:ligatures w14:val="standardContextual"/>
                </w:rPr>
              </w:pPr>
              <w:hyperlink w:anchor="_Toc178256593" w:history="1">
                <w:r w:rsidR="006D17B1" w:rsidRPr="00222CE6">
                  <w:rPr>
                    <w:rStyle w:val="Hyperlink"/>
                    <w:noProof/>
                  </w:rPr>
                  <w:t>Australia's dynamic cities</w:t>
                </w:r>
                <w:r w:rsidR="006D17B1">
                  <w:rPr>
                    <w:noProof/>
                    <w:webHidden/>
                  </w:rPr>
                  <w:tab/>
                </w:r>
                <w:r w:rsidR="006D17B1">
                  <w:rPr>
                    <w:noProof/>
                    <w:webHidden/>
                  </w:rPr>
                  <w:fldChar w:fldCharType="begin"/>
                </w:r>
                <w:r w:rsidR="006D17B1">
                  <w:rPr>
                    <w:noProof/>
                    <w:webHidden/>
                  </w:rPr>
                  <w:instrText xml:space="preserve"> PAGEREF _Toc178256593 \h </w:instrText>
                </w:r>
                <w:r w:rsidR="006D17B1">
                  <w:rPr>
                    <w:noProof/>
                    <w:webHidden/>
                  </w:rPr>
                </w:r>
                <w:r w:rsidR="006D17B1">
                  <w:rPr>
                    <w:noProof/>
                    <w:webHidden/>
                  </w:rPr>
                  <w:fldChar w:fldCharType="separate"/>
                </w:r>
                <w:r w:rsidR="006D17B1">
                  <w:rPr>
                    <w:noProof/>
                    <w:webHidden/>
                  </w:rPr>
                  <w:t>51</w:t>
                </w:r>
                <w:r w:rsidR="006D17B1">
                  <w:rPr>
                    <w:noProof/>
                    <w:webHidden/>
                  </w:rPr>
                  <w:fldChar w:fldCharType="end"/>
                </w:r>
              </w:hyperlink>
            </w:p>
            <w:p w14:paraId="46041014" w14:textId="3D92DA71" w:rsidR="006D17B1" w:rsidRDefault="00000000">
              <w:pPr>
                <w:pStyle w:val="TOC2"/>
                <w:rPr>
                  <w:rFonts w:cstheme="minorBidi"/>
                  <w:noProof/>
                  <w:kern w:val="2"/>
                  <w:sz w:val="24"/>
                  <w:szCs w:val="24"/>
                  <w:lang w:val="en-AU" w:eastAsia="en-AU"/>
                  <w14:ligatures w14:val="standardContextual"/>
                </w:rPr>
              </w:pPr>
              <w:hyperlink w:anchor="_Toc178256594" w:history="1">
                <w:r w:rsidR="006D17B1" w:rsidRPr="00222CE6">
                  <w:rPr>
                    <w:rStyle w:val="Hyperlink"/>
                    <w:noProof/>
                  </w:rPr>
                  <w:t>A nation of high-income households</w:t>
                </w:r>
                <w:r w:rsidR="006D17B1">
                  <w:rPr>
                    <w:noProof/>
                    <w:webHidden/>
                  </w:rPr>
                  <w:tab/>
                </w:r>
                <w:r w:rsidR="006D17B1">
                  <w:rPr>
                    <w:noProof/>
                    <w:webHidden/>
                  </w:rPr>
                  <w:fldChar w:fldCharType="begin"/>
                </w:r>
                <w:r w:rsidR="006D17B1">
                  <w:rPr>
                    <w:noProof/>
                    <w:webHidden/>
                  </w:rPr>
                  <w:instrText xml:space="preserve"> PAGEREF _Toc178256594 \h </w:instrText>
                </w:r>
                <w:r w:rsidR="006D17B1">
                  <w:rPr>
                    <w:noProof/>
                    <w:webHidden/>
                  </w:rPr>
                </w:r>
                <w:r w:rsidR="006D17B1">
                  <w:rPr>
                    <w:noProof/>
                    <w:webHidden/>
                  </w:rPr>
                  <w:fldChar w:fldCharType="separate"/>
                </w:r>
                <w:r w:rsidR="006D17B1">
                  <w:rPr>
                    <w:noProof/>
                    <w:webHidden/>
                  </w:rPr>
                  <w:t>52</w:t>
                </w:r>
                <w:r w:rsidR="006D17B1">
                  <w:rPr>
                    <w:noProof/>
                    <w:webHidden/>
                  </w:rPr>
                  <w:fldChar w:fldCharType="end"/>
                </w:r>
              </w:hyperlink>
            </w:p>
            <w:p w14:paraId="24E9A835" w14:textId="6CDB2619" w:rsidR="006D17B1" w:rsidRDefault="00000000">
              <w:pPr>
                <w:pStyle w:val="TOC2"/>
                <w:rPr>
                  <w:rFonts w:cstheme="minorBidi"/>
                  <w:noProof/>
                  <w:kern w:val="2"/>
                  <w:sz w:val="24"/>
                  <w:szCs w:val="24"/>
                  <w:lang w:val="en-AU" w:eastAsia="en-AU"/>
                  <w14:ligatures w14:val="standardContextual"/>
                </w:rPr>
              </w:pPr>
              <w:hyperlink w:anchor="_Toc178256595" w:history="1">
                <w:r w:rsidR="006D17B1" w:rsidRPr="00222CE6">
                  <w:rPr>
                    <w:rStyle w:val="Hyperlink"/>
                    <w:noProof/>
                  </w:rPr>
                  <w:t>No worries, we’re happy!</w:t>
                </w:r>
                <w:r w:rsidR="006D17B1">
                  <w:rPr>
                    <w:noProof/>
                    <w:webHidden/>
                  </w:rPr>
                  <w:tab/>
                </w:r>
                <w:r w:rsidR="006D17B1">
                  <w:rPr>
                    <w:noProof/>
                    <w:webHidden/>
                  </w:rPr>
                  <w:fldChar w:fldCharType="begin"/>
                </w:r>
                <w:r w:rsidR="006D17B1">
                  <w:rPr>
                    <w:noProof/>
                    <w:webHidden/>
                  </w:rPr>
                  <w:instrText xml:space="preserve"> PAGEREF _Toc178256595 \h </w:instrText>
                </w:r>
                <w:r w:rsidR="006D17B1">
                  <w:rPr>
                    <w:noProof/>
                    <w:webHidden/>
                  </w:rPr>
                </w:r>
                <w:r w:rsidR="006D17B1">
                  <w:rPr>
                    <w:noProof/>
                    <w:webHidden/>
                  </w:rPr>
                  <w:fldChar w:fldCharType="separate"/>
                </w:r>
                <w:r w:rsidR="006D17B1">
                  <w:rPr>
                    <w:noProof/>
                    <w:webHidden/>
                  </w:rPr>
                  <w:t>53</w:t>
                </w:r>
                <w:r w:rsidR="006D17B1">
                  <w:rPr>
                    <w:noProof/>
                    <w:webHidden/>
                  </w:rPr>
                  <w:fldChar w:fldCharType="end"/>
                </w:r>
              </w:hyperlink>
            </w:p>
            <w:p w14:paraId="32E6C409" w14:textId="65DBFBF6" w:rsidR="006D17B1" w:rsidRDefault="00000000">
              <w:pPr>
                <w:pStyle w:val="TOC2"/>
                <w:rPr>
                  <w:rFonts w:cstheme="minorBidi"/>
                  <w:noProof/>
                  <w:kern w:val="2"/>
                  <w:sz w:val="24"/>
                  <w:szCs w:val="24"/>
                  <w:lang w:val="en-AU" w:eastAsia="en-AU"/>
                  <w14:ligatures w14:val="standardContextual"/>
                </w:rPr>
              </w:pPr>
              <w:hyperlink w:anchor="_Toc178256596" w:history="1">
                <w:r w:rsidR="006D17B1" w:rsidRPr="00222CE6">
                  <w:rPr>
                    <w:rStyle w:val="Hyperlink"/>
                    <w:noProof/>
                  </w:rPr>
                  <w:t>Strong commitment to a superb healthcare system</w:t>
                </w:r>
                <w:r w:rsidR="006D17B1">
                  <w:rPr>
                    <w:noProof/>
                    <w:webHidden/>
                  </w:rPr>
                  <w:tab/>
                </w:r>
                <w:r w:rsidR="006D17B1">
                  <w:rPr>
                    <w:noProof/>
                    <w:webHidden/>
                  </w:rPr>
                  <w:fldChar w:fldCharType="begin"/>
                </w:r>
                <w:r w:rsidR="006D17B1">
                  <w:rPr>
                    <w:noProof/>
                    <w:webHidden/>
                  </w:rPr>
                  <w:instrText xml:space="preserve"> PAGEREF _Toc178256596 \h </w:instrText>
                </w:r>
                <w:r w:rsidR="006D17B1">
                  <w:rPr>
                    <w:noProof/>
                    <w:webHidden/>
                  </w:rPr>
                </w:r>
                <w:r w:rsidR="006D17B1">
                  <w:rPr>
                    <w:noProof/>
                    <w:webHidden/>
                  </w:rPr>
                  <w:fldChar w:fldCharType="separate"/>
                </w:r>
                <w:r w:rsidR="006D17B1">
                  <w:rPr>
                    <w:noProof/>
                    <w:webHidden/>
                  </w:rPr>
                  <w:t>54</w:t>
                </w:r>
                <w:r w:rsidR="006D17B1">
                  <w:rPr>
                    <w:noProof/>
                    <w:webHidden/>
                  </w:rPr>
                  <w:fldChar w:fldCharType="end"/>
                </w:r>
              </w:hyperlink>
            </w:p>
            <w:p w14:paraId="6CBAF0BE" w14:textId="59FB4B62" w:rsidR="00921460" w:rsidRPr="002322B7" w:rsidRDefault="00145000" w:rsidP="00236949">
              <w:pPr>
                <w:pStyle w:val="TOC1"/>
              </w:pPr>
              <w:r w:rsidRPr="002322B7">
                <w:fldChar w:fldCharType="end"/>
              </w:r>
            </w:p>
          </w:sdtContent>
        </w:sdt>
        <w:p w14:paraId="2C0B9128" w14:textId="77777777" w:rsidR="004A2629" w:rsidRPr="002322B7" w:rsidRDefault="004A2629" w:rsidP="00257319">
          <w:pPr>
            <w:spacing w:before="0" w:after="160" w:line="259" w:lineRule="auto"/>
          </w:pPr>
          <w:r w:rsidRPr="002322B7">
            <w:br w:type="page"/>
          </w:r>
        </w:p>
        <w:p w14:paraId="10AB9ECE" w14:textId="77777777" w:rsidR="004A2629" w:rsidRPr="002322B7" w:rsidRDefault="004A2629" w:rsidP="00257319">
          <w:r w:rsidRPr="002322B7">
            <w:lastRenderedPageBreak/>
            <w:t>Table of figures</w:t>
          </w:r>
        </w:p>
        <w:p w14:paraId="5DAF053C" w14:textId="36B604CB" w:rsidR="006D17B1" w:rsidRDefault="004A2629">
          <w:pPr>
            <w:pStyle w:val="TableofFigures"/>
            <w:tabs>
              <w:tab w:val="right" w:leader="dot" w:pos="9968"/>
            </w:tabs>
            <w:rPr>
              <w:rFonts w:eastAsiaTheme="minorEastAsia"/>
              <w:noProof/>
              <w:kern w:val="2"/>
              <w:sz w:val="24"/>
              <w:szCs w:val="24"/>
              <w:lang w:eastAsia="en-AU"/>
              <w14:ligatures w14:val="standardContextual"/>
            </w:rPr>
          </w:pPr>
          <w:r w:rsidRPr="002322B7">
            <w:fldChar w:fldCharType="begin"/>
          </w:r>
          <w:r w:rsidRPr="002322B7">
            <w:instrText xml:space="preserve"> TOC \h \z \c "Figure" </w:instrText>
          </w:r>
          <w:r w:rsidRPr="002322B7">
            <w:fldChar w:fldCharType="separate"/>
          </w:r>
          <w:hyperlink w:anchor="_Toc178256500" w:history="1">
            <w:r w:rsidR="006D17B1" w:rsidRPr="0008658E">
              <w:rPr>
                <w:rStyle w:val="Hyperlink"/>
                <w:noProof/>
              </w:rPr>
              <w:t>Figure 1 - World’s largest economies in 2023</w:t>
            </w:r>
            <w:r w:rsidR="006D17B1">
              <w:rPr>
                <w:noProof/>
                <w:webHidden/>
              </w:rPr>
              <w:tab/>
            </w:r>
            <w:r w:rsidR="006D17B1">
              <w:rPr>
                <w:noProof/>
                <w:webHidden/>
              </w:rPr>
              <w:fldChar w:fldCharType="begin"/>
            </w:r>
            <w:r w:rsidR="006D17B1">
              <w:rPr>
                <w:noProof/>
                <w:webHidden/>
              </w:rPr>
              <w:instrText xml:space="preserve"> PAGEREF _Toc178256500 \h </w:instrText>
            </w:r>
            <w:r w:rsidR="006D17B1">
              <w:rPr>
                <w:noProof/>
                <w:webHidden/>
              </w:rPr>
            </w:r>
            <w:r w:rsidR="006D17B1">
              <w:rPr>
                <w:noProof/>
                <w:webHidden/>
              </w:rPr>
              <w:fldChar w:fldCharType="separate"/>
            </w:r>
            <w:r w:rsidR="006D17B1">
              <w:rPr>
                <w:noProof/>
                <w:webHidden/>
              </w:rPr>
              <w:t>7</w:t>
            </w:r>
            <w:r w:rsidR="006D17B1">
              <w:rPr>
                <w:noProof/>
                <w:webHidden/>
              </w:rPr>
              <w:fldChar w:fldCharType="end"/>
            </w:r>
          </w:hyperlink>
        </w:p>
        <w:p w14:paraId="1E68AE1C" w14:textId="6D8FF889"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01" w:history="1">
            <w:r w:rsidR="006D17B1" w:rsidRPr="0008658E">
              <w:rPr>
                <w:rStyle w:val="Hyperlink"/>
                <w:noProof/>
              </w:rPr>
              <w:t>Figure 2 - Change in real GDP¹, selected economies</w:t>
            </w:r>
            <w:r w:rsidR="006D17B1">
              <w:rPr>
                <w:noProof/>
                <w:webHidden/>
              </w:rPr>
              <w:tab/>
            </w:r>
            <w:r w:rsidR="006D17B1">
              <w:rPr>
                <w:noProof/>
                <w:webHidden/>
              </w:rPr>
              <w:fldChar w:fldCharType="begin"/>
            </w:r>
            <w:r w:rsidR="006D17B1">
              <w:rPr>
                <w:noProof/>
                <w:webHidden/>
              </w:rPr>
              <w:instrText xml:space="preserve"> PAGEREF _Toc178256501 \h </w:instrText>
            </w:r>
            <w:r w:rsidR="006D17B1">
              <w:rPr>
                <w:noProof/>
                <w:webHidden/>
              </w:rPr>
            </w:r>
            <w:r w:rsidR="006D17B1">
              <w:rPr>
                <w:noProof/>
                <w:webHidden/>
              </w:rPr>
              <w:fldChar w:fldCharType="separate"/>
            </w:r>
            <w:r w:rsidR="006D17B1">
              <w:rPr>
                <w:noProof/>
                <w:webHidden/>
              </w:rPr>
              <w:t>8</w:t>
            </w:r>
            <w:r w:rsidR="006D17B1">
              <w:rPr>
                <w:noProof/>
                <w:webHidden/>
              </w:rPr>
              <w:fldChar w:fldCharType="end"/>
            </w:r>
          </w:hyperlink>
        </w:p>
        <w:p w14:paraId="30EC1D72" w14:textId="3007F07B"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02" w:history="1">
            <w:r w:rsidR="006D17B1" w:rsidRPr="0008658E">
              <w:rPr>
                <w:rStyle w:val="Hyperlink"/>
                <w:noProof/>
              </w:rPr>
              <w:t>Figure 3 – Tax revenue as a percentage of GDP by economy</w:t>
            </w:r>
            <w:r w:rsidR="006D17B1">
              <w:rPr>
                <w:noProof/>
                <w:webHidden/>
              </w:rPr>
              <w:tab/>
            </w:r>
            <w:r w:rsidR="006D17B1">
              <w:rPr>
                <w:noProof/>
                <w:webHidden/>
              </w:rPr>
              <w:fldChar w:fldCharType="begin"/>
            </w:r>
            <w:r w:rsidR="006D17B1">
              <w:rPr>
                <w:noProof/>
                <w:webHidden/>
              </w:rPr>
              <w:instrText xml:space="preserve"> PAGEREF _Toc178256502 \h </w:instrText>
            </w:r>
            <w:r w:rsidR="006D17B1">
              <w:rPr>
                <w:noProof/>
                <w:webHidden/>
              </w:rPr>
            </w:r>
            <w:r w:rsidR="006D17B1">
              <w:rPr>
                <w:noProof/>
                <w:webHidden/>
              </w:rPr>
              <w:fldChar w:fldCharType="separate"/>
            </w:r>
            <w:r w:rsidR="006D17B1">
              <w:rPr>
                <w:noProof/>
                <w:webHidden/>
              </w:rPr>
              <w:t>9</w:t>
            </w:r>
            <w:r w:rsidR="006D17B1">
              <w:rPr>
                <w:noProof/>
                <w:webHidden/>
              </w:rPr>
              <w:fldChar w:fldCharType="end"/>
            </w:r>
          </w:hyperlink>
        </w:p>
        <w:p w14:paraId="6D327DDF" w14:textId="0F4E84DD"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03" w:history="1">
            <w:r w:rsidR="006D17B1" w:rsidRPr="0008658E">
              <w:rPr>
                <w:rStyle w:val="Hyperlink"/>
                <w:noProof/>
              </w:rPr>
              <w:t>Figure 4 – Global rankings of Australia’s governance</w:t>
            </w:r>
            <w:r w:rsidR="006D17B1">
              <w:rPr>
                <w:noProof/>
                <w:webHidden/>
              </w:rPr>
              <w:tab/>
            </w:r>
            <w:r w:rsidR="006D17B1">
              <w:rPr>
                <w:noProof/>
                <w:webHidden/>
              </w:rPr>
              <w:fldChar w:fldCharType="begin"/>
            </w:r>
            <w:r w:rsidR="006D17B1">
              <w:rPr>
                <w:noProof/>
                <w:webHidden/>
              </w:rPr>
              <w:instrText xml:space="preserve"> PAGEREF _Toc178256503 \h </w:instrText>
            </w:r>
            <w:r w:rsidR="006D17B1">
              <w:rPr>
                <w:noProof/>
                <w:webHidden/>
              </w:rPr>
            </w:r>
            <w:r w:rsidR="006D17B1">
              <w:rPr>
                <w:noProof/>
                <w:webHidden/>
              </w:rPr>
              <w:fldChar w:fldCharType="separate"/>
            </w:r>
            <w:r w:rsidR="006D17B1">
              <w:rPr>
                <w:noProof/>
                <w:webHidden/>
              </w:rPr>
              <w:t>10</w:t>
            </w:r>
            <w:r w:rsidR="006D17B1">
              <w:rPr>
                <w:noProof/>
                <w:webHidden/>
              </w:rPr>
              <w:fldChar w:fldCharType="end"/>
            </w:r>
          </w:hyperlink>
        </w:p>
        <w:p w14:paraId="4513BD96" w14:textId="5B8948D6"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04" w:history="1">
            <w:r w:rsidR="006D17B1" w:rsidRPr="0008658E">
              <w:rPr>
                <w:rStyle w:val="Hyperlink"/>
                <w:noProof/>
              </w:rPr>
              <w:t>Figure 5 – Business efficiency and environment, 2024</w:t>
            </w:r>
            <w:r w:rsidR="006D17B1">
              <w:rPr>
                <w:noProof/>
                <w:webHidden/>
              </w:rPr>
              <w:tab/>
            </w:r>
            <w:r w:rsidR="006D17B1">
              <w:rPr>
                <w:noProof/>
                <w:webHidden/>
              </w:rPr>
              <w:fldChar w:fldCharType="begin"/>
            </w:r>
            <w:r w:rsidR="006D17B1">
              <w:rPr>
                <w:noProof/>
                <w:webHidden/>
              </w:rPr>
              <w:instrText xml:space="preserve"> PAGEREF _Toc178256504 \h </w:instrText>
            </w:r>
            <w:r w:rsidR="006D17B1">
              <w:rPr>
                <w:noProof/>
                <w:webHidden/>
              </w:rPr>
            </w:r>
            <w:r w:rsidR="006D17B1">
              <w:rPr>
                <w:noProof/>
                <w:webHidden/>
              </w:rPr>
              <w:fldChar w:fldCharType="separate"/>
            </w:r>
            <w:r w:rsidR="006D17B1">
              <w:rPr>
                <w:noProof/>
                <w:webHidden/>
              </w:rPr>
              <w:t>11</w:t>
            </w:r>
            <w:r w:rsidR="006D17B1">
              <w:rPr>
                <w:noProof/>
                <w:webHidden/>
              </w:rPr>
              <w:fldChar w:fldCharType="end"/>
            </w:r>
          </w:hyperlink>
        </w:p>
        <w:p w14:paraId="215CFAC9" w14:textId="37EC131C"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05" w:history="1">
            <w:r w:rsidR="006D17B1" w:rsidRPr="0008658E">
              <w:rPr>
                <w:rStyle w:val="Hyperlink"/>
                <w:noProof/>
              </w:rPr>
              <w:t>Figure 6 – Global significance of Australia’s financial markets</w:t>
            </w:r>
            <w:r w:rsidR="006D17B1">
              <w:rPr>
                <w:noProof/>
                <w:webHidden/>
              </w:rPr>
              <w:tab/>
            </w:r>
            <w:r w:rsidR="006D17B1">
              <w:rPr>
                <w:noProof/>
                <w:webHidden/>
              </w:rPr>
              <w:fldChar w:fldCharType="begin"/>
            </w:r>
            <w:r w:rsidR="006D17B1">
              <w:rPr>
                <w:noProof/>
                <w:webHidden/>
              </w:rPr>
              <w:instrText xml:space="preserve"> PAGEREF _Toc178256505 \h </w:instrText>
            </w:r>
            <w:r w:rsidR="006D17B1">
              <w:rPr>
                <w:noProof/>
                <w:webHidden/>
              </w:rPr>
            </w:r>
            <w:r w:rsidR="006D17B1">
              <w:rPr>
                <w:noProof/>
                <w:webHidden/>
              </w:rPr>
              <w:fldChar w:fldCharType="separate"/>
            </w:r>
            <w:r w:rsidR="006D17B1">
              <w:rPr>
                <w:noProof/>
                <w:webHidden/>
              </w:rPr>
              <w:t>12</w:t>
            </w:r>
            <w:r w:rsidR="006D17B1">
              <w:rPr>
                <w:noProof/>
                <w:webHidden/>
              </w:rPr>
              <w:fldChar w:fldCharType="end"/>
            </w:r>
          </w:hyperlink>
        </w:p>
        <w:p w14:paraId="070DBBF4" w14:textId="46F4F683"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06" w:history="1">
            <w:r w:rsidR="006D17B1" w:rsidRPr="0008658E">
              <w:rPr>
                <w:rStyle w:val="Hyperlink"/>
                <w:noProof/>
              </w:rPr>
              <w:t>Figure 7 – Global pension fund assets, 2023</w:t>
            </w:r>
            <w:r w:rsidR="006D17B1">
              <w:rPr>
                <w:noProof/>
                <w:webHidden/>
              </w:rPr>
              <w:tab/>
            </w:r>
            <w:r w:rsidR="006D17B1">
              <w:rPr>
                <w:noProof/>
                <w:webHidden/>
              </w:rPr>
              <w:fldChar w:fldCharType="begin"/>
            </w:r>
            <w:r w:rsidR="006D17B1">
              <w:rPr>
                <w:noProof/>
                <w:webHidden/>
              </w:rPr>
              <w:instrText xml:space="preserve"> PAGEREF _Toc178256506 \h </w:instrText>
            </w:r>
            <w:r w:rsidR="006D17B1">
              <w:rPr>
                <w:noProof/>
                <w:webHidden/>
              </w:rPr>
            </w:r>
            <w:r w:rsidR="006D17B1">
              <w:rPr>
                <w:noProof/>
                <w:webHidden/>
              </w:rPr>
              <w:fldChar w:fldCharType="separate"/>
            </w:r>
            <w:r w:rsidR="006D17B1">
              <w:rPr>
                <w:noProof/>
                <w:webHidden/>
              </w:rPr>
              <w:t>13</w:t>
            </w:r>
            <w:r w:rsidR="006D17B1">
              <w:rPr>
                <w:noProof/>
                <w:webHidden/>
              </w:rPr>
              <w:fldChar w:fldCharType="end"/>
            </w:r>
          </w:hyperlink>
        </w:p>
        <w:p w14:paraId="34F02555" w14:textId="1C87070A"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07" w:history="1">
            <w:r w:rsidR="006D17B1" w:rsidRPr="0008658E">
              <w:rPr>
                <w:rStyle w:val="Hyperlink"/>
                <w:noProof/>
              </w:rPr>
              <w:t>Figure 8 – Cashless payments by country</w:t>
            </w:r>
            <w:r w:rsidR="006D17B1">
              <w:rPr>
                <w:noProof/>
                <w:webHidden/>
              </w:rPr>
              <w:tab/>
            </w:r>
            <w:r w:rsidR="006D17B1">
              <w:rPr>
                <w:noProof/>
                <w:webHidden/>
              </w:rPr>
              <w:fldChar w:fldCharType="begin"/>
            </w:r>
            <w:r w:rsidR="006D17B1">
              <w:rPr>
                <w:noProof/>
                <w:webHidden/>
              </w:rPr>
              <w:instrText xml:space="preserve"> PAGEREF _Toc178256507 \h </w:instrText>
            </w:r>
            <w:r w:rsidR="006D17B1">
              <w:rPr>
                <w:noProof/>
                <w:webHidden/>
              </w:rPr>
            </w:r>
            <w:r w:rsidR="006D17B1">
              <w:rPr>
                <w:noProof/>
                <w:webHidden/>
              </w:rPr>
              <w:fldChar w:fldCharType="separate"/>
            </w:r>
            <w:r w:rsidR="006D17B1">
              <w:rPr>
                <w:noProof/>
                <w:webHidden/>
              </w:rPr>
              <w:t>14</w:t>
            </w:r>
            <w:r w:rsidR="006D17B1">
              <w:rPr>
                <w:noProof/>
                <w:webHidden/>
              </w:rPr>
              <w:fldChar w:fldCharType="end"/>
            </w:r>
          </w:hyperlink>
        </w:p>
        <w:p w14:paraId="7BD4EF5D" w14:textId="0807E7D1"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08" w:history="1">
            <w:r w:rsidR="006D17B1" w:rsidRPr="0008658E">
              <w:rPr>
                <w:rStyle w:val="Hyperlink"/>
                <w:noProof/>
              </w:rPr>
              <w:t>Figure 9 – Australia’s renewable energy credentials</w:t>
            </w:r>
            <w:r w:rsidR="006D17B1">
              <w:rPr>
                <w:noProof/>
                <w:webHidden/>
              </w:rPr>
              <w:tab/>
            </w:r>
            <w:r w:rsidR="006D17B1">
              <w:rPr>
                <w:noProof/>
                <w:webHidden/>
              </w:rPr>
              <w:fldChar w:fldCharType="begin"/>
            </w:r>
            <w:r w:rsidR="006D17B1">
              <w:rPr>
                <w:noProof/>
                <w:webHidden/>
              </w:rPr>
              <w:instrText xml:space="preserve"> PAGEREF _Toc178256508 \h </w:instrText>
            </w:r>
            <w:r w:rsidR="006D17B1">
              <w:rPr>
                <w:noProof/>
                <w:webHidden/>
              </w:rPr>
            </w:r>
            <w:r w:rsidR="006D17B1">
              <w:rPr>
                <w:noProof/>
                <w:webHidden/>
              </w:rPr>
              <w:fldChar w:fldCharType="separate"/>
            </w:r>
            <w:r w:rsidR="006D17B1">
              <w:rPr>
                <w:noProof/>
                <w:webHidden/>
              </w:rPr>
              <w:t>16</w:t>
            </w:r>
            <w:r w:rsidR="006D17B1">
              <w:rPr>
                <w:noProof/>
                <w:webHidden/>
              </w:rPr>
              <w:fldChar w:fldCharType="end"/>
            </w:r>
          </w:hyperlink>
        </w:p>
        <w:p w14:paraId="32EFB98C" w14:textId="14F62ED1"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09" w:history="1">
            <w:r w:rsidR="006D17B1" w:rsidRPr="0008658E">
              <w:rPr>
                <w:rStyle w:val="Hyperlink"/>
                <w:noProof/>
              </w:rPr>
              <w:t>Figure 10 – Australia’s minerals - Global ranking for production and reserves, 2022</w:t>
            </w:r>
            <w:r w:rsidR="006D17B1">
              <w:rPr>
                <w:noProof/>
                <w:webHidden/>
              </w:rPr>
              <w:tab/>
            </w:r>
            <w:r w:rsidR="006D17B1">
              <w:rPr>
                <w:noProof/>
                <w:webHidden/>
              </w:rPr>
              <w:fldChar w:fldCharType="begin"/>
            </w:r>
            <w:r w:rsidR="006D17B1">
              <w:rPr>
                <w:noProof/>
                <w:webHidden/>
              </w:rPr>
              <w:instrText xml:space="preserve"> PAGEREF _Toc178256509 \h </w:instrText>
            </w:r>
            <w:r w:rsidR="006D17B1">
              <w:rPr>
                <w:noProof/>
                <w:webHidden/>
              </w:rPr>
            </w:r>
            <w:r w:rsidR="006D17B1">
              <w:rPr>
                <w:noProof/>
                <w:webHidden/>
              </w:rPr>
              <w:fldChar w:fldCharType="separate"/>
            </w:r>
            <w:r w:rsidR="006D17B1">
              <w:rPr>
                <w:noProof/>
                <w:webHidden/>
              </w:rPr>
              <w:t>17</w:t>
            </w:r>
            <w:r w:rsidR="006D17B1">
              <w:rPr>
                <w:noProof/>
                <w:webHidden/>
              </w:rPr>
              <w:fldChar w:fldCharType="end"/>
            </w:r>
          </w:hyperlink>
        </w:p>
        <w:p w14:paraId="31AE05F4" w14:textId="46C84134"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10" w:history="1">
            <w:r w:rsidR="006D17B1" w:rsidRPr="0008658E">
              <w:rPr>
                <w:rStyle w:val="Hyperlink"/>
                <w:noProof/>
              </w:rPr>
              <w:t>Figure 11 – Renewable energy region attractiveness</w:t>
            </w:r>
            <w:r w:rsidR="006D17B1">
              <w:rPr>
                <w:noProof/>
                <w:webHidden/>
              </w:rPr>
              <w:tab/>
            </w:r>
            <w:r w:rsidR="006D17B1">
              <w:rPr>
                <w:noProof/>
                <w:webHidden/>
              </w:rPr>
              <w:fldChar w:fldCharType="begin"/>
            </w:r>
            <w:r w:rsidR="006D17B1">
              <w:rPr>
                <w:noProof/>
                <w:webHidden/>
              </w:rPr>
              <w:instrText xml:space="preserve"> PAGEREF _Toc178256510 \h </w:instrText>
            </w:r>
            <w:r w:rsidR="006D17B1">
              <w:rPr>
                <w:noProof/>
                <w:webHidden/>
              </w:rPr>
            </w:r>
            <w:r w:rsidR="006D17B1">
              <w:rPr>
                <w:noProof/>
                <w:webHidden/>
              </w:rPr>
              <w:fldChar w:fldCharType="separate"/>
            </w:r>
            <w:r w:rsidR="006D17B1">
              <w:rPr>
                <w:noProof/>
                <w:webHidden/>
              </w:rPr>
              <w:t>18</w:t>
            </w:r>
            <w:r w:rsidR="006D17B1">
              <w:rPr>
                <w:noProof/>
                <w:webHidden/>
              </w:rPr>
              <w:fldChar w:fldCharType="end"/>
            </w:r>
          </w:hyperlink>
        </w:p>
        <w:p w14:paraId="7C27302A" w14:textId="23B65F4A"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11" w:history="1">
            <w:r w:rsidR="006D17B1" w:rsidRPr="0008658E">
              <w:rPr>
                <w:rStyle w:val="Hyperlink"/>
                <w:noProof/>
              </w:rPr>
              <w:t>Figure 12 – Australia’s renewable energy generation volumes and world rankings</w:t>
            </w:r>
            <w:r w:rsidR="006D17B1">
              <w:rPr>
                <w:noProof/>
                <w:webHidden/>
              </w:rPr>
              <w:tab/>
            </w:r>
            <w:r w:rsidR="006D17B1">
              <w:rPr>
                <w:noProof/>
                <w:webHidden/>
              </w:rPr>
              <w:fldChar w:fldCharType="begin"/>
            </w:r>
            <w:r w:rsidR="006D17B1">
              <w:rPr>
                <w:noProof/>
                <w:webHidden/>
              </w:rPr>
              <w:instrText xml:space="preserve"> PAGEREF _Toc178256511 \h </w:instrText>
            </w:r>
            <w:r w:rsidR="006D17B1">
              <w:rPr>
                <w:noProof/>
                <w:webHidden/>
              </w:rPr>
            </w:r>
            <w:r w:rsidR="006D17B1">
              <w:rPr>
                <w:noProof/>
                <w:webHidden/>
              </w:rPr>
              <w:fldChar w:fldCharType="separate"/>
            </w:r>
            <w:r w:rsidR="006D17B1">
              <w:rPr>
                <w:noProof/>
                <w:webHidden/>
              </w:rPr>
              <w:t>19</w:t>
            </w:r>
            <w:r w:rsidR="006D17B1">
              <w:rPr>
                <w:noProof/>
                <w:webHidden/>
              </w:rPr>
              <w:fldChar w:fldCharType="end"/>
            </w:r>
          </w:hyperlink>
        </w:p>
        <w:p w14:paraId="066FA2E3" w14:textId="61D8D8EF"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12" w:history="1">
            <w:r w:rsidR="006D17B1" w:rsidRPr="0008658E">
              <w:rPr>
                <w:rStyle w:val="Hyperlink"/>
                <w:noProof/>
              </w:rPr>
              <w:t>Figure 13 – Solar power potential¹, top 20 regions</w:t>
            </w:r>
            <w:r w:rsidR="006D17B1">
              <w:rPr>
                <w:noProof/>
                <w:webHidden/>
              </w:rPr>
              <w:tab/>
            </w:r>
            <w:r w:rsidR="006D17B1">
              <w:rPr>
                <w:noProof/>
                <w:webHidden/>
              </w:rPr>
              <w:fldChar w:fldCharType="begin"/>
            </w:r>
            <w:r w:rsidR="006D17B1">
              <w:rPr>
                <w:noProof/>
                <w:webHidden/>
              </w:rPr>
              <w:instrText xml:space="preserve"> PAGEREF _Toc178256512 \h </w:instrText>
            </w:r>
            <w:r w:rsidR="006D17B1">
              <w:rPr>
                <w:noProof/>
                <w:webHidden/>
              </w:rPr>
            </w:r>
            <w:r w:rsidR="006D17B1">
              <w:rPr>
                <w:noProof/>
                <w:webHidden/>
              </w:rPr>
              <w:fldChar w:fldCharType="separate"/>
            </w:r>
            <w:r w:rsidR="006D17B1">
              <w:rPr>
                <w:noProof/>
                <w:webHidden/>
              </w:rPr>
              <w:t>20</w:t>
            </w:r>
            <w:r w:rsidR="006D17B1">
              <w:rPr>
                <w:noProof/>
                <w:webHidden/>
              </w:rPr>
              <w:fldChar w:fldCharType="end"/>
            </w:r>
          </w:hyperlink>
        </w:p>
        <w:p w14:paraId="03C89A09" w14:textId="7E55FF5D"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13" w:history="1">
            <w:r w:rsidR="006D17B1" w:rsidRPr="0008658E">
              <w:rPr>
                <w:rStyle w:val="Hyperlink"/>
                <w:noProof/>
              </w:rPr>
              <w:t>Figure 14 – Electricity generated by solar – selected regions</w:t>
            </w:r>
            <w:r w:rsidR="006D17B1">
              <w:rPr>
                <w:noProof/>
                <w:webHidden/>
              </w:rPr>
              <w:tab/>
            </w:r>
            <w:r w:rsidR="006D17B1">
              <w:rPr>
                <w:noProof/>
                <w:webHidden/>
              </w:rPr>
              <w:fldChar w:fldCharType="begin"/>
            </w:r>
            <w:r w:rsidR="006D17B1">
              <w:rPr>
                <w:noProof/>
                <w:webHidden/>
              </w:rPr>
              <w:instrText xml:space="preserve"> PAGEREF _Toc178256513 \h </w:instrText>
            </w:r>
            <w:r w:rsidR="006D17B1">
              <w:rPr>
                <w:noProof/>
                <w:webHidden/>
              </w:rPr>
            </w:r>
            <w:r w:rsidR="006D17B1">
              <w:rPr>
                <w:noProof/>
                <w:webHidden/>
              </w:rPr>
              <w:fldChar w:fldCharType="separate"/>
            </w:r>
            <w:r w:rsidR="006D17B1">
              <w:rPr>
                <w:noProof/>
                <w:webHidden/>
              </w:rPr>
              <w:t>21</w:t>
            </w:r>
            <w:r w:rsidR="006D17B1">
              <w:rPr>
                <w:noProof/>
                <w:webHidden/>
              </w:rPr>
              <w:fldChar w:fldCharType="end"/>
            </w:r>
          </w:hyperlink>
        </w:p>
        <w:p w14:paraId="41CA0E41" w14:textId="71931E6A"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14" w:history="1">
            <w:r w:rsidR="006D17B1" w:rsidRPr="0008658E">
              <w:rPr>
                <w:rStyle w:val="Hyperlink"/>
                <w:noProof/>
              </w:rPr>
              <w:t>Figure 15 – Cost of solar power generation by region¹, 2022</w:t>
            </w:r>
            <w:r w:rsidR="006D17B1">
              <w:rPr>
                <w:noProof/>
                <w:webHidden/>
              </w:rPr>
              <w:tab/>
            </w:r>
            <w:r w:rsidR="006D17B1">
              <w:rPr>
                <w:noProof/>
                <w:webHidden/>
              </w:rPr>
              <w:fldChar w:fldCharType="begin"/>
            </w:r>
            <w:r w:rsidR="006D17B1">
              <w:rPr>
                <w:noProof/>
                <w:webHidden/>
              </w:rPr>
              <w:instrText xml:space="preserve"> PAGEREF _Toc178256514 \h </w:instrText>
            </w:r>
            <w:r w:rsidR="006D17B1">
              <w:rPr>
                <w:noProof/>
                <w:webHidden/>
              </w:rPr>
            </w:r>
            <w:r w:rsidR="006D17B1">
              <w:rPr>
                <w:noProof/>
                <w:webHidden/>
              </w:rPr>
              <w:fldChar w:fldCharType="separate"/>
            </w:r>
            <w:r w:rsidR="006D17B1">
              <w:rPr>
                <w:noProof/>
                <w:webHidden/>
              </w:rPr>
              <w:t>22</w:t>
            </w:r>
            <w:r w:rsidR="006D17B1">
              <w:rPr>
                <w:noProof/>
                <w:webHidden/>
              </w:rPr>
              <w:fldChar w:fldCharType="end"/>
            </w:r>
          </w:hyperlink>
        </w:p>
        <w:p w14:paraId="7F91BC49" w14:textId="33C8CCC2"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15" w:history="1">
            <w:r w:rsidR="006D17B1" w:rsidRPr="0008658E">
              <w:rPr>
                <w:rStyle w:val="Hyperlink"/>
                <w:noProof/>
              </w:rPr>
              <w:t>Figure 16 – A sample of hydrogen projects in Australia</w:t>
            </w:r>
            <w:r w:rsidR="006D17B1">
              <w:rPr>
                <w:noProof/>
                <w:webHidden/>
              </w:rPr>
              <w:tab/>
            </w:r>
            <w:r w:rsidR="006D17B1">
              <w:rPr>
                <w:noProof/>
                <w:webHidden/>
              </w:rPr>
              <w:fldChar w:fldCharType="begin"/>
            </w:r>
            <w:r w:rsidR="006D17B1">
              <w:rPr>
                <w:noProof/>
                <w:webHidden/>
              </w:rPr>
              <w:instrText xml:space="preserve"> PAGEREF _Toc178256515 \h </w:instrText>
            </w:r>
            <w:r w:rsidR="006D17B1">
              <w:rPr>
                <w:noProof/>
                <w:webHidden/>
              </w:rPr>
            </w:r>
            <w:r w:rsidR="006D17B1">
              <w:rPr>
                <w:noProof/>
                <w:webHidden/>
              </w:rPr>
              <w:fldChar w:fldCharType="separate"/>
            </w:r>
            <w:r w:rsidR="006D17B1">
              <w:rPr>
                <w:noProof/>
                <w:webHidden/>
              </w:rPr>
              <w:t>23</w:t>
            </w:r>
            <w:r w:rsidR="006D17B1">
              <w:rPr>
                <w:noProof/>
                <w:webHidden/>
              </w:rPr>
              <w:fldChar w:fldCharType="end"/>
            </w:r>
          </w:hyperlink>
        </w:p>
        <w:p w14:paraId="14F13335" w14:textId="14997412"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16" w:history="1">
            <w:r w:rsidR="006D17B1" w:rsidRPr="0008658E">
              <w:rPr>
                <w:rStyle w:val="Hyperlink"/>
                <w:noProof/>
              </w:rPr>
              <w:t>Figure 17 – Australia’s tech credentials</w:t>
            </w:r>
            <w:r w:rsidR="006D17B1">
              <w:rPr>
                <w:noProof/>
                <w:webHidden/>
              </w:rPr>
              <w:tab/>
            </w:r>
            <w:r w:rsidR="006D17B1">
              <w:rPr>
                <w:noProof/>
                <w:webHidden/>
              </w:rPr>
              <w:fldChar w:fldCharType="begin"/>
            </w:r>
            <w:r w:rsidR="006D17B1">
              <w:rPr>
                <w:noProof/>
                <w:webHidden/>
              </w:rPr>
              <w:instrText xml:space="preserve"> PAGEREF _Toc178256516 \h </w:instrText>
            </w:r>
            <w:r w:rsidR="006D17B1">
              <w:rPr>
                <w:noProof/>
                <w:webHidden/>
              </w:rPr>
            </w:r>
            <w:r w:rsidR="006D17B1">
              <w:rPr>
                <w:noProof/>
                <w:webHidden/>
              </w:rPr>
              <w:fldChar w:fldCharType="separate"/>
            </w:r>
            <w:r w:rsidR="006D17B1">
              <w:rPr>
                <w:noProof/>
                <w:webHidden/>
              </w:rPr>
              <w:t>25</w:t>
            </w:r>
            <w:r w:rsidR="006D17B1">
              <w:rPr>
                <w:noProof/>
                <w:webHidden/>
              </w:rPr>
              <w:fldChar w:fldCharType="end"/>
            </w:r>
          </w:hyperlink>
        </w:p>
        <w:p w14:paraId="0446474F" w14:textId="7F7B9DF1"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17" w:history="1">
            <w:r w:rsidR="006D17B1" w:rsidRPr="0008658E">
              <w:rPr>
                <w:rStyle w:val="Hyperlink"/>
                <w:noProof/>
              </w:rPr>
              <w:t>Figure 18 – Skills for using, adopting and adapting frontier technologies¹, 2021</w:t>
            </w:r>
            <w:r w:rsidR="006D17B1">
              <w:rPr>
                <w:noProof/>
                <w:webHidden/>
              </w:rPr>
              <w:tab/>
            </w:r>
            <w:r w:rsidR="006D17B1">
              <w:rPr>
                <w:noProof/>
                <w:webHidden/>
              </w:rPr>
              <w:fldChar w:fldCharType="begin"/>
            </w:r>
            <w:r w:rsidR="006D17B1">
              <w:rPr>
                <w:noProof/>
                <w:webHidden/>
              </w:rPr>
              <w:instrText xml:space="preserve"> PAGEREF _Toc178256517 \h </w:instrText>
            </w:r>
            <w:r w:rsidR="006D17B1">
              <w:rPr>
                <w:noProof/>
                <w:webHidden/>
              </w:rPr>
            </w:r>
            <w:r w:rsidR="006D17B1">
              <w:rPr>
                <w:noProof/>
                <w:webHidden/>
              </w:rPr>
              <w:fldChar w:fldCharType="separate"/>
            </w:r>
            <w:r w:rsidR="006D17B1">
              <w:rPr>
                <w:noProof/>
                <w:webHidden/>
              </w:rPr>
              <w:t>26</w:t>
            </w:r>
            <w:r w:rsidR="006D17B1">
              <w:rPr>
                <w:noProof/>
                <w:webHidden/>
              </w:rPr>
              <w:fldChar w:fldCharType="end"/>
            </w:r>
          </w:hyperlink>
        </w:p>
        <w:p w14:paraId="172A4704" w14:textId="4F5969D9"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18" w:history="1">
            <w:r w:rsidR="006D17B1" w:rsidRPr="0008658E">
              <w:rPr>
                <w:rStyle w:val="Hyperlink"/>
                <w:noProof/>
              </w:rPr>
              <w:t>Figure 19 – E-Government index by region, selected regions¹</w:t>
            </w:r>
            <w:r w:rsidR="006D17B1">
              <w:rPr>
                <w:noProof/>
                <w:webHidden/>
              </w:rPr>
              <w:tab/>
            </w:r>
            <w:r w:rsidR="006D17B1">
              <w:rPr>
                <w:noProof/>
                <w:webHidden/>
              </w:rPr>
              <w:fldChar w:fldCharType="begin"/>
            </w:r>
            <w:r w:rsidR="006D17B1">
              <w:rPr>
                <w:noProof/>
                <w:webHidden/>
              </w:rPr>
              <w:instrText xml:space="preserve"> PAGEREF _Toc178256518 \h </w:instrText>
            </w:r>
            <w:r w:rsidR="006D17B1">
              <w:rPr>
                <w:noProof/>
                <w:webHidden/>
              </w:rPr>
            </w:r>
            <w:r w:rsidR="006D17B1">
              <w:rPr>
                <w:noProof/>
                <w:webHidden/>
              </w:rPr>
              <w:fldChar w:fldCharType="separate"/>
            </w:r>
            <w:r w:rsidR="006D17B1">
              <w:rPr>
                <w:noProof/>
                <w:webHidden/>
              </w:rPr>
              <w:t>27</w:t>
            </w:r>
            <w:r w:rsidR="006D17B1">
              <w:rPr>
                <w:noProof/>
                <w:webHidden/>
              </w:rPr>
              <w:fldChar w:fldCharType="end"/>
            </w:r>
          </w:hyperlink>
        </w:p>
        <w:p w14:paraId="4BF32976" w14:textId="3E6AA2B6"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19" w:history="1">
            <w:r w:rsidR="006D17B1" w:rsidRPr="0008658E">
              <w:rPr>
                <w:rStyle w:val="Hyperlink"/>
                <w:noProof/>
              </w:rPr>
              <w:t>Figure 20 – Renewable energy patents by economy</w:t>
            </w:r>
            <w:r w:rsidR="006D17B1">
              <w:rPr>
                <w:noProof/>
                <w:webHidden/>
              </w:rPr>
              <w:tab/>
            </w:r>
            <w:r w:rsidR="006D17B1">
              <w:rPr>
                <w:noProof/>
                <w:webHidden/>
              </w:rPr>
              <w:fldChar w:fldCharType="begin"/>
            </w:r>
            <w:r w:rsidR="006D17B1">
              <w:rPr>
                <w:noProof/>
                <w:webHidden/>
              </w:rPr>
              <w:instrText xml:space="preserve"> PAGEREF _Toc178256519 \h </w:instrText>
            </w:r>
            <w:r w:rsidR="006D17B1">
              <w:rPr>
                <w:noProof/>
                <w:webHidden/>
              </w:rPr>
            </w:r>
            <w:r w:rsidR="006D17B1">
              <w:rPr>
                <w:noProof/>
                <w:webHidden/>
              </w:rPr>
              <w:fldChar w:fldCharType="separate"/>
            </w:r>
            <w:r w:rsidR="006D17B1">
              <w:rPr>
                <w:noProof/>
                <w:webHidden/>
              </w:rPr>
              <w:t>28</w:t>
            </w:r>
            <w:r w:rsidR="006D17B1">
              <w:rPr>
                <w:noProof/>
                <w:webHidden/>
              </w:rPr>
              <w:fldChar w:fldCharType="end"/>
            </w:r>
          </w:hyperlink>
        </w:p>
        <w:p w14:paraId="4A8A78DF" w14:textId="45E5991A"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20" w:history="1">
            <w:r w:rsidR="006D17B1" w:rsidRPr="0008658E">
              <w:rPr>
                <w:rStyle w:val="Hyperlink"/>
                <w:noProof/>
              </w:rPr>
              <w:t>Figure 21 – Public spending on R&amp;D for hydrogen and fuel cells</w:t>
            </w:r>
            <w:r w:rsidR="006D17B1">
              <w:rPr>
                <w:noProof/>
                <w:webHidden/>
              </w:rPr>
              <w:tab/>
            </w:r>
            <w:r w:rsidR="006D17B1">
              <w:rPr>
                <w:noProof/>
                <w:webHidden/>
              </w:rPr>
              <w:fldChar w:fldCharType="begin"/>
            </w:r>
            <w:r w:rsidR="006D17B1">
              <w:rPr>
                <w:noProof/>
                <w:webHidden/>
              </w:rPr>
              <w:instrText xml:space="preserve"> PAGEREF _Toc178256520 \h </w:instrText>
            </w:r>
            <w:r w:rsidR="006D17B1">
              <w:rPr>
                <w:noProof/>
                <w:webHidden/>
              </w:rPr>
            </w:r>
            <w:r w:rsidR="006D17B1">
              <w:rPr>
                <w:noProof/>
                <w:webHidden/>
              </w:rPr>
              <w:fldChar w:fldCharType="separate"/>
            </w:r>
            <w:r w:rsidR="006D17B1">
              <w:rPr>
                <w:noProof/>
                <w:webHidden/>
              </w:rPr>
              <w:t>29</w:t>
            </w:r>
            <w:r w:rsidR="006D17B1">
              <w:rPr>
                <w:noProof/>
                <w:webHidden/>
              </w:rPr>
              <w:fldChar w:fldCharType="end"/>
            </w:r>
          </w:hyperlink>
        </w:p>
        <w:p w14:paraId="3D4BD728" w14:textId="30E04B70"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21" w:history="1">
            <w:r w:rsidR="006D17B1" w:rsidRPr="0008658E">
              <w:rPr>
                <w:rStyle w:val="Hyperlink"/>
                <w:noProof/>
              </w:rPr>
              <w:t>Figure 22 – Relative impacts of Australian scientific publications by research field, 2018–22</w:t>
            </w:r>
            <w:r w:rsidR="006D17B1">
              <w:rPr>
                <w:noProof/>
                <w:webHidden/>
              </w:rPr>
              <w:tab/>
            </w:r>
            <w:r w:rsidR="006D17B1">
              <w:rPr>
                <w:noProof/>
                <w:webHidden/>
              </w:rPr>
              <w:fldChar w:fldCharType="begin"/>
            </w:r>
            <w:r w:rsidR="006D17B1">
              <w:rPr>
                <w:noProof/>
                <w:webHidden/>
              </w:rPr>
              <w:instrText xml:space="preserve"> PAGEREF _Toc178256521 \h </w:instrText>
            </w:r>
            <w:r w:rsidR="006D17B1">
              <w:rPr>
                <w:noProof/>
                <w:webHidden/>
              </w:rPr>
            </w:r>
            <w:r w:rsidR="006D17B1">
              <w:rPr>
                <w:noProof/>
                <w:webHidden/>
              </w:rPr>
              <w:fldChar w:fldCharType="separate"/>
            </w:r>
            <w:r w:rsidR="006D17B1">
              <w:rPr>
                <w:noProof/>
                <w:webHidden/>
              </w:rPr>
              <w:t>30</w:t>
            </w:r>
            <w:r w:rsidR="006D17B1">
              <w:rPr>
                <w:noProof/>
                <w:webHidden/>
              </w:rPr>
              <w:fldChar w:fldCharType="end"/>
            </w:r>
          </w:hyperlink>
        </w:p>
        <w:p w14:paraId="2189F2B3" w14:textId="6339BCF4"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22" w:history="1">
            <w:r w:rsidR="006D17B1" w:rsidRPr="0008658E">
              <w:rPr>
                <w:rStyle w:val="Hyperlink"/>
                <w:noProof/>
              </w:rPr>
              <w:t>Figure 23 – Skilled workforce and innovation indicators – Global rankings</w:t>
            </w:r>
            <w:r w:rsidR="006D17B1">
              <w:rPr>
                <w:noProof/>
                <w:webHidden/>
              </w:rPr>
              <w:tab/>
            </w:r>
            <w:r w:rsidR="006D17B1">
              <w:rPr>
                <w:noProof/>
                <w:webHidden/>
              </w:rPr>
              <w:fldChar w:fldCharType="begin"/>
            </w:r>
            <w:r w:rsidR="006D17B1">
              <w:rPr>
                <w:noProof/>
                <w:webHidden/>
              </w:rPr>
              <w:instrText xml:space="preserve"> PAGEREF _Toc178256522 \h </w:instrText>
            </w:r>
            <w:r w:rsidR="006D17B1">
              <w:rPr>
                <w:noProof/>
                <w:webHidden/>
              </w:rPr>
            </w:r>
            <w:r w:rsidR="006D17B1">
              <w:rPr>
                <w:noProof/>
                <w:webHidden/>
              </w:rPr>
              <w:fldChar w:fldCharType="separate"/>
            </w:r>
            <w:r w:rsidR="006D17B1">
              <w:rPr>
                <w:noProof/>
                <w:webHidden/>
              </w:rPr>
              <w:t>31</w:t>
            </w:r>
            <w:r w:rsidR="006D17B1">
              <w:rPr>
                <w:noProof/>
                <w:webHidden/>
              </w:rPr>
              <w:fldChar w:fldCharType="end"/>
            </w:r>
          </w:hyperlink>
        </w:p>
        <w:p w14:paraId="44307659" w14:textId="530F17E2"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23" w:history="1">
            <w:r w:rsidR="006D17B1" w:rsidRPr="0008658E">
              <w:rPr>
                <w:rStyle w:val="Hyperlink"/>
                <w:noProof/>
              </w:rPr>
              <w:t xml:space="preserve">Figure 24 – Percentage of employed persons with tertiary education by industry¹ </w:t>
            </w:r>
            <w:r w:rsidR="006D17B1" w:rsidRPr="0008658E">
              <w:rPr>
                <w:rStyle w:val="Hyperlink"/>
                <w:rFonts w:ascii="Calibri" w:hAnsi="Calibri" w:cs="Calibri"/>
                <w:noProof/>
              </w:rPr>
              <w:t>―</w:t>
            </w:r>
            <w:r w:rsidR="006D17B1" w:rsidRPr="0008658E">
              <w:rPr>
                <w:rStyle w:val="Hyperlink"/>
                <w:noProof/>
              </w:rPr>
              <w:t xml:space="preserve"> 2023</w:t>
            </w:r>
            <w:r w:rsidR="006D17B1">
              <w:rPr>
                <w:noProof/>
                <w:webHidden/>
              </w:rPr>
              <w:tab/>
            </w:r>
            <w:r w:rsidR="006D17B1">
              <w:rPr>
                <w:noProof/>
                <w:webHidden/>
              </w:rPr>
              <w:fldChar w:fldCharType="begin"/>
            </w:r>
            <w:r w:rsidR="006D17B1">
              <w:rPr>
                <w:noProof/>
                <w:webHidden/>
              </w:rPr>
              <w:instrText xml:space="preserve"> PAGEREF _Toc178256523 \h </w:instrText>
            </w:r>
            <w:r w:rsidR="006D17B1">
              <w:rPr>
                <w:noProof/>
                <w:webHidden/>
              </w:rPr>
            </w:r>
            <w:r w:rsidR="006D17B1">
              <w:rPr>
                <w:noProof/>
                <w:webHidden/>
              </w:rPr>
              <w:fldChar w:fldCharType="separate"/>
            </w:r>
            <w:r w:rsidR="006D17B1">
              <w:rPr>
                <w:noProof/>
                <w:webHidden/>
              </w:rPr>
              <w:t>32</w:t>
            </w:r>
            <w:r w:rsidR="006D17B1">
              <w:rPr>
                <w:noProof/>
                <w:webHidden/>
              </w:rPr>
              <w:fldChar w:fldCharType="end"/>
            </w:r>
          </w:hyperlink>
        </w:p>
        <w:p w14:paraId="12390C73" w14:textId="207E2F2B"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24" w:history="1">
            <w:r w:rsidR="006D17B1" w:rsidRPr="0008658E">
              <w:rPr>
                <w:rStyle w:val="Hyperlink"/>
                <w:noProof/>
              </w:rPr>
              <w:t>Figure 25 – Expenditure on educational institutions across OECD countries¹</w:t>
            </w:r>
            <w:r w:rsidR="006D17B1">
              <w:rPr>
                <w:noProof/>
                <w:webHidden/>
              </w:rPr>
              <w:tab/>
            </w:r>
            <w:r w:rsidR="006D17B1">
              <w:rPr>
                <w:noProof/>
                <w:webHidden/>
              </w:rPr>
              <w:fldChar w:fldCharType="begin"/>
            </w:r>
            <w:r w:rsidR="006D17B1">
              <w:rPr>
                <w:noProof/>
                <w:webHidden/>
              </w:rPr>
              <w:instrText xml:space="preserve"> PAGEREF _Toc178256524 \h </w:instrText>
            </w:r>
            <w:r w:rsidR="006D17B1">
              <w:rPr>
                <w:noProof/>
                <w:webHidden/>
              </w:rPr>
            </w:r>
            <w:r w:rsidR="006D17B1">
              <w:rPr>
                <w:noProof/>
                <w:webHidden/>
              </w:rPr>
              <w:fldChar w:fldCharType="separate"/>
            </w:r>
            <w:r w:rsidR="006D17B1">
              <w:rPr>
                <w:noProof/>
                <w:webHidden/>
              </w:rPr>
              <w:t>33</w:t>
            </w:r>
            <w:r w:rsidR="006D17B1">
              <w:rPr>
                <w:noProof/>
                <w:webHidden/>
              </w:rPr>
              <w:fldChar w:fldCharType="end"/>
            </w:r>
          </w:hyperlink>
        </w:p>
        <w:p w14:paraId="319F62A2" w14:textId="2F71C0AB"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25" w:history="1">
            <w:r w:rsidR="006D17B1" w:rsidRPr="0008658E">
              <w:rPr>
                <w:rStyle w:val="Hyperlink"/>
                <w:noProof/>
              </w:rPr>
              <w:t>Figure 26 – Academic ranking of world universities, 2023</w:t>
            </w:r>
            <w:r w:rsidR="006D17B1">
              <w:rPr>
                <w:noProof/>
                <w:webHidden/>
              </w:rPr>
              <w:tab/>
            </w:r>
            <w:r w:rsidR="006D17B1">
              <w:rPr>
                <w:noProof/>
                <w:webHidden/>
              </w:rPr>
              <w:fldChar w:fldCharType="begin"/>
            </w:r>
            <w:r w:rsidR="006D17B1">
              <w:rPr>
                <w:noProof/>
                <w:webHidden/>
              </w:rPr>
              <w:instrText xml:space="preserve"> PAGEREF _Toc178256525 \h </w:instrText>
            </w:r>
            <w:r w:rsidR="006D17B1">
              <w:rPr>
                <w:noProof/>
                <w:webHidden/>
              </w:rPr>
            </w:r>
            <w:r w:rsidR="006D17B1">
              <w:rPr>
                <w:noProof/>
                <w:webHidden/>
              </w:rPr>
              <w:fldChar w:fldCharType="separate"/>
            </w:r>
            <w:r w:rsidR="006D17B1">
              <w:rPr>
                <w:noProof/>
                <w:webHidden/>
              </w:rPr>
              <w:t>34</w:t>
            </w:r>
            <w:r w:rsidR="006D17B1">
              <w:rPr>
                <w:noProof/>
                <w:webHidden/>
              </w:rPr>
              <w:fldChar w:fldCharType="end"/>
            </w:r>
          </w:hyperlink>
        </w:p>
        <w:p w14:paraId="4A97A5EF" w14:textId="38587FBE"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26" w:history="1">
            <w:r w:rsidR="006D17B1" w:rsidRPr="0008658E">
              <w:rPr>
                <w:rStyle w:val="Hyperlink"/>
                <w:noProof/>
              </w:rPr>
              <w:t>Figure 27 – Top 100 Universities Times Higher Education Impact Rankings, 2023</w:t>
            </w:r>
            <w:r w:rsidR="006D17B1">
              <w:rPr>
                <w:noProof/>
                <w:webHidden/>
              </w:rPr>
              <w:tab/>
            </w:r>
            <w:r w:rsidR="006D17B1">
              <w:rPr>
                <w:noProof/>
                <w:webHidden/>
              </w:rPr>
              <w:fldChar w:fldCharType="begin"/>
            </w:r>
            <w:r w:rsidR="006D17B1">
              <w:rPr>
                <w:noProof/>
                <w:webHidden/>
              </w:rPr>
              <w:instrText xml:space="preserve"> PAGEREF _Toc178256526 \h </w:instrText>
            </w:r>
            <w:r w:rsidR="006D17B1">
              <w:rPr>
                <w:noProof/>
                <w:webHidden/>
              </w:rPr>
            </w:r>
            <w:r w:rsidR="006D17B1">
              <w:rPr>
                <w:noProof/>
                <w:webHidden/>
              </w:rPr>
              <w:fldChar w:fldCharType="separate"/>
            </w:r>
            <w:r w:rsidR="006D17B1">
              <w:rPr>
                <w:noProof/>
                <w:webHidden/>
              </w:rPr>
              <w:t>35</w:t>
            </w:r>
            <w:r w:rsidR="006D17B1">
              <w:rPr>
                <w:noProof/>
                <w:webHidden/>
              </w:rPr>
              <w:fldChar w:fldCharType="end"/>
            </w:r>
          </w:hyperlink>
        </w:p>
        <w:p w14:paraId="36C5ADCC" w14:textId="3F7A6103"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27" w:history="1">
            <w:r w:rsidR="006D17B1" w:rsidRPr="0008658E">
              <w:rPr>
                <w:rStyle w:val="Hyperlink"/>
                <w:noProof/>
              </w:rPr>
              <w:t>Figure 28 – Asia’s economic growth</w:t>
            </w:r>
            <w:r w:rsidR="006D17B1">
              <w:rPr>
                <w:noProof/>
                <w:webHidden/>
              </w:rPr>
              <w:tab/>
            </w:r>
            <w:r w:rsidR="006D17B1">
              <w:rPr>
                <w:noProof/>
                <w:webHidden/>
              </w:rPr>
              <w:fldChar w:fldCharType="begin"/>
            </w:r>
            <w:r w:rsidR="006D17B1">
              <w:rPr>
                <w:noProof/>
                <w:webHidden/>
              </w:rPr>
              <w:instrText xml:space="preserve"> PAGEREF _Toc178256527 \h </w:instrText>
            </w:r>
            <w:r w:rsidR="006D17B1">
              <w:rPr>
                <w:noProof/>
                <w:webHidden/>
              </w:rPr>
            </w:r>
            <w:r w:rsidR="006D17B1">
              <w:rPr>
                <w:noProof/>
                <w:webHidden/>
              </w:rPr>
              <w:fldChar w:fldCharType="separate"/>
            </w:r>
            <w:r w:rsidR="006D17B1">
              <w:rPr>
                <w:noProof/>
                <w:webHidden/>
              </w:rPr>
              <w:t>37</w:t>
            </w:r>
            <w:r w:rsidR="006D17B1">
              <w:rPr>
                <w:noProof/>
                <w:webHidden/>
              </w:rPr>
              <w:fldChar w:fldCharType="end"/>
            </w:r>
          </w:hyperlink>
        </w:p>
        <w:p w14:paraId="58A93B22" w14:textId="1F110EB7"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28" w:history="1">
            <w:r w:rsidR="006D17B1" w:rsidRPr="0008658E">
              <w:rPr>
                <w:rStyle w:val="Hyperlink"/>
                <w:noProof/>
              </w:rPr>
              <w:t>Figure 29 – Australia’s free trade agreements</w:t>
            </w:r>
            <w:r w:rsidR="006D17B1">
              <w:rPr>
                <w:noProof/>
                <w:webHidden/>
              </w:rPr>
              <w:tab/>
            </w:r>
            <w:r w:rsidR="006D17B1">
              <w:rPr>
                <w:noProof/>
                <w:webHidden/>
              </w:rPr>
              <w:fldChar w:fldCharType="begin"/>
            </w:r>
            <w:r w:rsidR="006D17B1">
              <w:rPr>
                <w:noProof/>
                <w:webHidden/>
              </w:rPr>
              <w:instrText xml:space="preserve"> PAGEREF _Toc178256528 \h </w:instrText>
            </w:r>
            <w:r w:rsidR="006D17B1">
              <w:rPr>
                <w:noProof/>
                <w:webHidden/>
              </w:rPr>
            </w:r>
            <w:r w:rsidR="006D17B1">
              <w:rPr>
                <w:noProof/>
                <w:webHidden/>
              </w:rPr>
              <w:fldChar w:fldCharType="separate"/>
            </w:r>
            <w:r w:rsidR="006D17B1">
              <w:rPr>
                <w:noProof/>
                <w:webHidden/>
              </w:rPr>
              <w:t>38</w:t>
            </w:r>
            <w:r w:rsidR="006D17B1">
              <w:rPr>
                <w:noProof/>
                <w:webHidden/>
              </w:rPr>
              <w:fldChar w:fldCharType="end"/>
            </w:r>
          </w:hyperlink>
        </w:p>
        <w:p w14:paraId="6F4E60E3" w14:textId="75E99816"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29" w:history="1">
            <w:r w:rsidR="006D17B1" w:rsidRPr="0008658E">
              <w:rPr>
                <w:rStyle w:val="Hyperlink"/>
                <w:noProof/>
              </w:rPr>
              <w:t>Figure 30 – Trade digitalisation index¹ for selected economies, 2023</w:t>
            </w:r>
            <w:r w:rsidR="006D17B1">
              <w:rPr>
                <w:noProof/>
                <w:webHidden/>
              </w:rPr>
              <w:tab/>
            </w:r>
            <w:r w:rsidR="006D17B1">
              <w:rPr>
                <w:noProof/>
                <w:webHidden/>
              </w:rPr>
              <w:fldChar w:fldCharType="begin"/>
            </w:r>
            <w:r w:rsidR="006D17B1">
              <w:rPr>
                <w:noProof/>
                <w:webHidden/>
              </w:rPr>
              <w:instrText xml:space="preserve"> PAGEREF _Toc178256529 \h </w:instrText>
            </w:r>
            <w:r w:rsidR="006D17B1">
              <w:rPr>
                <w:noProof/>
                <w:webHidden/>
              </w:rPr>
            </w:r>
            <w:r w:rsidR="006D17B1">
              <w:rPr>
                <w:noProof/>
                <w:webHidden/>
              </w:rPr>
              <w:fldChar w:fldCharType="separate"/>
            </w:r>
            <w:r w:rsidR="006D17B1">
              <w:rPr>
                <w:noProof/>
                <w:webHidden/>
              </w:rPr>
              <w:t>40</w:t>
            </w:r>
            <w:r w:rsidR="006D17B1">
              <w:rPr>
                <w:noProof/>
                <w:webHidden/>
              </w:rPr>
              <w:fldChar w:fldCharType="end"/>
            </w:r>
          </w:hyperlink>
        </w:p>
        <w:p w14:paraId="2CE7E6FE" w14:textId="1557B3EC"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30" w:history="1">
            <w:r w:rsidR="006D17B1" w:rsidRPr="0008658E">
              <w:rPr>
                <w:rStyle w:val="Hyperlink"/>
                <w:noProof/>
              </w:rPr>
              <w:t>Figure 31 – Foreign-born population across OECD countries, 2000 and 2022¹</w:t>
            </w:r>
            <w:r w:rsidR="006D17B1">
              <w:rPr>
                <w:noProof/>
                <w:webHidden/>
              </w:rPr>
              <w:tab/>
            </w:r>
            <w:r w:rsidR="006D17B1">
              <w:rPr>
                <w:noProof/>
                <w:webHidden/>
              </w:rPr>
              <w:fldChar w:fldCharType="begin"/>
            </w:r>
            <w:r w:rsidR="006D17B1">
              <w:rPr>
                <w:noProof/>
                <w:webHidden/>
              </w:rPr>
              <w:instrText xml:space="preserve"> PAGEREF _Toc178256530 \h </w:instrText>
            </w:r>
            <w:r w:rsidR="006D17B1">
              <w:rPr>
                <w:noProof/>
                <w:webHidden/>
              </w:rPr>
            </w:r>
            <w:r w:rsidR="006D17B1">
              <w:rPr>
                <w:noProof/>
                <w:webHidden/>
              </w:rPr>
              <w:fldChar w:fldCharType="separate"/>
            </w:r>
            <w:r w:rsidR="006D17B1">
              <w:rPr>
                <w:noProof/>
                <w:webHidden/>
              </w:rPr>
              <w:t>41</w:t>
            </w:r>
            <w:r w:rsidR="006D17B1">
              <w:rPr>
                <w:noProof/>
                <w:webHidden/>
              </w:rPr>
              <w:fldChar w:fldCharType="end"/>
            </w:r>
          </w:hyperlink>
        </w:p>
        <w:p w14:paraId="579561EF" w14:textId="3D2D127E"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31" w:history="1">
            <w:r w:rsidR="006D17B1" w:rsidRPr="0008658E">
              <w:rPr>
                <w:rStyle w:val="Hyperlink"/>
                <w:noProof/>
              </w:rPr>
              <w:t>Figure 32 – Total foreign investment stock in Australia, 2003 to 2023</w:t>
            </w:r>
            <w:r w:rsidR="006D17B1">
              <w:rPr>
                <w:noProof/>
                <w:webHidden/>
              </w:rPr>
              <w:tab/>
            </w:r>
            <w:r w:rsidR="006D17B1">
              <w:rPr>
                <w:noProof/>
                <w:webHidden/>
              </w:rPr>
              <w:fldChar w:fldCharType="begin"/>
            </w:r>
            <w:r w:rsidR="006D17B1">
              <w:rPr>
                <w:noProof/>
                <w:webHidden/>
              </w:rPr>
              <w:instrText xml:space="preserve"> PAGEREF _Toc178256531 \h </w:instrText>
            </w:r>
            <w:r w:rsidR="006D17B1">
              <w:rPr>
                <w:noProof/>
                <w:webHidden/>
              </w:rPr>
            </w:r>
            <w:r w:rsidR="006D17B1">
              <w:rPr>
                <w:noProof/>
                <w:webHidden/>
              </w:rPr>
              <w:fldChar w:fldCharType="separate"/>
            </w:r>
            <w:r w:rsidR="006D17B1">
              <w:rPr>
                <w:noProof/>
                <w:webHidden/>
              </w:rPr>
              <w:t>42</w:t>
            </w:r>
            <w:r w:rsidR="006D17B1">
              <w:rPr>
                <w:noProof/>
                <w:webHidden/>
              </w:rPr>
              <w:fldChar w:fldCharType="end"/>
            </w:r>
          </w:hyperlink>
        </w:p>
        <w:p w14:paraId="18DAE87D" w14:textId="1CF83B33"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32" w:history="1">
            <w:r w:rsidR="006D17B1" w:rsidRPr="0008658E">
              <w:rPr>
                <w:rStyle w:val="Hyperlink"/>
                <w:noProof/>
              </w:rPr>
              <w:t>Figure 33 – Australia's main sources of foreign direct investment stock, 2013–2023</w:t>
            </w:r>
            <w:r w:rsidR="006D17B1">
              <w:rPr>
                <w:noProof/>
                <w:webHidden/>
              </w:rPr>
              <w:tab/>
            </w:r>
            <w:r w:rsidR="006D17B1">
              <w:rPr>
                <w:noProof/>
                <w:webHidden/>
              </w:rPr>
              <w:fldChar w:fldCharType="begin"/>
            </w:r>
            <w:r w:rsidR="006D17B1">
              <w:rPr>
                <w:noProof/>
                <w:webHidden/>
              </w:rPr>
              <w:instrText xml:space="preserve"> PAGEREF _Toc178256532 \h </w:instrText>
            </w:r>
            <w:r w:rsidR="006D17B1">
              <w:rPr>
                <w:noProof/>
                <w:webHidden/>
              </w:rPr>
            </w:r>
            <w:r w:rsidR="006D17B1">
              <w:rPr>
                <w:noProof/>
                <w:webHidden/>
              </w:rPr>
              <w:fldChar w:fldCharType="separate"/>
            </w:r>
            <w:r w:rsidR="006D17B1">
              <w:rPr>
                <w:noProof/>
                <w:webHidden/>
              </w:rPr>
              <w:t>43</w:t>
            </w:r>
            <w:r w:rsidR="006D17B1">
              <w:rPr>
                <w:noProof/>
                <w:webHidden/>
              </w:rPr>
              <w:fldChar w:fldCharType="end"/>
            </w:r>
          </w:hyperlink>
        </w:p>
        <w:p w14:paraId="2115D502" w14:textId="712B35FF"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33" w:history="1">
            <w:r w:rsidR="006D17B1" w:rsidRPr="0008658E">
              <w:rPr>
                <w:rStyle w:val="Hyperlink"/>
                <w:noProof/>
              </w:rPr>
              <w:t>Figure 34 – Australia’s exports and imports of goods and services</w:t>
            </w:r>
            <w:r w:rsidR="006D17B1">
              <w:rPr>
                <w:noProof/>
                <w:webHidden/>
              </w:rPr>
              <w:tab/>
            </w:r>
            <w:r w:rsidR="006D17B1">
              <w:rPr>
                <w:noProof/>
                <w:webHidden/>
              </w:rPr>
              <w:fldChar w:fldCharType="begin"/>
            </w:r>
            <w:r w:rsidR="006D17B1">
              <w:rPr>
                <w:noProof/>
                <w:webHidden/>
              </w:rPr>
              <w:instrText xml:space="preserve"> PAGEREF _Toc178256533 \h </w:instrText>
            </w:r>
            <w:r w:rsidR="006D17B1">
              <w:rPr>
                <w:noProof/>
                <w:webHidden/>
              </w:rPr>
            </w:r>
            <w:r w:rsidR="006D17B1">
              <w:rPr>
                <w:noProof/>
                <w:webHidden/>
              </w:rPr>
              <w:fldChar w:fldCharType="separate"/>
            </w:r>
            <w:r w:rsidR="006D17B1">
              <w:rPr>
                <w:noProof/>
                <w:webHidden/>
              </w:rPr>
              <w:t>44</w:t>
            </w:r>
            <w:r w:rsidR="006D17B1">
              <w:rPr>
                <w:noProof/>
                <w:webHidden/>
              </w:rPr>
              <w:fldChar w:fldCharType="end"/>
            </w:r>
          </w:hyperlink>
        </w:p>
        <w:p w14:paraId="5D998025" w14:textId="1CB410FF"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34" w:history="1">
            <w:r w:rsidR="006D17B1" w:rsidRPr="0008658E">
              <w:rPr>
                <w:rStyle w:val="Hyperlink"/>
                <w:noProof/>
              </w:rPr>
              <w:t>Figure 35 – Services trade restrictiveness index¹ by sector, Australia vs OECD average in 2022²</w:t>
            </w:r>
            <w:r w:rsidR="006D17B1">
              <w:rPr>
                <w:noProof/>
                <w:webHidden/>
              </w:rPr>
              <w:tab/>
            </w:r>
            <w:r w:rsidR="006D17B1">
              <w:rPr>
                <w:noProof/>
                <w:webHidden/>
              </w:rPr>
              <w:fldChar w:fldCharType="begin"/>
            </w:r>
            <w:r w:rsidR="006D17B1">
              <w:rPr>
                <w:noProof/>
                <w:webHidden/>
              </w:rPr>
              <w:instrText xml:space="preserve"> PAGEREF _Toc178256534 \h </w:instrText>
            </w:r>
            <w:r w:rsidR="006D17B1">
              <w:rPr>
                <w:noProof/>
                <w:webHidden/>
              </w:rPr>
            </w:r>
            <w:r w:rsidR="006D17B1">
              <w:rPr>
                <w:noProof/>
                <w:webHidden/>
              </w:rPr>
              <w:fldChar w:fldCharType="separate"/>
            </w:r>
            <w:r w:rsidR="006D17B1">
              <w:rPr>
                <w:noProof/>
                <w:webHidden/>
              </w:rPr>
              <w:t>45</w:t>
            </w:r>
            <w:r w:rsidR="006D17B1">
              <w:rPr>
                <w:noProof/>
                <w:webHidden/>
              </w:rPr>
              <w:fldChar w:fldCharType="end"/>
            </w:r>
          </w:hyperlink>
        </w:p>
        <w:p w14:paraId="64D60426" w14:textId="350E50CE"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35" w:history="1">
            <w:r w:rsidR="006D17B1" w:rsidRPr="0008658E">
              <w:rPr>
                <w:rStyle w:val="Hyperlink"/>
                <w:noProof/>
              </w:rPr>
              <w:t>Figure 36 – Energy and resources exports by economy in 2023</w:t>
            </w:r>
            <w:r w:rsidR="006D17B1">
              <w:rPr>
                <w:noProof/>
                <w:webHidden/>
              </w:rPr>
              <w:tab/>
            </w:r>
            <w:r w:rsidR="006D17B1">
              <w:rPr>
                <w:noProof/>
                <w:webHidden/>
              </w:rPr>
              <w:fldChar w:fldCharType="begin"/>
            </w:r>
            <w:r w:rsidR="006D17B1">
              <w:rPr>
                <w:noProof/>
                <w:webHidden/>
              </w:rPr>
              <w:instrText xml:space="preserve"> PAGEREF _Toc178256535 \h </w:instrText>
            </w:r>
            <w:r w:rsidR="006D17B1">
              <w:rPr>
                <w:noProof/>
                <w:webHidden/>
              </w:rPr>
            </w:r>
            <w:r w:rsidR="006D17B1">
              <w:rPr>
                <w:noProof/>
                <w:webHidden/>
              </w:rPr>
              <w:fldChar w:fldCharType="separate"/>
            </w:r>
            <w:r w:rsidR="006D17B1">
              <w:rPr>
                <w:noProof/>
                <w:webHidden/>
              </w:rPr>
              <w:t>46</w:t>
            </w:r>
            <w:r w:rsidR="006D17B1">
              <w:rPr>
                <w:noProof/>
                <w:webHidden/>
              </w:rPr>
              <w:fldChar w:fldCharType="end"/>
            </w:r>
          </w:hyperlink>
        </w:p>
        <w:p w14:paraId="016A178D" w14:textId="38F17D53"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36" w:history="1">
            <w:r w:rsidR="006D17B1" w:rsidRPr="0008658E">
              <w:rPr>
                <w:rStyle w:val="Hyperlink"/>
                <w:noProof/>
              </w:rPr>
              <w:t>Figure 37 – Australia’s major agricultural products, 2023–24</w:t>
            </w:r>
            <w:r w:rsidR="006D17B1" w:rsidRPr="0008658E">
              <w:rPr>
                <w:rStyle w:val="Hyperlink"/>
                <w:noProof/>
                <w:vertAlign w:val="superscript"/>
              </w:rPr>
              <w:t>E</w:t>
            </w:r>
            <w:r w:rsidR="006D17B1">
              <w:rPr>
                <w:noProof/>
                <w:webHidden/>
              </w:rPr>
              <w:tab/>
            </w:r>
            <w:r w:rsidR="006D17B1">
              <w:rPr>
                <w:noProof/>
                <w:webHidden/>
              </w:rPr>
              <w:fldChar w:fldCharType="begin"/>
            </w:r>
            <w:r w:rsidR="006D17B1">
              <w:rPr>
                <w:noProof/>
                <w:webHidden/>
              </w:rPr>
              <w:instrText xml:space="preserve"> PAGEREF _Toc178256536 \h </w:instrText>
            </w:r>
            <w:r w:rsidR="006D17B1">
              <w:rPr>
                <w:noProof/>
                <w:webHidden/>
              </w:rPr>
            </w:r>
            <w:r w:rsidR="006D17B1">
              <w:rPr>
                <w:noProof/>
                <w:webHidden/>
              </w:rPr>
              <w:fldChar w:fldCharType="separate"/>
            </w:r>
            <w:r w:rsidR="006D17B1">
              <w:rPr>
                <w:noProof/>
                <w:webHidden/>
              </w:rPr>
              <w:t>47</w:t>
            </w:r>
            <w:r w:rsidR="006D17B1">
              <w:rPr>
                <w:noProof/>
                <w:webHidden/>
              </w:rPr>
              <w:fldChar w:fldCharType="end"/>
            </w:r>
          </w:hyperlink>
        </w:p>
        <w:p w14:paraId="5E16255B" w14:textId="443D9EA5"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37" w:history="1">
            <w:r w:rsidR="006D17B1" w:rsidRPr="0008658E">
              <w:rPr>
                <w:rStyle w:val="Hyperlink"/>
                <w:noProof/>
              </w:rPr>
              <w:t>Figure 38 – Tourism investment pipeline² in Australia by sector and financial year³</w:t>
            </w:r>
            <w:r w:rsidR="006D17B1">
              <w:rPr>
                <w:noProof/>
                <w:webHidden/>
              </w:rPr>
              <w:tab/>
            </w:r>
            <w:r w:rsidR="006D17B1">
              <w:rPr>
                <w:noProof/>
                <w:webHidden/>
              </w:rPr>
              <w:fldChar w:fldCharType="begin"/>
            </w:r>
            <w:r w:rsidR="006D17B1">
              <w:rPr>
                <w:noProof/>
                <w:webHidden/>
              </w:rPr>
              <w:instrText xml:space="preserve"> PAGEREF _Toc178256537 \h </w:instrText>
            </w:r>
            <w:r w:rsidR="006D17B1">
              <w:rPr>
                <w:noProof/>
                <w:webHidden/>
              </w:rPr>
            </w:r>
            <w:r w:rsidR="006D17B1">
              <w:rPr>
                <w:noProof/>
                <w:webHidden/>
              </w:rPr>
              <w:fldChar w:fldCharType="separate"/>
            </w:r>
            <w:r w:rsidR="006D17B1">
              <w:rPr>
                <w:noProof/>
                <w:webHidden/>
              </w:rPr>
              <w:t>48</w:t>
            </w:r>
            <w:r w:rsidR="006D17B1">
              <w:rPr>
                <w:noProof/>
                <w:webHidden/>
              </w:rPr>
              <w:fldChar w:fldCharType="end"/>
            </w:r>
          </w:hyperlink>
        </w:p>
        <w:p w14:paraId="12A4098D" w14:textId="0C007379"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38" w:history="1">
            <w:r w:rsidR="006D17B1" w:rsidRPr="0008658E">
              <w:rPr>
                <w:rStyle w:val="Hyperlink"/>
                <w:noProof/>
              </w:rPr>
              <w:t>Figure 39 – Talent attractiveness</w:t>
            </w:r>
            <w:r w:rsidR="006D17B1">
              <w:rPr>
                <w:noProof/>
                <w:webHidden/>
              </w:rPr>
              <w:tab/>
            </w:r>
            <w:r w:rsidR="006D17B1">
              <w:rPr>
                <w:noProof/>
                <w:webHidden/>
              </w:rPr>
              <w:fldChar w:fldCharType="begin"/>
            </w:r>
            <w:r w:rsidR="006D17B1">
              <w:rPr>
                <w:noProof/>
                <w:webHidden/>
              </w:rPr>
              <w:instrText xml:space="preserve"> PAGEREF _Toc178256538 \h </w:instrText>
            </w:r>
            <w:r w:rsidR="006D17B1">
              <w:rPr>
                <w:noProof/>
                <w:webHidden/>
              </w:rPr>
            </w:r>
            <w:r w:rsidR="006D17B1">
              <w:rPr>
                <w:noProof/>
                <w:webHidden/>
              </w:rPr>
              <w:fldChar w:fldCharType="separate"/>
            </w:r>
            <w:r w:rsidR="006D17B1">
              <w:rPr>
                <w:noProof/>
                <w:webHidden/>
              </w:rPr>
              <w:t>50</w:t>
            </w:r>
            <w:r w:rsidR="006D17B1">
              <w:rPr>
                <w:noProof/>
                <w:webHidden/>
              </w:rPr>
              <w:fldChar w:fldCharType="end"/>
            </w:r>
          </w:hyperlink>
        </w:p>
        <w:p w14:paraId="3A0F1DF8" w14:textId="5EE414F2"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39" w:history="1">
            <w:r w:rsidR="006D17B1" w:rsidRPr="0008658E">
              <w:rPr>
                <w:rStyle w:val="Hyperlink"/>
                <w:noProof/>
              </w:rPr>
              <w:t>Figure 40 – Cost of living: Global city rankings, 2023</w:t>
            </w:r>
            <w:r w:rsidR="006D17B1">
              <w:rPr>
                <w:noProof/>
                <w:webHidden/>
              </w:rPr>
              <w:tab/>
            </w:r>
            <w:r w:rsidR="006D17B1">
              <w:rPr>
                <w:noProof/>
                <w:webHidden/>
              </w:rPr>
              <w:fldChar w:fldCharType="begin"/>
            </w:r>
            <w:r w:rsidR="006D17B1">
              <w:rPr>
                <w:noProof/>
                <w:webHidden/>
              </w:rPr>
              <w:instrText xml:space="preserve"> PAGEREF _Toc178256539 \h </w:instrText>
            </w:r>
            <w:r w:rsidR="006D17B1">
              <w:rPr>
                <w:noProof/>
                <w:webHidden/>
              </w:rPr>
            </w:r>
            <w:r w:rsidR="006D17B1">
              <w:rPr>
                <w:noProof/>
                <w:webHidden/>
              </w:rPr>
              <w:fldChar w:fldCharType="separate"/>
            </w:r>
            <w:r w:rsidR="006D17B1">
              <w:rPr>
                <w:noProof/>
                <w:webHidden/>
              </w:rPr>
              <w:t>51</w:t>
            </w:r>
            <w:r w:rsidR="006D17B1">
              <w:rPr>
                <w:noProof/>
                <w:webHidden/>
              </w:rPr>
              <w:fldChar w:fldCharType="end"/>
            </w:r>
          </w:hyperlink>
        </w:p>
        <w:p w14:paraId="70FD9253" w14:textId="71EB3888"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40" w:history="1">
            <w:r w:rsidR="006D17B1" w:rsidRPr="0008658E">
              <w:rPr>
                <w:rStyle w:val="Hyperlink"/>
                <w:noProof/>
              </w:rPr>
              <w:t>Figure 41 – Number of households with disposable income of more than US$75,000 per annum (selected economies)¹</w:t>
            </w:r>
            <w:r w:rsidR="006D17B1">
              <w:rPr>
                <w:noProof/>
                <w:webHidden/>
              </w:rPr>
              <w:tab/>
            </w:r>
            <w:r w:rsidR="006D17B1">
              <w:rPr>
                <w:noProof/>
                <w:webHidden/>
              </w:rPr>
              <w:fldChar w:fldCharType="begin"/>
            </w:r>
            <w:r w:rsidR="006D17B1">
              <w:rPr>
                <w:noProof/>
                <w:webHidden/>
              </w:rPr>
              <w:instrText xml:space="preserve"> PAGEREF _Toc178256540 \h </w:instrText>
            </w:r>
            <w:r w:rsidR="006D17B1">
              <w:rPr>
                <w:noProof/>
                <w:webHidden/>
              </w:rPr>
            </w:r>
            <w:r w:rsidR="006D17B1">
              <w:rPr>
                <w:noProof/>
                <w:webHidden/>
              </w:rPr>
              <w:fldChar w:fldCharType="separate"/>
            </w:r>
            <w:r w:rsidR="006D17B1">
              <w:rPr>
                <w:noProof/>
                <w:webHidden/>
              </w:rPr>
              <w:t>52</w:t>
            </w:r>
            <w:r w:rsidR="006D17B1">
              <w:rPr>
                <w:noProof/>
                <w:webHidden/>
              </w:rPr>
              <w:fldChar w:fldCharType="end"/>
            </w:r>
          </w:hyperlink>
        </w:p>
        <w:p w14:paraId="4AE3752F" w14:textId="56FA39F4"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41" w:history="1">
            <w:r w:rsidR="006D17B1" w:rsidRPr="0008658E">
              <w:rPr>
                <w:rStyle w:val="Hyperlink"/>
                <w:noProof/>
              </w:rPr>
              <w:t>Figure 42 – Happiness Index and GDP per capita, 2023</w:t>
            </w:r>
            <w:r w:rsidR="006D17B1">
              <w:rPr>
                <w:noProof/>
                <w:webHidden/>
              </w:rPr>
              <w:tab/>
            </w:r>
            <w:r w:rsidR="006D17B1">
              <w:rPr>
                <w:noProof/>
                <w:webHidden/>
              </w:rPr>
              <w:fldChar w:fldCharType="begin"/>
            </w:r>
            <w:r w:rsidR="006D17B1">
              <w:rPr>
                <w:noProof/>
                <w:webHidden/>
              </w:rPr>
              <w:instrText xml:space="preserve"> PAGEREF _Toc178256541 \h </w:instrText>
            </w:r>
            <w:r w:rsidR="006D17B1">
              <w:rPr>
                <w:noProof/>
                <w:webHidden/>
              </w:rPr>
            </w:r>
            <w:r w:rsidR="006D17B1">
              <w:rPr>
                <w:noProof/>
                <w:webHidden/>
              </w:rPr>
              <w:fldChar w:fldCharType="separate"/>
            </w:r>
            <w:r w:rsidR="006D17B1">
              <w:rPr>
                <w:noProof/>
                <w:webHidden/>
              </w:rPr>
              <w:t>53</w:t>
            </w:r>
            <w:r w:rsidR="006D17B1">
              <w:rPr>
                <w:noProof/>
                <w:webHidden/>
              </w:rPr>
              <w:fldChar w:fldCharType="end"/>
            </w:r>
          </w:hyperlink>
        </w:p>
        <w:p w14:paraId="13136FCF" w14:textId="53C823BB" w:rsidR="006D17B1" w:rsidRDefault="00000000">
          <w:pPr>
            <w:pStyle w:val="TableofFigures"/>
            <w:tabs>
              <w:tab w:val="right" w:leader="dot" w:pos="9968"/>
            </w:tabs>
            <w:rPr>
              <w:rFonts w:eastAsiaTheme="minorEastAsia"/>
              <w:noProof/>
              <w:kern w:val="2"/>
              <w:sz w:val="24"/>
              <w:szCs w:val="24"/>
              <w:lang w:eastAsia="en-AU"/>
              <w14:ligatures w14:val="standardContextual"/>
            </w:rPr>
          </w:pPr>
          <w:hyperlink w:anchor="_Toc178256542" w:history="1">
            <w:r w:rsidR="006D17B1" w:rsidRPr="0008658E">
              <w:rPr>
                <w:rStyle w:val="Hyperlink"/>
                <w:noProof/>
              </w:rPr>
              <w:t>Figure 43 – Government healthcare expenditure per capita, 2023</w:t>
            </w:r>
            <w:r w:rsidR="006D17B1">
              <w:rPr>
                <w:noProof/>
                <w:webHidden/>
              </w:rPr>
              <w:tab/>
            </w:r>
            <w:r w:rsidR="006D17B1">
              <w:rPr>
                <w:noProof/>
                <w:webHidden/>
              </w:rPr>
              <w:fldChar w:fldCharType="begin"/>
            </w:r>
            <w:r w:rsidR="006D17B1">
              <w:rPr>
                <w:noProof/>
                <w:webHidden/>
              </w:rPr>
              <w:instrText xml:space="preserve"> PAGEREF _Toc178256542 \h </w:instrText>
            </w:r>
            <w:r w:rsidR="006D17B1">
              <w:rPr>
                <w:noProof/>
                <w:webHidden/>
              </w:rPr>
            </w:r>
            <w:r w:rsidR="006D17B1">
              <w:rPr>
                <w:noProof/>
                <w:webHidden/>
              </w:rPr>
              <w:fldChar w:fldCharType="separate"/>
            </w:r>
            <w:r w:rsidR="006D17B1">
              <w:rPr>
                <w:noProof/>
                <w:webHidden/>
              </w:rPr>
              <w:t>54</w:t>
            </w:r>
            <w:r w:rsidR="006D17B1">
              <w:rPr>
                <w:noProof/>
                <w:webHidden/>
              </w:rPr>
              <w:fldChar w:fldCharType="end"/>
            </w:r>
          </w:hyperlink>
        </w:p>
        <w:p w14:paraId="6D80A6A5" w14:textId="6BB5029B" w:rsidR="0027239D" w:rsidRPr="002322B7" w:rsidRDefault="004A2629" w:rsidP="00257319">
          <w:r w:rsidRPr="002322B7">
            <w:fldChar w:fldCharType="end"/>
          </w:r>
        </w:p>
      </w:sdtContent>
    </w:sdt>
    <w:bookmarkEnd w:id="0"/>
    <w:p w14:paraId="489E1632" w14:textId="77777777" w:rsidR="00F62FE4" w:rsidRPr="002322B7" w:rsidRDefault="00F62FE4" w:rsidP="00257319">
      <w:pPr>
        <w:spacing w:before="0" w:after="160" w:line="259" w:lineRule="auto"/>
      </w:pPr>
      <w:r w:rsidRPr="002322B7">
        <w:br w:type="page"/>
      </w:r>
    </w:p>
    <w:p w14:paraId="3C587734" w14:textId="12EFA661" w:rsidR="008D6A73" w:rsidRPr="002322B7" w:rsidRDefault="007A5F72" w:rsidP="00257319">
      <w:pPr>
        <w:pStyle w:val="Heading-level1"/>
      </w:pPr>
      <w:bookmarkStart w:id="3" w:name="_Toc178256544"/>
      <w:permStart w:id="361199280" w:ed="AUSTRADE\Fernando-ramirez"/>
      <w:permEnd w:id="361199280"/>
      <w:r w:rsidRPr="002322B7">
        <w:lastRenderedPageBreak/>
        <w:t>CEO</w:t>
      </w:r>
      <w:r w:rsidR="00C74E86" w:rsidRPr="002322B7">
        <w:t>’s</w:t>
      </w:r>
      <w:r w:rsidRPr="002322B7">
        <w:t xml:space="preserve"> </w:t>
      </w:r>
      <w:r w:rsidR="00DA6676" w:rsidRPr="002322B7">
        <w:t>f</w:t>
      </w:r>
      <w:r w:rsidRPr="002322B7">
        <w:t>oreword</w:t>
      </w:r>
      <w:bookmarkEnd w:id="3"/>
    </w:p>
    <w:p w14:paraId="111E2DE4" w14:textId="0C73B51D" w:rsidR="004E254C" w:rsidRPr="002322B7" w:rsidRDefault="00E56AC2" w:rsidP="00780480">
      <w:pPr>
        <w:pStyle w:val="Body-copy"/>
        <w:rPr>
          <w:lang w:val="en-AU"/>
        </w:rPr>
      </w:pPr>
      <w:r w:rsidRPr="002322B7">
        <w:rPr>
          <w:lang w:val="en-AU"/>
        </w:rPr>
        <w:t xml:space="preserve">It is with great pleasure </w:t>
      </w:r>
      <w:r w:rsidR="00C92363" w:rsidRPr="002322B7">
        <w:rPr>
          <w:lang w:val="en-AU"/>
        </w:rPr>
        <w:t>t</w:t>
      </w:r>
      <w:r w:rsidR="0024258D" w:rsidRPr="002322B7">
        <w:rPr>
          <w:lang w:val="en-AU"/>
        </w:rPr>
        <w:t>hat I</w:t>
      </w:r>
      <w:r w:rsidR="00C92363" w:rsidRPr="002322B7">
        <w:rPr>
          <w:lang w:val="en-AU"/>
        </w:rPr>
        <w:t xml:space="preserve"> </w:t>
      </w:r>
      <w:r w:rsidR="00E82FD3" w:rsidRPr="002322B7">
        <w:rPr>
          <w:lang w:val="en-AU"/>
        </w:rPr>
        <w:t>present</w:t>
      </w:r>
      <w:r w:rsidRPr="002322B7">
        <w:rPr>
          <w:lang w:val="en-AU"/>
        </w:rPr>
        <w:t xml:space="preserve"> </w:t>
      </w:r>
      <w:r w:rsidR="004F6C49" w:rsidRPr="002322B7">
        <w:rPr>
          <w:lang w:val="en-AU"/>
        </w:rPr>
        <w:t>the Why Australia Benchmark Report 2024</w:t>
      </w:r>
      <w:r w:rsidR="00BD1024" w:rsidRPr="002322B7">
        <w:rPr>
          <w:lang w:val="en-AU"/>
        </w:rPr>
        <w:t xml:space="preserve">. </w:t>
      </w:r>
      <w:r w:rsidR="00E73993" w:rsidRPr="00E73993">
        <w:rPr>
          <w:lang w:val="en-AU"/>
        </w:rPr>
        <w:t xml:space="preserve">This report </w:t>
      </w:r>
      <w:r w:rsidR="00771AF3">
        <w:rPr>
          <w:lang w:val="en-AU"/>
        </w:rPr>
        <w:t xml:space="preserve">is intended </w:t>
      </w:r>
      <w:r w:rsidR="003E5AE3">
        <w:rPr>
          <w:lang w:val="en-AU"/>
        </w:rPr>
        <w:t>to be</w:t>
      </w:r>
      <w:r w:rsidR="00771AF3">
        <w:rPr>
          <w:lang w:val="en-AU"/>
        </w:rPr>
        <w:t xml:space="preserve"> </w:t>
      </w:r>
      <w:r w:rsidR="00E73993" w:rsidRPr="00E73993">
        <w:rPr>
          <w:lang w:val="en-AU"/>
        </w:rPr>
        <w:t xml:space="preserve">a </w:t>
      </w:r>
      <w:r w:rsidR="00771AF3">
        <w:rPr>
          <w:lang w:val="en-AU"/>
        </w:rPr>
        <w:t>key</w:t>
      </w:r>
      <w:r w:rsidR="00E73993" w:rsidRPr="00E73993">
        <w:rPr>
          <w:lang w:val="en-AU"/>
        </w:rPr>
        <w:t xml:space="preserve"> resource for </w:t>
      </w:r>
      <w:r w:rsidR="000E6F55">
        <w:rPr>
          <w:lang w:val="en-AU"/>
        </w:rPr>
        <w:t>d</w:t>
      </w:r>
      <w:r w:rsidR="00E73993" w:rsidRPr="00E73993">
        <w:rPr>
          <w:lang w:val="en-AU"/>
        </w:rPr>
        <w:t xml:space="preserve">ecision-makers involved in foreign investment. As </w:t>
      </w:r>
      <w:r w:rsidR="004A6526">
        <w:rPr>
          <w:lang w:val="en-AU"/>
        </w:rPr>
        <w:t>investors</w:t>
      </w:r>
      <w:r w:rsidR="00E73993" w:rsidRPr="00E73993">
        <w:rPr>
          <w:lang w:val="en-AU"/>
        </w:rPr>
        <w:t xml:space="preserve"> evaluate their future investment and growth strategies, this report highlights Australia's competitive advantages and underscores why Australia is an ideal destination for investment</w:t>
      </w:r>
      <w:r w:rsidR="00522C3A" w:rsidRPr="002322B7">
        <w:rPr>
          <w:lang w:val="en-AU"/>
        </w:rPr>
        <w:t>.</w:t>
      </w:r>
      <w:r w:rsidR="00BE6BDC" w:rsidRPr="002322B7">
        <w:rPr>
          <w:lang w:val="en-AU"/>
        </w:rPr>
        <w:t xml:space="preserve"> </w:t>
      </w:r>
    </w:p>
    <w:p w14:paraId="56284915" w14:textId="4AC8CA63" w:rsidR="00E81820" w:rsidRPr="002322B7" w:rsidRDefault="000E7221" w:rsidP="00780480">
      <w:pPr>
        <w:pStyle w:val="Body-copy"/>
        <w:rPr>
          <w:rFonts w:eastAsia="Times New Roman"/>
          <w:lang w:val="en-AU"/>
        </w:rPr>
      </w:pPr>
      <w:r w:rsidRPr="002322B7">
        <w:rPr>
          <w:rFonts w:eastAsia="Times New Roman"/>
          <w:lang w:val="en-AU"/>
        </w:rPr>
        <w:t>Australia's economic resilience and dynamism are remarkable</w:t>
      </w:r>
      <w:r w:rsidR="00DE58FC" w:rsidRPr="002322B7">
        <w:rPr>
          <w:rFonts w:eastAsia="Times New Roman"/>
          <w:lang w:val="en-AU"/>
        </w:rPr>
        <w:t>.</w:t>
      </w:r>
      <w:r w:rsidR="00DE12CF">
        <w:rPr>
          <w:rFonts w:eastAsia="Times New Roman"/>
          <w:lang w:val="en-AU"/>
        </w:rPr>
        <w:t xml:space="preserve"> </w:t>
      </w:r>
      <w:r w:rsidR="00BB31E0">
        <w:rPr>
          <w:rFonts w:eastAsia="Times New Roman"/>
          <w:lang w:val="en-AU"/>
        </w:rPr>
        <w:t>Before the pandemic</w:t>
      </w:r>
      <w:r w:rsidR="00DE12CF">
        <w:rPr>
          <w:rFonts w:eastAsia="Times New Roman"/>
          <w:lang w:val="en-AU"/>
        </w:rPr>
        <w:t xml:space="preserve">, </w:t>
      </w:r>
      <w:r w:rsidR="00A24C71">
        <w:rPr>
          <w:rFonts w:eastAsia="Times New Roman"/>
          <w:lang w:val="en-AU"/>
        </w:rPr>
        <w:t>Australia</w:t>
      </w:r>
      <w:r w:rsidR="00DE12CF">
        <w:rPr>
          <w:rFonts w:eastAsia="Times New Roman"/>
          <w:lang w:val="en-AU"/>
        </w:rPr>
        <w:t xml:space="preserve"> enjoyed </w:t>
      </w:r>
      <w:r w:rsidR="001F75F7">
        <w:rPr>
          <w:rFonts w:eastAsia="Times New Roman"/>
          <w:lang w:val="en-AU"/>
        </w:rPr>
        <w:t xml:space="preserve">almost </w:t>
      </w:r>
      <w:r w:rsidR="00DE12CF">
        <w:rPr>
          <w:rFonts w:eastAsia="Times New Roman"/>
          <w:lang w:val="en-AU"/>
        </w:rPr>
        <w:t xml:space="preserve">30 years </w:t>
      </w:r>
      <w:r w:rsidR="004C6968">
        <w:rPr>
          <w:rFonts w:eastAsia="Times New Roman"/>
          <w:lang w:val="en-AU"/>
        </w:rPr>
        <w:t xml:space="preserve">of uninterrupted </w:t>
      </w:r>
      <w:r w:rsidR="00E269CF">
        <w:rPr>
          <w:rFonts w:eastAsia="Times New Roman"/>
          <w:lang w:val="en-AU"/>
        </w:rPr>
        <w:t xml:space="preserve">annual </w:t>
      </w:r>
      <w:r w:rsidR="004C6968">
        <w:rPr>
          <w:rFonts w:eastAsia="Times New Roman"/>
          <w:lang w:val="en-AU"/>
        </w:rPr>
        <w:t>economic growth</w:t>
      </w:r>
      <w:r w:rsidR="00CD7AB1">
        <w:rPr>
          <w:rFonts w:eastAsia="Times New Roman"/>
          <w:lang w:val="en-AU"/>
        </w:rPr>
        <w:t>.</w:t>
      </w:r>
      <w:r w:rsidR="00DE58FC" w:rsidRPr="002322B7">
        <w:rPr>
          <w:rFonts w:eastAsia="Times New Roman"/>
          <w:lang w:val="en-AU"/>
        </w:rPr>
        <w:t xml:space="preserve"> </w:t>
      </w:r>
      <w:r w:rsidR="00844D55" w:rsidRPr="00844D55">
        <w:rPr>
          <w:rFonts w:eastAsia="Times New Roman"/>
          <w:lang w:val="en-AU"/>
        </w:rPr>
        <w:t xml:space="preserve">Consistently outpacing </w:t>
      </w:r>
      <w:r w:rsidR="00E27774">
        <w:rPr>
          <w:rFonts w:eastAsia="Times New Roman"/>
          <w:lang w:val="en-AU"/>
        </w:rPr>
        <w:t xml:space="preserve">other </w:t>
      </w:r>
      <w:r w:rsidR="00844D55" w:rsidRPr="00844D55">
        <w:rPr>
          <w:rFonts w:eastAsia="Times New Roman"/>
          <w:lang w:val="en-AU"/>
        </w:rPr>
        <w:t xml:space="preserve">advanced economies, </w:t>
      </w:r>
      <w:r w:rsidR="003A4F89">
        <w:rPr>
          <w:rFonts w:eastAsia="Times New Roman"/>
          <w:lang w:val="en-AU"/>
        </w:rPr>
        <w:t>Australia</w:t>
      </w:r>
      <w:r w:rsidR="00842050">
        <w:rPr>
          <w:rFonts w:eastAsia="Times New Roman"/>
          <w:lang w:val="en-AU"/>
        </w:rPr>
        <w:t xml:space="preserve"> is </w:t>
      </w:r>
      <w:r w:rsidR="00D5178B">
        <w:rPr>
          <w:rFonts w:eastAsia="Times New Roman"/>
          <w:lang w:val="en-AU"/>
        </w:rPr>
        <w:t xml:space="preserve">forecast </w:t>
      </w:r>
      <w:r w:rsidR="003A4F89">
        <w:rPr>
          <w:rFonts w:eastAsia="Times New Roman"/>
          <w:lang w:val="en-AU"/>
        </w:rPr>
        <w:t>to</w:t>
      </w:r>
      <w:r w:rsidR="00F460C4">
        <w:rPr>
          <w:rFonts w:eastAsia="Times New Roman"/>
          <w:lang w:val="en-AU"/>
        </w:rPr>
        <w:t xml:space="preserve"> continue </w:t>
      </w:r>
      <w:r w:rsidR="00417A98">
        <w:rPr>
          <w:rFonts w:eastAsia="Times New Roman"/>
          <w:lang w:val="en-AU"/>
        </w:rPr>
        <w:t xml:space="preserve">to </w:t>
      </w:r>
      <w:r w:rsidR="00F460C4">
        <w:rPr>
          <w:rFonts w:eastAsia="Times New Roman"/>
          <w:lang w:val="en-AU"/>
        </w:rPr>
        <w:t>outperform our pee</w:t>
      </w:r>
      <w:r w:rsidR="00402155">
        <w:rPr>
          <w:rFonts w:eastAsia="Times New Roman"/>
          <w:lang w:val="en-AU"/>
        </w:rPr>
        <w:t>r</w:t>
      </w:r>
      <w:r w:rsidR="00F460C4">
        <w:rPr>
          <w:rFonts w:eastAsia="Times New Roman"/>
          <w:lang w:val="en-AU"/>
        </w:rPr>
        <w:t xml:space="preserve">s </w:t>
      </w:r>
      <w:r w:rsidR="003A171E">
        <w:rPr>
          <w:rFonts w:eastAsia="Times New Roman"/>
          <w:lang w:val="en-AU"/>
        </w:rPr>
        <w:t xml:space="preserve">over the next five years to </w:t>
      </w:r>
      <w:r w:rsidR="00ED0DC2">
        <w:rPr>
          <w:rFonts w:eastAsia="Times New Roman"/>
          <w:lang w:val="en-AU"/>
        </w:rPr>
        <w:t>2029</w:t>
      </w:r>
      <w:r w:rsidR="00532281">
        <w:rPr>
          <w:rFonts w:eastAsia="Times New Roman"/>
          <w:lang w:val="en-AU"/>
        </w:rPr>
        <w:t>.</w:t>
      </w:r>
      <w:r w:rsidR="00A0563E">
        <w:rPr>
          <w:rFonts w:eastAsia="Times New Roman"/>
          <w:lang w:val="en-AU"/>
        </w:rPr>
        <w:t xml:space="preserve"> </w:t>
      </w:r>
    </w:p>
    <w:p w14:paraId="059B95CE" w14:textId="6EEC1B95" w:rsidR="006C65AB" w:rsidRDefault="006C65AB" w:rsidP="006C65AB">
      <w:pPr>
        <w:pStyle w:val="Body-copy"/>
        <w:rPr>
          <w:rFonts w:eastAsia="Times New Roman"/>
          <w:lang w:val="en-AU"/>
        </w:rPr>
      </w:pPr>
      <w:r w:rsidRPr="002322B7">
        <w:rPr>
          <w:rFonts w:eastAsia="Times New Roman"/>
          <w:lang w:val="en-AU"/>
        </w:rPr>
        <w:t>Australia is a global leader</w:t>
      </w:r>
      <w:r w:rsidR="00A76B05">
        <w:rPr>
          <w:rFonts w:eastAsia="Times New Roman"/>
          <w:lang w:val="en-AU"/>
        </w:rPr>
        <w:t xml:space="preserve"> in </w:t>
      </w:r>
      <w:r w:rsidR="00A76B05" w:rsidRPr="002322B7">
        <w:rPr>
          <w:rFonts w:eastAsia="Times New Roman"/>
          <w:lang w:val="en-AU"/>
        </w:rPr>
        <w:t>renewable energy</w:t>
      </w:r>
      <w:r w:rsidRPr="002322B7">
        <w:rPr>
          <w:rFonts w:eastAsia="Times New Roman"/>
          <w:lang w:val="en-AU"/>
        </w:rPr>
        <w:t xml:space="preserve">. </w:t>
      </w:r>
      <w:r w:rsidR="00954DF6">
        <w:rPr>
          <w:rFonts w:eastAsia="Times New Roman"/>
          <w:lang w:val="en-AU"/>
        </w:rPr>
        <w:t>Australia</w:t>
      </w:r>
      <w:r w:rsidR="00304D5F" w:rsidRPr="00304D5F">
        <w:rPr>
          <w:rFonts w:eastAsia="Times New Roman"/>
          <w:lang w:val="en-AU"/>
        </w:rPr>
        <w:t xml:space="preserve"> holds the title of the largest producer of solar energy per person</w:t>
      </w:r>
      <w:r w:rsidR="009F2CC4">
        <w:rPr>
          <w:rFonts w:eastAsia="Times New Roman"/>
          <w:lang w:val="en-AU"/>
        </w:rPr>
        <w:t xml:space="preserve"> and</w:t>
      </w:r>
      <w:r w:rsidR="00304D5F" w:rsidRPr="00304D5F">
        <w:rPr>
          <w:rFonts w:eastAsia="Times New Roman"/>
          <w:lang w:val="en-AU"/>
        </w:rPr>
        <w:t xml:space="preserve"> has significant potential for offshore wind generation. </w:t>
      </w:r>
      <w:r w:rsidR="00A76B05" w:rsidRPr="002322B7">
        <w:rPr>
          <w:rFonts w:eastAsia="Times New Roman"/>
          <w:lang w:val="en-AU"/>
        </w:rPr>
        <w:t xml:space="preserve">Australia is </w:t>
      </w:r>
      <w:r w:rsidR="00910F69">
        <w:rPr>
          <w:rFonts w:eastAsia="Times New Roman"/>
          <w:lang w:val="en-AU"/>
        </w:rPr>
        <w:t xml:space="preserve">also </w:t>
      </w:r>
      <w:r w:rsidR="00A76B05" w:rsidRPr="002322B7">
        <w:rPr>
          <w:rFonts w:eastAsia="Times New Roman"/>
          <w:lang w:val="en-AU"/>
        </w:rPr>
        <w:t>a</w:t>
      </w:r>
      <w:r w:rsidR="007F54BA">
        <w:rPr>
          <w:rFonts w:eastAsia="Times New Roman"/>
          <w:lang w:val="en-AU"/>
        </w:rPr>
        <w:t>t the forefro</w:t>
      </w:r>
      <w:r w:rsidR="004E6013">
        <w:rPr>
          <w:rFonts w:eastAsia="Times New Roman"/>
          <w:lang w:val="en-AU"/>
        </w:rPr>
        <w:t>n</w:t>
      </w:r>
      <w:r w:rsidR="007F54BA">
        <w:rPr>
          <w:rFonts w:eastAsia="Times New Roman"/>
          <w:lang w:val="en-AU"/>
        </w:rPr>
        <w:t xml:space="preserve">t </w:t>
      </w:r>
      <w:r w:rsidR="004E6013">
        <w:rPr>
          <w:rFonts w:eastAsia="Times New Roman"/>
          <w:lang w:val="en-AU"/>
        </w:rPr>
        <w:t>of</w:t>
      </w:r>
      <w:r w:rsidR="00A76B05" w:rsidRPr="002322B7">
        <w:rPr>
          <w:rFonts w:eastAsia="Times New Roman"/>
          <w:lang w:val="en-AU"/>
        </w:rPr>
        <w:t xml:space="preserve"> </w:t>
      </w:r>
      <w:r w:rsidR="00A76B05">
        <w:rPr>
          <w:rFonts w:eastAsia="Times New Roman"/>
          <w:lang w:val="en-AU"/>
        </w:rPr>
        <w:t xml:space="preserve">critical minerals. </w:t>
      </w:r>
      <w:r w:rsidR="002D2024">
        <w:rPr>
          <w:rFonts w:eastAsia="Times New Roman"/>
          <w:lang w:val="en-AU"/>
        </w:rPr>
        <w:t>We have</w:t>
      </w:r>
      <w:r w:rsidRPr="002322B7">
        <w:rPr>
          <w:rFonts w:eastAsia="Times New Roman"/>
          <w:lang w:val="en-AU"/>
        </w:rPr>
        <w:t xml:space="preserve"> the largest known reserves of nickel, the 2</w:t>
      </w:r>
      <w:r w:rsidRPr="00AD5BDA">
        <w:rPr>
          <w:rFonts w:eastAsia="Times New Roman"/>
          <w:vertAlign w:val="superscript"/>
          <w:lang w:val="en-AU"/>
        </w:rPr>
        <w:t>nd</w:t>
      </w:r>
      <w:r>
        <w:rPr>
          <w:rFonts w:eastAsia="Times New Roman"/>
          <w:lang w:val="en-AU"/>
        </w:rPr>
        <w:t>-</w:t>
      </w:r>
      <w:r w:rsidRPr="002322B7">
        <w:rPr>
          <w:rFonts w:eastAsia="Times New Roman"/>
          <w:lang w:val="en-AU"/>
        </w:rPr>
        <w:t>largest reserves of lithium</w:t>
      </w:r>
      <w:r w:rsidR="00382A9D" w:rsidRPr="00382A9D">
        <w:rPr>
          <w:rFonts w:eastAsia="Times New Roman"/>
          <w:lang w:val="en-AU"/>
        </w:rPr>
        <w:t xml:space="preserve">, </w:t>
      </w:r>
      <w:r w:rsidRPr="002322B7">
        <w:rPr>
          <w:rFonts w:eastAsia="Times New Roman"/>
          <w:lang w:val="en-AU"/>
        </w:rPr>
        <w:t>cobalt</w:t>
      </w:r>
      <w:r w:rsidR="00382A9D" w:rsidRPr="00382A9D">
        <w:rPr>
          <w:rFonts w:eastAsia="Times New Roman"/>
          <w:lang w:val="en-AU"/>
        </w:rPr>
        <w:t xml:space="preserve"> and tantalum</w:t>
      </w:r>
      <w:r w:rsidRPr="002322B7">
        <w:rPr>
          <w:rFonts w:eastAsia="Times New Roman"/>
          <w:lang w:val="en-AU"/>
        </w:rPr>
        <w:t>, and the world’s 6</w:t>
      </w:r>
      <w:r w:rsidRPr="00A73476">
        <w:rPr>
          <w:rFonts w:eastAsia="Times New Roman"/>
          <w:vertAlign w:val="superscript"/>
          <w:lang w:val="en-AU"/>
        </w:rPr>
        <w:t>th</w:t>
      </w:r>
      <w:r>
        <w:rPr>
          <w:rFonts w:eastAsia="Times New Roman"/>
          <w:lang w:val="en-AU"/>
        </w:rPr>
        <w:t>-</w:t>
      </w:r>
      <w:r w:rsidRPr="002322B7">
        <w:rPr>
          <w:rFonts w:eastAsia="Times New Roman"/>
          <w:lang w:val="en-AU"/>
        </w:rPr>
        <w:t xml:space="preserve">largest reserves of rare earth minerals. </w:t>
      </w:r>
      <w:r w:rsidR="003A483D" w:rsidRPr="003A483D">
        <w:rPr>
          <w:rFonts w:eastAsia="Times New Roman"/>
          <w:lang w:val="en-AU"/>
        </w:rPr>
        <w:t>Australia is also well-regarded for its strong environmental, social, and governance (ESG) credentials, and our reliable legal system offers predictability and protection for investors.</w:t>
      </w:r>
    </w:p>
    <w:p w14:paraId="3CCEC3A6" w14:textId="07ECE9A6" w:rsidR="006C65AB" w:rsidRPr="002322B7" w:rsidRDefault="006C65AB" w:rsidP="006C65AB">
      <w:pPr>
        <w:pStyle w:val="Body-copy"/>
        <w:rPr>
          <w:rFonts w:eastAsia="Times New Roman"/>
          <w:lang w:val="en-AU"/>
        </w:rPr>
      </w:pPr>
      <w:r w:rsidRPr="004215FA">
        <w:rPr>
          <w:rFonts w:eastAsia="Times New Roman"/>
          <w:lang w:val="en-AU"/>
        </w:rPr>
        <w:t>The Australian Government</w:t>
      </w:r>
      <w:r>
        <w:rPr>
          <w:rFonts w:eastAsia="Times New Roman"/>
          <w:lang w:val="en-AU"/>
        </w:rPr>
        <w:t xml:space="preserve"> will invest A$22.7 billion</w:t>
      </w:r>
      <w:r w:rsidR="00F81EF7">
        <w:rPr>
          <w:rFonts w:eastAsia="Times New Roman"/>
          <w:lang w:val="en-AU"/>
        </w:rPr>
        <w:t xml:space="preserve"> (US$15</w:t>
      </w:r>
      <w:r w:rsidR="005C2548">
        <w:rPr>
          <w:rFonts w:eastAsia="Times New Roman"/>
          <w:lang w:val="en-AU"/>
        </w:rPr>
        <w:t>.2</w:t>
      </w:r>
      <w:r w:rsidR="00F81EF7">
        <w:rPr>
          <w:rFonts w:eastAsia="Times New Roman"/>
          <w:lang w:val="en-AU"/>
        </w:rPr>
        <w:t xml:space="preserve"> billion)</w:t>
      </w:r>
      <w:r>
        <w:rPr>
          <w:rFonts w:eastAsia="Times New Roman"/>
          <w:lang w:val="en-AU"/>
        </w:rPr>
        <w:t xml:space="preserve"> over the next decade to build</w:t>
      </w:r>
      <w:r w:rsidRPr="004215FA">
        <w:rPr>
          <w:rFonts w:eastAsia="Times New Roman"/>
          <w:lang w:val="en-AU"/>
        </w:rPr>
        <w:t xml:space="preserve"> a Future Made in Australia</w:t>
      </w:r>
      <w:r>
        <w:rPr>
          <w:rFonts w:eastAsia="Times New Roman"/>
          <w:lang w:val="en-AU"/>
        </w:rPr>
        <w:t>. This is a plan to</w:t>
      </w:r>
      <w:r w:rsidRPr="004215FA">
        <w:rPr>
          <w:rFonts w:eastAsia="Times New Roman"/>
          <w:lang w:val="en-AU"/>
        </w:rPr>
        <w:t xml:space="preserve"> encourage and facilitate private sector investment </w:t>
      </w:r>
      <w:r w:rsidR="00753162">
        <w:rPr>
          <w:rFonts w:eastAsia="Times New Roman"/>
          <w:lang w:val="en-AU"/>
        </w:rPr>
        <w:t>and</w:t>
      </w:r>
      <w:r w:rsidRPr="004215FA">
        <w:rPr>
          <w:rFonts w:eastAsia="Times New Roman"/>
          <w:lang w:val="en-AU"/>
        </w:rPr>
        <w:t xml:space="preserve"> will present significant opportunities for investors in renewable hydrogen, critical minerals processing, green metals, low carbon liquid fuels, and clean energy manufacturing.</w:t>
      </w:r>
      <w:r w:rsidRPr="002322B7">
        <w:rPr>
          <w:rFonts w:eastAsia="Times New Roman"/>
          <w:lang w:val="en-AU"/>
        </w:rPr>
        <w:t xml:space="preserve"> </w:t>
      </w:r>
    </w:p>
    <w:p w14:paraId="238EEB5C" w14:textId="384FC326" w:rsidR="007C5A8C" w:rsidRPr="002322B7" w:rsidRDefault="007C5A8C" w:rsidP="00780480">
      <w:pPr>
        <w:pStyle w:val="Body-copy"/>
        <w:rPr>
          <w:rFonts w:eastAsia="Times New Roman"/>
          <w:lang w:val="en-AU"/>
        </w:rPr>
      </w:pPr>
      <w:r w:rsidRPr="002322B7">
        <w:rPr>
          <w:rFonts w:eastAsia="Times New Roman"/>
          <w:lang w:val="en-AU"/>
        </w:rPr>
        <w:t xml:space="preserve">Strong global ties make Australia a prosperous trading nation. </w:t>
      </w:r>
      <w:r w:rsidR="004C2087">
        <w:rPr>
          <w:rFonts w:eastAsia="Times New Roman"/>
          <w:lang w:val="en-AU"/>
        </w:rPr>
        <w:t>O</w:t>
      </w:r>
      <w:r w:rsidR="004C2087" w:rsidRPr="003928FB">
        <w:rPr>
          <w:rFonts w:eastAsia="Times New Roman"/>
          <w:lang w:val="en-AU"/>
        </w:rPr>
        <w:t xml:space="preserve">ur </w:t>
      </w:r>
      <w:r w:rsidR="003A483D">
        <w:rPr>
          <w:rFonts w:eastAsia="Times New Roman"/>
          <w:lang w:val="en-AU"/>
        </w:rPr>
        <w:t>healthy</w:t>
      </w:r>
      <w:r w:rsidR="004C2087" w:rsidRPr="003928FB">
        <w:rPr>
          <w:rFonts w:eastAsia="Times New Roman"/>
          <w:lang w:val="en-AU"/>
        </w:rPr>
        <w:t xml:space="preserve"> </w:t>
      </w:r>
      <w:r w:rsidR="004C2087">
        <w:rPr>
          <w:rFonts w:eastAsia="Times New Roman"/>
          <w:lang w:val="en-AU"/>
        </w:rPr>
        <w:t>economic</w:t>
      </w:r>
      <w:r w:rsidR="004C2087" w:rsidRPr="003928FB">
        <w:rPr>
          <w:rFonts w:eastAsia="Times New Roman"/>
          <w:lang w:val="en-AU"/>
        </w:rPr>
        <w:t xml:space="preserve"> outlook partly reflects the prosperity of </w:t>
      </w:r>
      <w:r w:rsidR="004C2087">
        <w:rPr>
          <w:rFonts w:eastAsia="Times New Roman"/>
          <w:lang w:val="en-AU"/>
        </w:rPr>
        <w:t>Asia</w:t>
      </w:r>
      <w:r w:rsidR="00FA6705">
        <w:rPr>
          <w:rFonts w:eastAsia="Times New Roman"/>
          <w:lang w:val="en-AU"/>
        </w:rPr>
        <w:t>,</w:t>
      </w:r>
      <w:r w:rsidR="003658FF">
        <w:rPr>
          <w:rFonts w:eastAsia="Times New Roman"/>
          <w:lang w:val="en-AU"/>
        </w:rPr>
        <w:t xml:space="preserve"> with Australia enjoying </w:t>
      </w:r>
      <w:r w:rsidR="00366E08">
        <w:rPr>
          <w:rFonts w:eastAsia="Times New Roman"/>
          <w:lang w:val="en-AU"/>
        </w:rPr>
        <w:t xml:space="preserve">the trade benefits of being </w:t>
      </w:r>
      <w:r w:rsidR="00872758">
        <w:rPr>
          <w:rFonts w:eastAsia="Times New Roman"/>
          <w:lang w:val="en-AU"/>
        </w:rPr>
        <w:t xml:space="preserve">close </w:t>
      </w:r>
      <w:r w:rsidR="00BD5711">
        <w:rPr>
          <w:rFonts w:eastAsia="Times New Roman"/>
          <w:lang w:val="en-AU"/>
        </w:rPr>
        <w:t xml:space="preserve">to </w:t>
      </w:r>
      <w:r w:rsidR="00F506FD">
        <w:rPr>
          <w:rFonts w:eastAsia="Times New Roman"/>
          <w:lang w:val="en-AU"/>
        </w:rPr>
        <w:t>many</w:t>
      </w:r>
      <w:r w:rsidR="001F7610">
        <w:rPr>
          <w:rFonts w:eastAsia="Times New Roman"/>
          <w:lang w:val="en-AU"/>
        </w:rPr>
        <w:t xml:space="preserve"> of the fastest growing </w:t>
      </w:r>
      <w:r w:rsidR="00F41BF6">
        <w:rPr>
          <w:rFonts w:eastAsia="Times New Roman"/>
          <w:lang w:val="en-AU"/>
        </w:rPr>
        <w:t>economies in the world</w:t>
      </w:r>
      <w:r w:rsidR="007C54FF">
        <w:rPr>
          <w:rFonts w:eastAsia="Times New Roman"/>
          <w:lang w:val="en-AU"/>
        </w:rPr>
        <w:t>.</w:t>
      </w:r>
    </w:p>
    <w:p w14:paraId="64E70868" w14:textId="7D5C9F52" w:rsidR="00101351" w:rsidRPr="002322B7" w:rsidRDefault="004255CB" w:rsidP="00780480">
      <w:pPr>
        <w:pStyle w:val="Body-copy"/>
        <w:rPr>
          <w:lang w:val="en-AU"/>
        </w:rPr>
      </w:pPr>
      <w:r w:rsidRPr="002322B7">
        <w:rPr>
          <w:lang w:val="en-AU"/>
        </w:rPr>
        <w:t>According</w:t>
      </w:r>
      <w:r w:rsidR="003264E4" w:rsidRPr="002322B7">
        <w:rPr>
          <w:lang w:val="en-AU"/>
        </w:rPr>
        <w:t xml:space="preserve"> to the United Nations, </w:t>
      </w:r>
      <w:r w:rsidR="00FC70A1">
        <w:rPr>
          <w:lang w:val="en-AU"/>
        </w:rPr>
        <w:t>Australia</w:t>
      </w:r>
      <w:r w:rsidR="00FC70A1" w:rsidRPr="002322B7">
        <w:rPr>
          <w:lang w:val="en-AU"/>
        </w:rPr>
        <w:t xml:space="preserve"> </w:t>
      </w:r>
      <w:r w:rsidR="00771529" w:rsidRPr="002322B7">
        <w:rPr>
          <w:lang w:val="en-AU"/>
        </w:rPr>
        <w:t>ha</w:t>
      </w:r>
      <w:r w:rsidR="00FC70A1">
        <w:rPr>
          <w:lang w:val="en-AU"/>
        </w:rPr>
        <w:t>s</w:t>
      </w:r>
      <w:r w:rsidR="00771529" w:rsidRPr="002322B7">
        <w:rPr>
          <w:lang w:val="en-AU"/>
        </w:rPr>
        <w:t xml:space="preserve"> the highest </w:t>
      </w:r>
      <w:r w:rsidR="00194326" w:rsidRPr="002322B7">
        <w:rPr>
          <w:lang w:val="en-AU"/>
        </w:rPr>
        <w:t>global ranking</w:t>
      </w:r>
      <w:r w:rsidR="00FE6CFE" w:rsidRPr="002322B7">
        <w:rPr>
          <w:lang w:val="en-AU"/>
        </w:rPr>
        <w:t xml:space="preserve"> </w:t>
      </w:r>
      <w:r w:rsidR="00864E84" w:rsidRPr="002322B7">
        <w:rPr>
          <w:lang w:val="en-AU"/>
        </w:rPr>
        <w:t>for</w:t>
      </w:r>
      <w:r w:rsidR="00771529" w:rsidRPr="002322B7">
        <w:rPr>
          <w:lang w:val="en-AU"/>
        </w:rPr>
        <w:t xml:space="preserve"> s</w:t>
      </w:r>
      <w:r w:rsidR="003264E4" w:rsidRPr="002322B7">
        <w:rPr>
          <w:lang w:val="en-AU"/>
        </w:rPr>
        <w:t xml:space="preserve">kills </w:t>
      </w:r>
      <w:r w:rsidR="00864E84" w:rsidRPr="002322B7">
        <w:rPr>
          <w:lang w:val="en-AU"/>
        </w:rPr>
        <w:t>related to</w:t>
      </w:r>
      <w:r w:rsidR="003264E4" w:rsidRPr="002322B7">
        <w:rPr>
          <w:lang w:val="en-AU"/>
        </w:rPr>
        <w:t xml:space="preserve"> using, adopting and adapting frontier technologies</w:t>
      </w:r>
      <w:r w:rsidR="00771529" w:rsidRPr="002322B7">
        <w:rPr>
          <w:lang w:val="en-AU"/>
        </w:rPr>
        <w:t xml:space="preserve">. </w:t>
      </w:r>
      <w:r w:rsidR="00BB1BE1" w:rsidRPr="002322B7">
        <w:rPr>
          <w:lang w:val="en-AU"/>
        </w:rPr>
        <w:t xml:space="preserve">No wonder </w:t>
      </w:r>
      <w:r w:rsidR="00C95533" w:rsidRPr="002322B7">
        <w:rPr>
          <w:lang w:val="en-AU"/>
        </w:rPr>
        <w:t>Australian</w:t>
      </w:r>
      <w:r w:rsidR="002320B8" w:rsidRPr="002322B7">
        <w:rPr>
          <w:lang w:val="en-AU"/>
        </w:rPr>
        <w:t>s</w:t>
      </w:r>
      <w:r w:rsidR="004E7AF6" w:rsidRPr="002322B7">
        <w:rPr>
          <w:lang w:val="en-AU"/>
        </w:rPr>
        <w:t>’</w:t>
      </w:r>
      <w:r w:rsidR="002320B8" w:rsidRPr="002322B7">
        <w:rPr>
          <w:lang w:val="en-AU"/>
        </w:rPr>
        <w:t xml:space="preserve"> </w:t>
      </w:r>
      <w:r w:rsidR="00C721B3" w:rsidRPr="002322B7">
        <w:rPr>
          <w:lang w:val="en-AU"/>
        </w:rPr>
        <w:t>noteworthy</w:t>
      </w:r>
      <w:r w:rsidR="000B1286" w:rsidRPr="002322B7">
        <w:rPr>
          <w:lang w:val="en-AU"/>
        </w:rPr>
        <w:t xml:space="preserve"> </w:t>
      </w:r>
      <w:r w:rsidR="00C95533" w:rsidRPr="002322B7">
        <w:rPr>
          <w:lang w:val="en-AU"/>
        </w:rPr>
        <w:t>inventions include the electronic pacemaker, polymer bank notes, the inflatable aircraft escape slide</w:t>
      </w:r>
      <w:r w:rsidR="006140D3" w:rsidRPr="002322B7">
        <w:rPr>
          <w:lang w:val="en-AU"/>
        </w:rPr>
        <w:t xml:space="preserve"> </w:t>
      </w:r>
      <w:r w:rsidR="00FD58D9" w:rsidRPr="002322B7">
        <w:rPr>
          <w:lang w:val="en-AU"/>
        </w:rPr>
        <w:t>and</w:t>
      </w:r>
      <w:r w:rsidR="00C95533" w:rsidRPr="002322B7">
        <w:rPr>
          <w:lang w:val="en-AU"/>
        </w:rPr>
        <w:t xml:space="preserve"> the human papilloma virus vaccine.</w:t>
      </w:r>
    </w:p>
    <w:p w14:paraId="702C4547" w14:textId="7E4011B1" w:rsidR="0087477E" w:rsidRPr="002322B7" w:rsidRDefault="0087477E" w:rsidP="00780480">
      <w:pPr>
        <w:pStyle w:val="Body-copy"/>
        <w:rPr>
          <w:rFonts w:eastAsia="Times New Roman"/>
          <w:lang w:val="en-AU"/>
        </w:rPr>
      </w:pPr>
      <w:r w:rsidRPr="002322B7">
        <w:rPr>
          <w:rFonts w:eastAsia="Times New Roman"/>
          <w:lang w:val="en-AU"/>
        </w:rPr>
        <w:t xml:space="preserve">This report details Australia’s </w:t>
      </w:r>
      <w:r w:rsidR="00C93481">
        <w:rPr>
          <w:rFonts w:eastAsia="Times New Roman"/>
          <w:lang w:val="en-AU"/>
        </w:rPr>
        <w:t xml:space="preserve">compelling </w:t>
      </w:r>
      <w:r w:rsidRPr="002322B7">
        <w:rPr>
          <w:rFonts w:eastAsia="Times New Roman"/>
          <w:lang w:val="en-AU"/>
        </w:rPr>
        <w:t xml:space="preserve">value proposition. Our political stability, transparent regulations, and strong international trade relations ensure a secure and thriving </w:t>
      </w:r>
      <w:r w:rsidR="00954379">
        <w:rPr>
          <w:rFonts w:eastAsia="Times New Roman"/>
          <w:lang w:val="en-AU"/>
        </w:rPr>
        <w:t>business</w:t>
      </w:r>
      <w:r w:rsidR="00954379" w:rsidRPr="002322B7">
        <w:rPr>
          <w:rFonts w:eastAsia="Times New Roman"/>
          <w:lang w:val="en-AU"/>
        </w:rPr>
        <w:t xml:space="preserve"> </w:t>
      </w:r>
      <w:r w:rsidRPr="002322B7">
        <w:rPr>
          <w:rFonts w:eastAsia="Times New Roman"/>
          <w:lang w:val="en-AU"/>
        </w:rPr>
        <w:t>environment.</w:t>
      </w:r>
    </w:p>
    <w:p w14:paraId="4970BD44" w14:textId="4787EDD4" w:rsidR="00E56AC2" w:rsidRPr="002322B7" w:rsidRDefault="0000042F" w:rsidP="00780480">
      <w:pPr>
        <w:pStyle w:val="Body-copy"/>
        <w:rPr>
          <w:lang w:val="en-AU"/>
        </w:rPr>
      </w:pPr>
      <w:r w:rsidRPr="002322B7">
        <w:rPr>
          <w:rFonts w:eastAsia="Times New Roman"/>
          <w:lang w:val="en-AU"/>
        </w:rPr>
        <w:t xml:space="preserve">Explore </w:t>
      </w:r>
      <w:r w:rsidR="00E56AC2" w:rsidRPr="002322B7">
        <w:rPr>
          <w:lang w:val="en-AU"/>
        </w:rPr>
        <w:t xml:space="preserve">the Why Australia Benchmark Report and discover why Australia is an exceptional choice for your business ventures. </w:t>
      </w:r>
    </w:p>
    <w:p w14:paraId="332EA36F" w14:textId="0DDD452C" w:rsidR="007A5F72" w:rsidRPr="002322B7" w:rsidRDefault="00E56AC2" w:rsidP="00780480">
      <w:pPr>
        <w:pStyle w:val="Body-copy"/>
        <w:rPr>
          <w:lang w:val="en-AU"/>
        </w:rPr>
      </w:pPr>
      <w:r w:rsidRPr="002322B7">
        <w:rPr>
          <w:lang w:val="en-AU"/>
        </w:rPr>
        <w:t>Sincerely,</w:t>
      </w:r>
    </w:p>
    <w:p w14:paraId="29749B35" w14:textId="07718AE3" w:rsidR="00870BDC" w:rsidRPr="002322B7" w:rsidRDefault="00870BDC" w:rsidP="00780480">
      <w:pPr>
        <w:pStyle w:val="Body-copy"/>
        <w:rPr>
          <w:lang w:val="en-AU"/>
        </w:rPr>
      </w:pPr>
      <w:r w:rsidRPr="002322B7">
        <w:rPr>
          <w:lang w:val="en-AU"/>
        </w:rPr>
        <w:t>Xavier Simonet</w:t>
      </w:r>
    </w:p>
    <w:p w14:paraId="5D01B073" w14:textId="7D122669" w:rsidR="00544D48" w:rsidRPr="002322B7" w:rsidRDefault="00154B48" w:rsidP="00257319">
      <w:pPr>
        <w:pStyle w:val="Heading-level1"/>
      </w:pPr>
      <w:bookmarkStart w:id="4" w:name="_Toc161232029"/>
      <w:bookmarkStart w:id="5" w:name="_Toc178256545"/>
      <w:r w:rsidRPr="002322B7">
        <w:lastRenderedPageBreak/>
        <w:t>C</w:t>
      </w:r>
      <w:r w:rsidR="00850E04" w:rsidRPr="002322B7">
        <w:t>hapter 1</w:t>
      </w:r>
      <w:r w:rsidRPr="002322B7">
        <w:t xml:space="preserve"> – Fundamentals</w:t>
      </w:r>
      <w:bookmarkEnd w:id="4"/>
      <w:bookmarkEnd w:id="5"/>
    </w:p>
    <w:p w14:paraId="2840302E" w14:textId="77777777" w:rsidR="00FD7AB4" w:rsidRPr="002322B7" w:rsidRDefault="00FD7AB4" w:rsidP="00FD7AB4">
      <w:pPr>
        <w:pStyle w:val="Quote"/>
      </w:pPr>
      <w:r w:rsidRPr="002322B7">
        <w:t>A growing economy</w:t>
      </w:r>
    </w:p>
    <w:p w14:paraId="418527F5" w14:textId="2FD87107" w:rsidR="00FD7AB4" w:rsidRPr="002322B7" w:rsidRDefault="00FD7AB4" w:rsidP="003F1867">
      <w:pPr>
        <w:pStyle w:val="Body-copy"/>
        <w:rPr>
          <w:lang w:val="en-AU"/>
        </w:rPr>
      </w:pPr>
      <w:r w:rsidRPr="002322B7">
        <w:rPr>
          <w:lang w:val="en-AU"/>
        </w:rPr>
        <w:t>Australia's economy is strong</w:t>
      </w:r>
      <w:r w:rsidR="00570E0A" w:rsidRPr="002322B7">
        <w:rPr>
          <w:lang w:val="en-AU"/>
        </w:rPr>
        <w:t xml:space="preserve"> and</w:t>
      </w:r>
      <w:r w:rsidR="006566B3" w:rsidRPr="002322B7">
        <w:rPr>
          <w:lang w:val="en-AU"/>
        </w:rPr>
        <w:t xml:space="preserve"> resilie</w:t>
      </w:r>
      <w:r w:rsidR="00570E0A" w:rsidRPr="002322B7">
        <w:rPr>
          <w:lang w:val="en-AU"/>
        </w:rPr>
        <w:t>nt</w:t>
      </w:r>
      <w:r w:rsidR="004D0C9D" w:rsidRPr="002322B7">
        <w:rPr>
          <w:lang w:val="en-AU"/>
        </w:rPr>
        <w:t xml:space="preserve">. </w:t>
      </w:r>
      <w:r w:rsidRPr="002322B7">
        <w:rPr>
          <w:lang w:val="en-AU"/>
        </w:rPr>
        <w:t>On current forecasts, Australia’s economy will have grown by 1</w:t>
      </w:r>
      <w:r w:rsidR="00E205D6" w:rsidRPr="002322B7">
        <w:rPr>
          <w:lang w:val="en-AU"/>
        </w:rPr>
        <w:t>1.1</w:t>
      </w:r>
      <w:r w:rsidRPr="002322B7">
        <w:rPr>
          <w:lang w:val="en-AU"/>
        </w:rPr>
        <w:t>% from 2019 to 2024</w:t>
      </w:r>
      <w:r w:rsidR="0022673F" w:rsidRPr="002322B7">
        <w:rPr>
          <w:lang w:val="en-AU"/>
        </w:rPr>
        <w:t>. This</w:t>
      </w:r>
      <w:r w:rsidR="00B24D75" w:rsidRPr="002322B7">
        <w:rPr>
          <w:lang w:val="en-AU"/>
        </w:rPr>
        <w:t xml:space="preserve"> is much stronger </w:t>
      </w:r>
      <w:r w:rsidR="00D74CA2" w:rsidRPr="002322B7">
        <w:rPr>
          <w:lang w:val="en-AU"/>
        </w:rPr>
        <w:t>than the</w:t>
      </w:r>
      <w:r w:rsidRPr="002322B7">
        <w:rPr>
          <w:lang w:val="en-AU"/>
        </w:rPr>
        <w:t xml:space="preserve"> average </w:t>
      </w:r>
      <w:r w:rsidR="00D74CA2" w:rsidRPr="002322B7">
        <w:rPr>
          <w:lang w:val="en-AU"/>
        </w:rPr>
        <w:t xml:space="preserve">of </w:t>
      </w:r>
      <w:r w:rsidR="00E205D6" w:rsidRPr="002322B7">
        <w:rPr>
          <w:lang w:val="en-AU"/>
        </w:rPr>
        <w:t>7.8</w:t>
      </w:r>
      <w:r w:rsidRPr="002322B7">
        <w:rPr>
          <w:lang w:val="en-AU"/>
        </w:rPr>
        <w:t>% for advanced economies</w:t>
      </w:r>
      <w:r w:rsidR="00D015AC">
        <w:rPr>
          <w:lang w:val="en-AU"/>
        </w:rPr>
        <w:t xml:space="preserve">, </w:t>
      </w:r>
      <w:r w:rsidR="005D4F29" w:rsidRPr="002322B7">
        <w:rPr>
          <w:lang w:val="en-AU"/>
        </w:rPr>
        <w:t>c</w:t>
      </w:r>
      <w:r w:rsidR="004D0C9D" w:rsidRPr="002322B7">
        <w:rPr>
          <w:lang w:val="en-AU"/>
        </w:rPr>
        <w:t>ement</w:t>
      </w:r>
      <w:r w:rsidR="00D015AC">
        <w:rPr>
          <w:lang w:val="en-AU"/>
        </w:rPr>
        <w:t>ing</w:t>
      </w:r>
      <w:r w:rsidR="004D0C9D" w:rsidRPr="002322B7">
        <w:rPr>
          <w:lang w:val="en-AU"/>
        </w:rPr>
        <w:t xml:space="preserve"> </w:t>
      </w:r>
      <w:r w:rsidR="00D015AC">
        <w:rPr>
          <w:lang w:val="en-AU"/>
        </w:rPr>
        <w:t>Australia’s</w:t>
      </w:r>
      <w:r w:rsidR="004D0C9D" w:rsidRPr="002322B7">
        <w:rPr>
          <w:lang w:val="en-AU"/>
        </w:rPr>
        <w:t xml:space="preserve"> place as the world's 13</w:t>
      </w:r>
      <w:r w:rsidR="004D0C9D" w:rsidRPr="002322B7">
        <w:rPr>
          <w:vertAlign w:val="superscript"/>
          <w:lang w:val="en-AU"/>
        </w:rPr>
        <w:t>th</w:t>
      </w:r>
      <w:r w:rsidR="00157915">
        <w:rPr>
          <w:lang w:val="en-AU"/>
        </w:rPr>
        <w:t>-</w:t>
      </w:r>
      <w:r w:rsidR="004D0C9D" w:rsidRPr="002322B7">
        <w:rPr>
          <w:lang w:val="en-AU"/>
        </w:rPr>
        <w:t>largest</w:t>
      </w:r>
      <w:r w:rsidR="005D4F29" w:rsidRPr="002322B7">
        <w:rPr>
          <w:lang w:val="en-AU"/>
        </w:rPr>
        <w:t xml:space="preserve"> economy</w:t>
      </w:r>
      <w:r w:rsidR="004D0C9D" w:rsidRPr="002322B7">
        <w:rPr>
          <w:lang w:val="en-AU"/>
        </w:rPr>
        <w:t>.</w:t>
      </w:r>
    </w:p>
    <w:p w14:paraId="0981DE0E" w14:textId="644459D7" w:rsidR="006E5932" w:rsidRPr="002322B7" w:rsidRDefault="006E5932" w:rsidP="006E5932">
      <w:pPr>
        <w:pStyle w:val="Body-copy"/>
        <w:rPr>
          <w:lang w:val="en-AU"/>
        </w:rPr>
      </w:pPr>
      <w:r w:rsidRPr="4FEBF9DC">
        <w:rPr>
          <w:lang w:val="en-AU"/>
        </w:rPr>
        <w:t xml:space="preserve">Consistent growth makes Australia a preferred destination for global investors and a reliable springboard for expansion into the Asia-Pacific region. Today, Australia’s economic foundations are solid: a trusted financial system, open trade, strong governance, and a </w:t>
      </w:r>
      <w:r w:rsidR="15105361" w:rsidRPr="4FEBF9DC">
        <w:rPr>
          <w:lang w:val="en-AU"/>
        </w:rPr>
        <w:t>highly</w:t>
      </w:r>
      <w:r w:rsidR="00DF534E">
        <w:rPr>
          <w:lang w:val="en-AU"/>
        </w:rPr>
        <w:t>-</w:t>
      </w:r>
      <w:r w:rsidR="15105361" w:rsidRPr="4FEBF9DC">
        <w:rPr>
          <w:lang w:val="en-AU"/>
        </w:rPr>
        <w:t>skilled</w:t>
      </w:r>
      <w:r w:rsidRPr="4FEBF9DC">
        <w:rPr>
          <w:lang w:val="en-AU"/>
        </w:rPr>
        <w:t xml:space="preserve"> population.</w:t>
      </w:r>
    </w:p>
    <w:p w14:paraId="3D580D84" w14:textId="259FE43E" w:rsidR="0011463B" w:rsidRPr="002322B7" w:rsidRDefault="0011463B" w:rsidP="0011463B">
      <w:pPr>
        <w:pStyle w:val="Body-copy"/>
        <w:rPr>
          <w:lang w:val="en-AU"/>
        </w:rPr>
      </w:pPr>
      <w:r w:rsidRPr="4FEBF9DC">
        <w:rPr>
          <w:lang w:val="en-AU"/>
        </w:rPr>
        <w:t>Our finance system is advanced, efficient and particularly large</w:t>
      </w:r>
      <w:r w:rsidR="00183D8C" w:rsidRPr="4FEBF9DC">
        <w:rPr>
          <w:lang w:val="en-AU"/>
        </w:rPr>
        <w:t xml:space="preserve"> with </w:t>
      </w:r>
      <w:r w:rsidRPr="4FEBF9DC">
        <w:rPr>
          <w:lang w:val="en-AU"/>
        </w:rPr>
        <w:t>Australia’s financial institutions manag</w:t>
      </w:r>
      <w:r w:rsidR="00996040" w:rsidRPr="4FEBF9DC">
        <w:rPr>
          <w:lang w:val="en-AU"/>
        </w:rPr>
        <w:t>ing</w:t>
      </w:r>
      <w:r w:rsidRPr="4FEBF9DC">
        <w:rPr>
          <w:lang w:val="en-AU"/>
        </w:rPr>
        <w:t xml:space="preserve"> US$8 trillion in assets. The Australian dollar is the 6</w:t>
      </w:r>
      <w:r w:rsidRPr="4FEBF9DC">
        <w:rPr>
          <w:vertAlign w:val="superscript"/>
          <w:lang w:val="en-AU"/>
        </w:rPr>
        <w:t>th</w:t>
      </w:r>
      <w:r w:rsidRPr="4FEBF9DC">
        <w:rPr>
          <w:lang w:val="en-AU"/>
        </w:rPr>
        <w:t xml:space="preserve">-most traded currency worldwide thanks partly to our role as a major exporter of energy and resources. </w:t>
      </w:r>
    </w:p>
    <w:p w14:paraId="244F7221" w14:textId="77777777" w:rsidR="00024BF4" w:rsidRPr="002322B7" w:rsidRDefault="00024BF4" w:rsidP="00024BF4">
      <w:pPr>
        <w:pStyle w:val="Body-copy"/>
        <w:rPr>
          <w:lang w:val="en-AU"/>
        </w:rPr>
      </w:pPr>
      <w:r w:rsidRPr="002322B7">
        <w:rPr>
          <w:lang w:val="en-AU"/>
        </w:rPr>
        <w:t xml:space="preserve">Australia’s prosperity is anchored in a trustworthy legal system. Australian law safeguards intellectual property rights, spurring creativity in our tech industries. Our taxation levels are 5 percentage points below the average for wealthy countries, which aids investment. And adaptive regulation creates a business-friendly environment that rewards innovation.  </w:t>
      </w:r>
    </w:p>
    <w:p w14:paraId="60929F58" w14:textId="448C6060" w:rsidR="000A59A6" w:rsidRDefault="006E5932" w:rsidP="00F97664">
      <w:pPr>
        <w:pStyle w:val="Body-copy"/>
        <w:rPr>
          <w:rFonts w:eastAsia="Times New Roman"/>
          <w:lang w:val="en-AU"/>
        </w:rPr>
      </w:pPr>
      <w:r w:rsidRPr="00A93DCA">
        <w:rPr>
          <w:rFonts w:eastAsia="Times New Roman"/>
          <w:lang w:val="en-AU"/>
        </w:rPr>
        <w:t>A</w:t>
      </w:r>
      <w:r w:rsidR="00674E91">
        <w:rPr>
          <w:rFonts w:eastAsia="Times New Roman"/>
          <w:lang w:val="en-AU"/>
        </w:rPr>
        <w:t>ustralia’s policies and institutions are geared toward</w:t>
      </w:r>
      <w:r w:rsidR="00BC7B20">
        <w:rPr>
          <w:rFonts w:eastAsia="Times New Roman"/>
          <w:lang w:val="en-AU"/>
        </w:rPr>
        <w:t>s</w:t>
      </w:r>
      <w:r w:rsidR="00674E91">
        <w:rPr>
          <w:rFonts w:eastAsia="Times New Roman"/>
          <w:lang w:val="en-AU"/>
        </w:rPr>
        <w:t xml:space="preserve"> ongoing growth so </w:t>
      </w:r>
      <w:r w:rsidRPr="00A93DCA">
        <w:rPr>
          <w:rFonts w:eastAsia="Times New Roman"/>
          <w:lang w:val="en-AU"/>
        </w:rPr>
        <w:t xml:space="preserve">Australia </w:t>
      </w:r>
      <w:r w:rsidR="00674E91">
        <w:rPr>
          <w:rFonts w:eastAsia="Times New Roman"/>
          <w:lang w:val="en-AU"/>
        </w:rPr>
        <w:t xml:space="preserve">can outperform its peers. The </w:t>
      </w:r>
      <w:r w:rsidRPr="00A93DCA">
        <w:rPr>
          <w:rFonts w:eastAsia="Times New Roman"/>
          <w:lang w:val="en-AU"/>
        </w:rPr>
        <w:t>Australian Government</w:t>
      </w:r>
      <w:r w:rsidR="00674E91">
        <w:rPr>
          <w:rFonts w:eastAsia="Times New Roman"/>
          <w:lang w:val="en-AU"/>
        </w:rPr>
        <w:t>’s ambitions to build a Future Made in Australia over the decade</w:t>
      </w:r>
      <w:r w:rsidR="00ED05AF">
        <w:rPr>
          <w:rFonts w:eastAsia="Times New Roman"/>
          <w:lang w:val="en-AU"/>
        </w:rPr>
        <w:t>s ahead</w:t>
      </w:r>
      <w:r w:rsidR="005E5CFC">
        <w:rPr>
          <w:rFonts w:eastAsia="Times New Roman"/>
          <w:lang w:val="en-AU"/>
        </w:rPr>
        <w:t xml:space="preserve"> includes</w:t>
      </w:r>
      <w:r w:rsidR="002176CB">
        <w:rPr>
          <w:rFonts w:eastAsia="Times New Roman"/>
          <w:lang w:val="en-AU"/>
        </w:rPr>
        <w:t xml:space="preserve"> incentives to attract private sector investment</w:t>
      </w:r>
      <w:r w:rsidR="001E2203">
        <w:rPr>
          <w:rFonts w:eastAsia="Times New Roman"/>
          <w:lang w:val="en-AU"/>
        </w:rPr>
        <w:t xml:space="preserve">. It also </w:t>
      </w:r>
      <w:r w:rsidR="00C85226" w:rsidRPr="00A93DCA">
        <w:rPr>
          <w:rFonts w:eastAsia="Times New Roman"/>
          <w:lang w:val="en-AU"/>
        </w:rPr>
        <w:t>maximis</w:t>
      </w:r>
      <w:r w:rsidR="006A6AC1" w:rsidRPr="00A93DCA">
        <w:rPr>
          <w:rFonts w:eastAsia="Times New Roman"/>
          <w:lang w:val="en-AU"/>
        </w:rPr>
        <w:t>e</w:t>
      </w:r>
      <w:r w:rsidR="001E2203">
        <w:rPr>
          <w:rFonts w:eastAsia="Times New Roman"/>
          <w:lang w:val="en-AU"/>
        </w:rPr>
        <w:t>s</w:t>
      </w:r>
      <w:r w:rsidR="00C85226" w:rsidRPr="00A93DCA">
        <w:rPr>
          <w:rFonts w:eastAsia="Times New Roman"/>
          <w:lang w:val="en-AU"/>
        </w:rPr>
        <w:t xml:space="preserve"> the economic and industrial benefits of the </w:t>
      </w:r>
      <w:r w:rsidR="0035180C" w:rsidRPr="00A93DCA">
        <w:rPr>
          <w:rFonts w:eastAsia="Times New Roman"/>
          <w:lang w:val="en-AU"/>
        </w:rPr>
        <w:t xml:space="preserve">global </w:t>
      </w:r>
      <w:r w:rsidR="00C85226" w:rsidRPr="00A93DCA">
        <w:rPr>
          <w:rFonts w:eastAsia="Times New Roman"/>
          <w:lang w:val="en-AU"/>
        </w:rPr>
        <w:t>move to net zero</w:t>
      </w:r>
      <w:r w:rsidR="0035180C" w:rsidRPr="00A93DCA">
        <w:rPr>
          <w:rFonts w:eastAsia="Times New Roman"/>
          <w:lang w:val="en-AU"/>
        </w:rPr>
        <w:t xml:space="preserve">. </w:t>
      </w:r>
      <w:r w:rsidR="002F131D">
        <w:rPr>
          <w:rFonts w:eastAsia="Times New Roman"/>
          <w:lang w:val="en-AU"/>
        </w:rPr>
        <w:t xml:space="preserve">Reforms include improvements to </w:t>
      </w:r>
      <w:r w:rsidR="000A59A6" w:rsidRPr="00A93DCA">
        <w:rPr>
          <w:rFonts w:eastAsia="Times New Roman"/>
          <w:lang w:val="en-AU"/>
        </w:rPr>
        <w:t xml:space="preserve">investment </w:t>
      </w:r>
      <w:r w:rsidR="003054A5" w:rsidRPr="00A93DCA">
        <w:rPr>
          <w:rFonts w:eastAsia="Times New Roman"/>
          <w:lang w:val="en-AU"/>
        </w:rPr>
        <w:t>settings,</w:t>
      </w:r>
      <w:r w:rsidR="000A59A6" w:rsidRPr="00A93DCA">
        <w:rPr>
          <w:rFonts w:eastAsia="Times New Roman"/>
          <w:lang w:val="en-AU"/>
        </w:rPr>
        <w:t xml:space="preserve"> institutions, and regulat</w:t>
      </w:r>
      <w:r w:rsidR="006C0131" w:rsidRPr="00A93DCA">
        <w:rPr>
          <w:rFonts w:eastAsia="Times New Roman"/>
          <w:lang w:val="en-AU"/>
        </w:rPr>
        <w:t>ory processes</w:t>
      </w:r>
      <w:r w:rsidR="000A59A6" w:rsidRPr="00A93DCA">
        <w:rPr>
          <w:rFonts w:eastAsia="Times New Roman"/>
          <w:lang w:val="en-AU"/>
        </w:rPr>
        <w:t xml:space="preserve"> to attract </w:t>
      </w:r>
      <w:r w:rsidR="00D65DE9" w:rsidRPr="00A93DCA">
        <w:rPr>
          <w:rFonts w:eastAsia="Times New Roman"/>
          <w:lang w:val="en-AU"/>
        </w:rPr>
        <w:t xml:space="preserve">and enable </w:t>
      </w:r>
      <w:r w:rsidR="000A59A6" w:rsidRPr="00A93DCA">
        <w:rPr>
          <w:rFonts w:eastAsia="Times New Roman"/>
          <w:lang w:val="en-AU"/>
        </w:rPr>
        <w:t>the investment</w:t>
      </w:r>
      <w:r w:rsidR="0086263B" w:rsidRPr="00A93DCA">
        <w:rPr>
          <w:rFonts w:eastAsia="Times New Roman"/>
          <w:lang w:val="en-AU"/>
        </w:rPr>
        <w:t xml:space="preserve"> </w:t>
      </w:r>
      <w:r w:rsidR="004B5813">
        <w:rPr>
          <w:rFonts w:eastAsia="Times New Roman"/>
          <w:lang w:val="en-AU"/>
        </w:rPr>
        <w:t xml:space="preserve">that </w:t>
      </w:r>
      <w:r w:rsidR="0086263B" w:rsidRPr="00A93DCA">
        <w:rPr>
          <w:rFonts w:eastAsia="Times New Roman"/>
          <w:lang w:val="en-AU"/>
        </w:rPr>
        <w:t>Australia needs</w:t>
      </w:r>
      <w:r w:rsidR="000A59A6" w:rsidRPr="00A93DCA">
        <w:rPr>
          <w:rFonts w:eastAsia="Times New Roman"/>
          <w:lang w:val="en-AU"/>
        </w:rPr>
        <w:t>.</w:t>
      </w:r>
    </w:p>
    <w:p w14:paraId="03C62D6E" w14:textId="77777777" w:rsidR="00FD7AB4" w:rsidRPr="002322B7" w:rsidRDefault="00FD7AB4" w:rsidP="00FD7AB4">
      <w:pPr>
        <w:spacing w:before="0" w:after="160" w:line="259" w:lineRule="auto"/>
      </w:pPr>
      <w:r w:rsidRPr="002322B7">
        <w:br w:type="page"/>
      </w:r>
    </w:p>
    <w:p w14:paraId="227704AA" w14:textId="0D343B4D" w:rsidR="00FD7AB4" w:rsidRPr="002322B7" w:rsidRDefault="00FD7AB4" w:rsidP="00FD7AB4">
      <w:pPr>
        <w:pStyle w:val="Heading-level2"/>
      </w:pPr>
      <w:bookmarkStart w:id="6" w:name="_Toc165471162"/>
      <w:bookmarkStart w:id="7" w:name="_Toc178256546"/>
      <w:r w:rsidRPr="002322B7">
        <w:lastRenderedPageBreak/>
        <w:t>The world’s 1</w:t>
      </w:r>
      <w:r w:rsidR="001942C3" w:rsidRPr="002322B7">
        <w:t>3</w:t>
      </w:r>
      <w:r w:rsidRPr="002322B7">
        <w:rPr>
          <w:vertAlign w:val="superscript"/>
        </w:rPr>
        <w:t>th</w:t>
      </w:r>
      <w:r w:rsidR="006220FB">
        <w:t>-</w:t>
      </w:r>
      <w:r w:rsidRPr="002322B7">
        <w:t>largest economy</w:t>
      </w:r>
      <w:bookmarkEnd w:id="6"/>
      <w:bookmarkEnd w:id="7"/>
    </w:p>
    <w:p w14:paraId="4AFAA774" w14:textId="120A0196" w:rsidR="00FD7AB4" w:rsidRPr="002322B7" w:rsidRDefault="00FD7AB4" w:rsidP="003F1867">
      <w:pPr>
        <w:pStyle w:val="Body-copy"/>
        <w:rPr>
          <w:lang w:val="en-AU"/>
        </w:rPr>
      </w:pPr>
      <w:r w:rsidRPr="4FEBF9DC">
        <w:rPr>
          <w:lang w:val="en-AU"/>
        </w:rPr>
        <w:t>Strong growth has solidified Australia’s position as the world’s 1</w:t>
      </w:r>
      <w:r w:rsidR="00A35966" w:rsidRPr="4FEBF9DC">
        <w:rPr>
          <w:lang w:val="en-AU"/>
        </w:rPr>
        <w:t>3</w:t>
      </w:r>
      <w:r w:rsidRPr="4FEBF9DC">
        <w:rPr>
          <w:vertAlign w:val="superscript"/>
          <w:lang w:val="en-AU"/>
        </w:rPr>
        <w:t>th</w:t>
      </w:r>
      <w:r w:rsidRPr="4FEBF9DC">
        <w:rPr>
          <w:lang w:val="en-AU"/>
        </w:rPr>
        <w:t>-largest economy</w:t>
      </w:r>
      <w:r w:rsidR="00CB4CA1">
        <w:rPr>
          <w:lang w:val="en-AU"/>
        </w:rPr>
        <w:t xml:space="preserve"> with n</w:t>
      </w:r>
      <w:r w:rsidR="00CA479E" w:rsidRPr="4FEBF9DC">
        <w:rPr>
          <w:lang w:val="en-AU"/>
        </w:rPr>
        <w:t>o</w:t>
      </w:r>
      <w:r w:rsidRPr="4FEBF9DC">
        <w:rPr>
          <w:lang w:val="en-AU"/>
        </w:rPr>
        <w:t xml:space="preserve">minal </w:t>
      </w:r>
      <w:r w:rsidR="007147C0">
        <w:rPr>
          <w:lang w:val="en-AU"/>
        </w:rPr>
        <w:t>g</w:t>
      </w:r>
      <w:r w:rsidR="00014047">
        <w:rPr>
          <w:lang w:val="en-AU"/>
        </w:rPr>
        <w:t>r</w:t>
      </w:r>
      <w:r w:rsidR="007147C0">
        <w:rPr>
          <w:lang w:val="en-AU"/>
        </w:rPr>
        <w:t>oss</w:t>
      </w:r>
      <w:r w:rsidR="00014047">
        <w:rPr>
          <w:lang w:val="en-AU"/>
        </w:rPr>
        <w:t xml:space="preserve"> domestic product</w:t>
      </w:r>
      <w:r w:rsidR="007147C0">
        <w:rPr>
          <w:lang w:val="en-AU"/>
        </w:rPr>
        <w:t xml:space="preserve"> </w:t>
      </w:r>
      <w:r w:rsidR="00014047">
        <w:rPr>
          <w:lang w:val="en-AU"/>
        </w:rPr>
        <w:t>(</w:t>
      </w:r>
      <w:r w:rsidRPr="4FEBF9DC">
        <w:rPr>
          <w:lang w:val="en-AU"/>
        </w:rPr>
        <w:t>GDP</w:t>
      </w:r>
      <w:r w:rsidR="00014047">
        <w:rPr>
          <w:lang w:val="en-AU"/>
        </w:rPr>
        <w:t>)</w:t>
      </w:r>
      <w:r w:rsidRPr="4FEBF9DC">
        <w:rPr>
          <w:lang w:val="en-AU"/>
        </w:rPr>
        <w:t xml:space="preserve"> </w:t>
      </w:r>
      <w:r w:rsidR="00CA479E" w:rsidRPr="4FEBF9DC">
        <w:rPr>
          <w:lang w:val="en-AU"/>
        </w:rPr>
        <w:t>reach</w:t>
      </w:r>
      <w:r w:rsidR="00CB4CA1">
        <w:rPr>
          <w:lang w:val="en-AU"/>
        </w:rPr>
        <w:t>ing</w:t>
      </w:r>
      <w:r w:rsidRPr="4FEBF9DC">
        <w:rPr>
          <w:lang w:val="en-AU"/>
        </w:rPr>
        <w:t xml:space="preserve"> A$2.</w:t>
      </w:r>
      <w:r w:rsidR="00A35966" w:rsidRPr="4FEBF9DC">
        <w:rPr>
          <w:lang w:val="en-AU"/>
        </w:rPr>
        <w:t>6</w:t>
      </w:r>
      <w:r w:rsidRPr="4FEBF9DC">
        <w:rPr>
          <w:lang w:val="en-AU"/>
        </w:rPr>
        <w:t xml:space="preserve"> trillion (US$1.7 trillion) in 202</w:t>
      </w:r>
      <w:r w:rsidR="00A35966" w:rsidRPr="4FEBF9DC">
        <w:rPr>
          <w:lang w:val="en-AU"/>
        </w:rPr>
        <w:t>3</w:t>
      </w:r>
      <w:r w:rsidRPr="4FEBF9DC">
        <w:rPr>
          <w:lang w:val="en-AU"/>
        </w:rPr>
        <w:t xml:space="preserve">. Australia </w:t>
      </w:r>
      <w:r w:rsidR="001403A0">
        <w:rPr>
          <w:lang w:val="en-AU"/>
        </w:rPr>
        <w:t>wa</w:t>
      </w:r>
      <w:r w:rsidRPr="4FEBF9DC">
        <w:rPr>
          <w:lang w:val="en-AU"/>
        </w:rPr>
        <w:t>s home to just 0.3% of the world’s population, but account</w:t>
      </w:r>
      <w:r w:rsidR="001403A0">
        <w:rPr>
          <w:lang w:val="en-AU"/>
        </w:rPr>
        <w:t>ed</w:t>
      </w:r>
      <w:r w:rsidRPr="4FEBF9DC">
        <w:rPr>
          <w:lang w:val="en-AU"/>
        </w:rPr>
        <w:t xml:space="preserve"> for 1.7% of the global economy. The International Monetary Fund (IMF) predicts that Australia</w:t>
      </w:r>
      <w:r w:rsidR="008B48C5" w:rsidRPr="4FEBF9DC">
        <w:rPr>
          <w:lang w:val="en-AU"/>
        </w:rPr>
        <w:t>’s economic growth</w:t>
      </w:r>
      <w:r w:rsidRPr="4FEBF9DC">
        <w:rPr>
          <w:lang w:val="en-AU"/>
        </w:rPr>
        <w:t xml:space="preserve"> will </w:t>
      </w:r>
      <w:r w:rsidR="003E5DAB">
        <w:rPr>
          <w:lang w:val="en-AU"/>
        </w:rPr>
        <w:t xml:space="preserve">continue to </w:t>
      </w:r>
      <w:r w:rsidR="008B48C5" w:rsidRPr="4FEBF9DC">
        <w:rPr>
          <w:lang w:val="en-AU"/>
        </w:rPr>
        <w:t xml:space="preserve">outperform </w:t>
      </w:r>
      <w:r w:rsidR="00F87D72" w:rsidRPr="4FEBF9DC">
        <w:rPr>
          <w:lang w:val="en-AU"/>
        </w:rPr>
        <w:t>advanced economies over the next five years</w:t>
      </w:r>
      <w:r w:rsidRPr="4FEBF9DC">
        <w:rPr>
          <w:lang w:val="en-AU"/>
        </w:rPr>
        <w:t>.</w:t>
      </w:r>
    </w:p>
    <w:p w14:paraId="0CF6E1BD" w14:textId="4DD4269D" w:rsidR="00FD7AB4" w:rsidRDefault="00FD7AB4" w:rsidP="00FD7AB4">
      <w:pPr>
        <w:pStyle w:val="Caption"/>
      </w:pPr>
      <w:bookmarkStart w:id="8" w:name="_Toc165471213"/>
      <w:bookmarkStart w:id="9" w:name="_Toc178256500"/>
      <w:r w:rsidRPr="002322B7">
        <w:t xml:space="preserve">Figure </w:t>
      </w:r>
      <w:r w:rsidR="00CF16FA">
        <w:fldChar w:fldCharType="begin"/>
      </w:r>
      <w:r w:rsidR="00CF16FA">
        <w:instrText xml:space="preserve"> SEQ Figure \* ARABIC </w:instrText>
      </w:r>
      <w:r w:rsidR="00CF16FA">
        <w:fldChar w:fldCharType="separate"/>
      </w:r>
      <w:r w:rsidR="002459CF">
        <w:rPr>
          <w:noProof/>
        </w:rPr>
        <w:t>1</w:t>
      </w:r>
      <w:r w:rsidR="00CF16FA">
        <w:rPr>
          <w:noProof/>
        </w:rPr>
        <w:fldChar w:fldCharType="end"/>
      </w:r>
      <w:r w:rsidRPr="002322B7">
        <w:t xml:space="preserve"> - World’s largest economies in 202</w:t>
      </w:r>
      <w:bookmarkEnd w:id="8"/>
      <w:r w:rsidR="00A35966" w:rsidRPr="002322B7">
        <w:t>3</w:t>
      </w:r>
      <w:bookmarkEnd w:id="9"/>
    </w:p>
    <w:p w14:paraId="6BB38723" w14:textId="11F75999" w:rsidR="00E01539" w:rsidRDefault="002B452F" w:rsidP="00E01539">
      <w:r>
        <w:rPr>
          <w:noProof/>
        </w:rPr>
        <w:drawing>
          <wp:inline distT="0" distB="0" distL="0" distR="0" wp14:anchorId="59350CAF" wp14:editId="18DE1A05">
            <wp:extent cx="6336030" cy="3806190"/>
            <wp:effectExtent l="0" t="0" r="7620" b="3810"/>
            <wp:docPr id="459639" name="Picture 12" descr="The image shows a global map depicting the world's largest economies in 2023. It displays the rank, the economy (country name) and its percentage of total world nominal gross domestic product (GDP) in US dollars. The economies are:&#10;1. US 26.1%; 2. China 16.9%; 3. Germany 4.3%; 4. Japan 4.0%; 5. India 3.4%; 6. UK 3.2%; 7. France 2.9%; 8. Italy 2.2%; 9. Brazil 2.1%; 10. Canada 2.0%; 11. Russia 1.9%; 12. Mexico 1.7%; 13. Australia 1.7%; 14. Korea 1.6%; 15. Spain 1.5%; 16. Indonesia 1.3%; 17. Netherlands 1.1%; 18. Türkiye 1.1%; 19. Saudi Arabia 1.0%; 20. Switzerland 0.8%; and ASEAN 3.6% ( includes 16. Indonesia 1.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39" name="Picture 12" descr="The image shows a global map depicting the world's largest economies in 2023. It displays the rank, the economy (country name) and its percentage of total world nominal gross domestic product (GDP) in US dollars. The economies are:&#10;1. US 26.1%; 2. China 16.9%; 3. Germany 4.3%; 4. Japan 4.0%; 5. India 3.4%; 6. UK 3.2%; 7. France 2.9%; 8. Italy 2.2%; 9. Brazil 2.1%; 10. Canada 2.0%; 11. Russia 1.9%; 12. Mexico 1.7%; 13. Australia 1.7%; 14. Korea 1.6%; 15. Spain 1.5%; 16. Indonesia 1.3%; 17. Netherlands 1.1%; 18. Türkiye 1.1%; 19. Saudi Arabia 1.0%; 20. Switzerland 0.8%; and ASEAN 3.6% ( includes 16. Indonesia 1.3%). &#10;"/>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6336030" cy="3806190"/>
                    </a:xfrm>
                    <a:prstGeom prst="rect">
                      <a:avLst/>
                    </a:prstGeom>
                    <a:ln>
                      <a:noFill/>
                    </a:ln>
                    <a:extLst>
                      <a:ext uri="{53640926-AAD7-44D8-BBD7-CCE9431645EC}">
                        <a14:shadowObscured xmlns:a14="http://schemas.microsoft.com/office/drawing/2010/main"/>
                      </a:ext>
                    </a:extLst>
                  </pic:spPr>
                </pic:pic>
              </a:graphicData>
            </a:graphic>
          </wp:inline>
        </w:drawing>
      </w:r>
    </w:p>
    <w:p w14:paraId="763EC5E8" w14:textId="7A754EAD" w:rsidR="00FD7AB4" w:rsidRPr="002322B7" w:rsidRDefault="00FD7AB4" w:rsidP="00FD7AB4"/>
    <w:p w14:paraId="613B429A" w14:textId="77777777" w:rsidR="00FD7AB4" w:rsidRPr="002322B7" w:rsidRDefault="00FD7AB4" w:rsidP="00FD7AB4">
      <w:pPr>
        <w:pStyle w:val="Sourcesandnotes"/>
      </w:pPr>
      <w:r w:rsidRPr="002322B7">
        <w:rPr>
          <w:b/>
          <w:bCs/>
        </w:rPr>
        <w:t>Notes:</w:t>
      </w:r>
      <w:r w:rsidRPr="002322B7">
        <w:t xml:space="preserve"> </w:t>
      </w:r>
      <w:r w:rsidRPr="002322B7">
        <w:rPr>
          <w:b/>
          <w:bCs/>
        </w:rPr>
        <w:t>1.</w:t>
      </w:r>
      <w:r w:rsidRPr="002322B7">
        <w:t xml:space="preserve"> Across 196 economies. </w:t>
      </w:r>
      <w:r w:rsidRPr="002322B7">
        <w:rPr>
          <w:b/>
          <w:bCs/>
        </w:rPr>
        <w:t>2.</w:t>
      </w:r>
      <w:r w:rsidRPr="002322B7">
        <w:t xml:space="preserve"> The GDP for the top 20 largest economies was </w:t>
      </w:r>
      <w:r w:rsidR="00945F60" w:rsidRPr="002322B7">
        <w:t xml:space="preserve">US$84,579 </w:t>
      </w:r>
      <w:r w:rsidRPr="002322B7">
        <w:t>billion or 81% of the world’s GDP in 202</w:t>
      </w:r>
      <w:r w:rsidR="00945F60" w:rsidRPr="002322B7">
        <w:t>3</w:t>
      </w:r>
      <w:r w:rsidRPr="002322B7">
        <w:t xml:space="preserve">. </w:t>
      </w:r>
      <w:r w:rsidRPr="002322B7">
        <w:rPr>
          <w:b/>
          <w:bCs/>
        </w:rPr>
        <w:t>3.</w:t>
      </w:r>
      <w:r w:rsidRPr="002322B7">
        <w:t xml:space="preserve"> The GDP for the rest of the world was US$</w:t>
      </w:r>
      <w:r w:rsidR="003C1D4F" w:rsidRPr="002322B7">
        <w:t xml:space="preserve">20,212 </w:t>
      </w:r>
      <w:r w:rsidRPr="002322B7">
        <w:t>billion in 202</w:t>
      </w:r>
      <w:r w:rsidR="003C1D4F" w:rsidRPr="002322B7">
        <w:t>3</w:t>
      </w:r>
      <w:r w:rsidRPr="002322B7">
        <w:t xml:space="preserve"> or 19% of global GDP.</w:t>
      </w:r>
    </w:p>
    <w:p w14:paraId="3976E862" w14:textId="77777777" w:rsidR="00FD7AB4" w:rsidRPr="002322B7" w:rsidRDefault="00FD7AB4" w:rsidP="00FD7AB4">
      <w:pPr>
        <w:pStyle w:val="Sourcesandnotes"/>
      </w:pPr>
      <w:r w:rsidRPr="002322B7">
        <w:rPr>
          <w:b/>
          <w:bCs/>
        </w:rPr>
        <w:t>Sources:</w:t>
      </w:r>
      <w:r w:rsidRPr="002322B7">
        <w:t xml:space="preserve"> International Monetary Fund, 2024, World economic outlook, </w:t>
      </w:r>
      <w:r w:rsidR="003C1D4F" w:rsidRPr="002322B7">
        <w:t>April</w:t>
      </w:r>
      <w:r w:rsidRPr="002322B7">
        <w:t xml:space="preserve"> 202</w:t>
      </w:r>
      <w:r w:rsidR="003C1D4F" w:rsidRPr="002322B7">
        <w:t>4</w:t>
      </w:r>
      <w:r w:rsidRPr="002322B7">
        <w:t xml:space="preserve"> database; Reserve Bank of Australia, 2024, Foreign exchange rates; Austrade.</w:t>
      </w:r>
    </w:p>
    <w:p w14:paraId="21BDDAA9" w14:textId="77777777" w:rsidR="00FD7AB4" w:rsidRPr="002322B7" w:rsidRDefault="00FD7AB4" w:rsidP="00FD7AB4">
      <w:pPr>
        <w:pStyle w:val="Heading-level2"/>
      </w:pPr>
      <w:bookmarkStart w:id="10" w:name="_Toc165471163"/>
      <w:bookmarkStart w:id="11" w:name="_Toc178256547"/>
      <w:r w:rsidRPr="002322B7">
        <w:lastRenderedPageBreak/>
        <w:t>Our outperforming economy</w:t>
      </w:r>
      <w:bookmarkEnd w:id="10"/>
      <w:bookmarkEnd w:id="11"/>
    </w:p>
    <w:p w14:paraId="0B7A3DD2" w14:textId="572215D4" w:rsidR="00FD7AB4" w:rsidRPr="002322B7" w:rsidRDefault="00FD7AB4" w:rsidP="003F1867">
      <w:pPr>
        <w:pStyle w:val="Body-copy"/>
        <w:rPr>
          <w:lang w:val="en-AU"/>
        </w:rPr>
      </w:pPr>
      <w:r w:rsidRPr="002322B7">
        <w:rPr>
          <w:lang w:val="en-AU"/>
        </w:rPr>
        <w:t xml:space="preserve">Australia consistently grows faster than other advanced economies. During the period 2019 to 2024, our economy is forecast to </w:t>
      </w:r>
      <w:r w:rsidR="002548FE" w:rsidRPr="002322B7">
        <w:rPr>
          <w:lang w:val="en-AU"/>
        </w:rPr>
        <w:t xml:space="preserve">have </w:t>
      </w:r>
      <w:r w:rsidRPr="002322B7">
        <w:rPr>
          <w:lang w:val="en-AU"/>
        </w:rPr>
        <w:t>grow</w:t>
      </w:r>
      <w:r w:rsidR="002548FE" w:rsidRPr="002322B7">
        <w:rPr>
          <w:lang w:val="en-AU"/>
        </w:rPr>
        <w:t>n</w:t>
      </w:r>
      <w:r w:rsidRPr="002322B7">
        <w:rPr>
          <w:lang w:val="en-AU"/>
        </w:rPr>
        <w:t xml:space="preserve"> by 1</w:t>
      </w:r>
      <w:r w:rsidR="00CA72DA" w:rsidRPr="002322B7">
        <w:rPr>
          <w:lang w:val="en-AU"/>
        </w:rPr>
        <w:t>1.1</w:t>
      </w:r>
      <w:r w:rsidRPr="002322B7">
        <w:rPr>
          <w:lang w:val="en-AU"/>
        </w:rPr>
        <w:t>%</w:t>
      </w:r>
      <w:r w:rsidR="00D9759E" w:rsidRPr="002322B7">
        <w:rPr>
          <w:lang w:val="en-AU"/>
        </w:rPr>
        <w:t>, outpacing the</w:t>
      </w:r>
      <w:r w:rsidRPr="002322B7">
        <w:rPr>
          <w:lang w:val="en-AU"/>
        </w:rPr>
        <w:t xml:space="preserve"> average of </w:t>
      </w:r>
      <w:r w:rsidR="00C7797C" w:rsidRPr="002322B7">
        <w:rPr>
          <w:lang w:val="en-AU"/>
        </w:rPr>
        <w:t>7.8</w:t>
      </w:r>
      <w:r w:rsidRPr="002322B7">
        <w:rPr>
          <w:lang w:val="en-AU"/>
        </w:rPr>
        <w:t xml:space="preserve">% </w:t>
      </w:r>
      <w:r w:rsidR="00D9759E" w:rsidRPr="002322B7">
        <w:rPr>
          <w:lang w:val="en-AU"/>
        </w:rPr>
        <w:t xml:space="preserve">growth </w:t>
      </w:r>
      <w:r w:rsidRPr="002322B7">
        <w:rPr>
          <w:lang w:val="en-AU"/>
        </w:rPr>
        <w:t xml:space="preserve">for advanced economies. </w:t>
      </w:r>
      <w:r w:rsidR="00956159">
        <w:rPr>
          <w:lang w:val="en-AU"/>
        </w:rPr>
        <w:t>Over this period</w:t>
      </w:r>
      <w:r w:rsidR="002D2BCB">
        <w:rPr>
          <w:lang w:val="en-AU"/>
        </w:rPr>
        <w:t>,</w:t>
      </w:r>
      <w:r w:rsidR="00D1013B">
        <w:rPr>
          <w:lang w:val="en-AU"/>
        </w:rPr>
        <w:t xml:space="preserve"> </w:t>
      </w:r>
      <w:r w:rsidR="000C37CE">
        <w:rPr>
          <w:lang w:val="en-AU"/>
        </w:rPr>
        <w:t xml:space="preserve">we </w:t>
      </w:r>
      <w:r w:rsidR="00D1013B">
        <w:rPr>
          <w:lang w:val="en-AU"/>
        </w:rPr>
        <w:t xml:space="preserve">will have matched </w:t>
      </w:r>
      <w:r w:rsidR="00984A05">
        <w:rPr>
          <w:lang w:val="en-AU"/>
        </w:rPr>
        <w:t xml:space="preserve">growth in the US, </w:t>
      </w:r>
      <w:r w:rsidR="006C7E84">
        <w:rPr>
          <w:lang w:val="en-AU"/>
        </w:rPr>
        <w:t xml:space="preserve">almost tripled </w:t>
      </w:r>
      <w:r w:rsidR="00FE49D7">
        <w:rPr>
          <w:lang w:val="en-AU"/>
        </w:rPr>
        <w:t xml:space="preserve">the expansion in the Euro Area, and </w:t>
      </w:r>
      <w:r w:rsidR="00085B66">
        <w:rPr>
          <w:lang w:val="en-AU"/>
        </w:rPr>
        <w:t xml:space="preserve">recorded growth that </w:t>
      </w:r>
      <w:r w:rsidR="00B81727">
        <w:rPr>
          <w:lang w:val="en-AU"/>
        </w:rPr>
        <w:t>is</w:t>
      </w:r>
      <w:r w:rsidR="00085B66">
        <w:rPr>
          <w:lang w:val="en-AU"/>
        </w:rPr>
        <w:t xml:space="preserve"> five time</w:t>
      </w:r>
      <w:r w:rsidR="00550496">
        <w:rPr>
          <w:lang w:val="en-AU"/>
        </w:rPr>
        <w:t>s</w:t>
      </w:r>
      <w:r w:rsidR="00085B66">
        <w:rPr>
          <w:lang w:val="en-AU"/>
        </w:rPr>
        <w:t xml:space="preserve"> the </w:t>
      </w:r>
      <w:r w:rsidR="00E53DC2">
        <w:rPr>
          <w:lang w:val="en-AU"/>
        </w:rPr>
        <w:t xml:space="preserve">rate of the </w:t>
      </w:r>
      <w:r w:rsidR="00085B66">
        <w:rPr>
          <w:lang w:val="en-AU"/>
        </w:rPr>
        <w:t xml:space="preserve">UK. </w:t>
      </w:r>
      <w:r w:rsidR="00956159" w:rsidRPr="00956159">
        <w:rPr>
          <w:lang w:val="en-AU"/>
        </w:rPr>
        <w:t>Australia is also forecast to continue to outperform our peers over the next five years to 2029.</w:t>
      </w:r>
      <w:r w:rsidR="00956159">
        <w:rPr>
          <w:lang w:val="en-AU"/>
        </w:rPr>
        <w:t xml:space="preserve"> </w:t>
      </w:r>
      <w:r w:rsidRPr="002322B7">
        <w:rPr>
          <w:lang w:val="en-AU"/>
        </w:rPr>
        <w:t xml:space="preserve">As </w:t>
      </w:r>
      <w:r w:rsidR="00FD5BB8" w:rsidRPr="002322B7">
        <w:rPr>
          <w:lang w:val="en-AU"/>
        </w:rPr>
        <w:t xml:space="preserve">a </w:t>
      </w:r>
      <w:r w:rsidRPr="002322B7">
        <w:rPr>
          <w:lang w:val="en-AU"/>
        </w:rPr>
        <w:t xml:space="preserve">major regional exporter, </w:t>
      </w:r>
      <w:bookmarkStart w:id="12" w:name="_Hlk170209717"/>
      <w:r w:rsidRPr="002322B7">
        <w:rPr>
          <w:lang w:val="en-AU"/>
        </w:rPr>
        <w:t>our outlook partly reflects the prosperity of our major trading partners</w:t>
      </w:r>
      <w:bookmarkEnd w:id="12"/>
      <w:r w:rsidRPr="002322B7">
        <w:rPr>
          <w:lang w:val="en-AU"/>
        </w:rPr>
        <w:t xml:space="preserve"> – including India, China and the </w:t>
      </w:r>
      <w:r w:rsidR="00B73221" w:rsidRPr="002322B7">
        <w:rPr>
          <w:lang w:val="en-AU"/>
        </w:rPr>
        <w:t>Association of Southeast Asian Nations (</w:t>
      </w:r>
      <w:r w:rsidRPr="002322B7">
        <w:rPr>
          <w:lang w:val="en-AU"/>
        </w:rPr>
        <w:t>ASEAN</w:t>
      </w:r>
      <w:r w:rsidR="00B73221" w:rsidRPr="002322B7">
        <w:rPr>
          <w:lang w:val="en-AU"/>
        </w:rPr>
        <w:t>)</w:t>
      </w:r>
      <w:r w:rsidRPr="002322B7">
        <w:rPr>
          <w:lang w:val="en-AU"/>
        </w:rPr>
        <w:t>² economies.</w:t>
      </w:r>
    </w:p>
    <w:p w14:paraId="6BA24C25" w14:textId="3550ED50" w:rsidR="00FD7AB4" w:rsidRDefault="00FD7AB4" w:rsidP="00FD7AB4">
      <w:pPr>
        <w:pStyle w:val="Caption"/>
      </w:pPr>
      <w:bookmarkStart w:id="13" w:name="_Toc165471214"/>
      <w:bookmarkStart w:id="14" w:name="_Toc178256501"/>
      <w:r w:rsidRPr="002322B7">
        <w:t xml:space="preserve">Figure </w:t>
      </w:r>
      <w:r w:rsidR="00CF16FA">
        <w:fldChar w:fldCharType="begin"/>
      </w:r>
      <w:r w:rsidR="00CF16FA">
        <w:instrText xml:space="preserve"> SEQ Figure \* ARABIC </w:instrText>
      </w:r>
      <w:r w:rsidR="00CF16FA">
        <w:fldChar w:fldCharType="separate"/>
      </w:r>
      <w:r w:rsidR="002459CF">
        <w:rPr>
          <w:noProof/>
        </w:rPr>
        <w:t>2</w:t>
      </w:r>
      <w:r w:rsidR="00CF16FA">
        <w:rPr>
          <w:noProof/>
        </w:rPr>
        <w:fldChar w:fldCharType="end"/>
      </w:r>
      <w:r w:rsidRPr="002322B7">
        <w:t xml:space="preserve"> - Change in real GDP¹, selected economies</w:t>
      </w:r>
      <w:bookmarkEnd w:id="13"/>
      <w:bookmarkEnd w:id="14"/>
    </w:p>
    <w:p w14:paraId="1C8505C3" w14:textId="7A8A8B49" w:rsidR="008D7AE9" w:rsidRDefault="008D7AE9" w:rsidP="008D7AE9">
      <w:r>
        <w:rPr>
          <w:noProof/>
        </w:rPr>
        <w:drawing>
          <wp:inline distT="0" distB="0" distL="0" distR="0" wp14:anchorId="300E696E" wp14:editId="7C4C5ECF">
            <wp:extent cx="6336030" cy="4357370"/>
            <wp:effectExtent l="0" t="0" r="7620" b="5080"/>
            <wp:docPr id="985421086" name="Picture 13" descr="The graph shows the estimated percentage change in real gross domestic product (GDP) for selected economies from 2019 to 2024. The selected economies are: Emerging markets and developing economies (18.9%); advanced economies (7.8%); India 27.3%; China 25.8%; Indonesia 17.9%; Association of Southeast Asian Nations 14.1%; US 11.1%; Australia 11.1%; Saudi Arabia 10.8%; Korea 10.2%; Brazil 9.7%; Russia 8.9%; Latin America and the Caribbean 8.6%; New Zealand 8.5%; Netherlands 7.3%; Sweden 6.6%; Mexico 6.1%; Canada 6.1%; Spain 4.4%; Italy 4.2%; Euro Area 4.1%; France 2.4%; UK 2.3%; Japan 2.0%; South Africa 1.8%; Germany 0.9%; and Argentin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21086" name="Picture 13" descr="The graph shows the estimated percentage change in real gross domestic product (GDP) for selected economies from 2019 to 2024. The selected economies are: Emerging markets and developing economies (18.9%); advanced economies (7.8%); India 27.3%; China 25.8%; Indonesia 17.9%; Association of Southeast Asian Nations 14.1%; US 11.1%; Australia 11.1%; Saudi Arabia 10.8%; Korea 10.2%; Brazil 9.7%; Russia 8.9%; Latin America and the Caribbean 8.6%; New Zealand 8.5%; Netherlands 7.3%; Sweden 6.6%; Mexico 6.1%; Canada 6.1%; Spain 4.4%; Italy 4.2%; Euro Area 4.1%; France 2.4%; UK 2.3%; Japan 2.0%; South Africa 1.8%; Germany 0.9%; and Argentina 0.2%."/>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6336030" cy="4357370"/>
                    </a:xfrm>
                    <a:prstGeom prst="rect">
                      <a:avLst/>
                    </a:prstGeom>
                    <a:ln>
                      <a:noFill/>
                    </a:ln>
                    <a:extLst>
                      <a:ext uri="{53640926-AAD7-44D8-BBD7-CCE9431645EC}">
                        <a14:shadowObscured xmlns:a14="http://schemas.microsoft.com/office/drawing/2010/main"/>
                      </a:ext>
                    </a:extLst>
                  </pic:spPr>
                </pic:pic>
              </a:graphicData>
            </a:graphic>
          </wp:inline>
        </w:drawing>
      </w:r>
    </w:p>
    <w:p w14:paraId="39783D6A" w14:textId="1D29C1E7" w:rsidR="00FD7AB4" w:rsidRPr="002322B7" w:rsidRDefault="00FD7AB4" w:rsidP="00FD7AB4">
      <w:pPr>
        <w:pStyle w:val="Sourcesandnotes"/>
        <w:keepNext/>
      </w:pPr>
      <w:r w:rsidRPr="002322B7">
        <w:rPr>
          <w:b/>
          <w:bCs/>
        </w:rPr>
        <w:t>Notes: 1.</w:t>
      </w:r>
      <w:r w:rsidRPr="002322B7">
        <w:t xml:space="preserve"> Gross domestic product (GDP) is </w:t>
      </w:r>
      <w:r w:rsidR="00C31759">
        <w:t xml:space="preserve">in </w:t>
      </w:r>
      <w:r w:rsidRPr="002322B7">
        <w:t xml:space="preserve">national currency and constant prices. </w:t>
      </w:r>
      <w:r w:rsidRPr="002322B7">
        <w:rPr>
          <w:b/>
          <w:bCs/>
        </w:rPr>
        <w:t xml:space="preserve">2. </w:t>
      </w:r>
      <w:r w:rsidRPr="002322B7">
        <w:t xml:space="preserve">Association of Southeast Asian Nations. The forecast includes Indonesia, Malaysia, Philippines, Singapore and Thailand. Singapore is classified as an advanced economy. </w:t>
      </w:r>
      <w:r w:rsidRPr="002322B7">
        <w:rPr>
          <w:b/>
          <w:bCs/>
        </w:rPr>
        <w:t>3.</w:t>
      </w:r>
      <w:r w:rsidRPr="002322B7">
        <w:t xml:space="preserve"> Latin America and the Caribbean. </w:t>
      </w:r>
    </w:p>
    <w:p w14:paraId="54D8DBFB" w14:textId="77777777" w:rsidR="00FD7AB4" w:rsidRPr="002322B7" w:rsidRDefault="00FD7AB4" w:rsidP="00FD7AB4">
      <w:pPr>
        <w:pStyle w:val="Sourcesandnotes"/>
        <w:keepNext/>
      </w:pPr>
      <w:r w:rsidRPr="002322B7">
        <w:rPr>
          <w:b/>
          <w:bCs/>
        </w:rPr>
        <w:t xml:space="preserve">Sources: </w:t>
      </w:r>
      <w:r w:rsidRPr="002322B7">
        <w:t xml:space="preserve">International Monetary Fund, 2024, World Economic Outlook, </w:t>
      </w:r>
      <w:r w:rsidR="00CC0F33" w:rsidRPr="002322B7">
        <w:t>April</w:t>
      </w:r>
      <w:r w:rsidRPr="002322B7">
        <w:t xml:space="preserve"> 202</w:t>
      </w:r>
      <w:r w:rsidR="00CC0F33" w:rsidRPr="002322B7">
        <w:t>4</w:t>
      </w:r>
      <w:r w:rsidRPr="002322B7">
        <w:t xml:space="preserve"> database; Austrade.</w:t>
      </w:r>
    </w:p>
    <w:p w14:paraId="1E7C092C" w14:textId="77777777" w:rsidR="00FD7AB4" w:rsidRPr="002322B7" w:rsidRDefault="00FD7AB4" w:rsidP="00FD7AB4">
      <w:pPr>
        <w:pStyle w:val="Sourcesandnotes"/>
      </w:pPr>
    </w:p>
    <w:p w14:paraId="5E904232" w14:textId="77777777" w:rsidR="00C547A7" w:rsidRPr="002322B7" w:rsidRDefault="00C547A7">
      <w:pPr>
        <w:spacing w:before="0" w:after="160" w:line="259" w:lineRule="auto"/>
      </w:pPr>
    </w:p>
    <w:p w14:paraId="74900142" w14:textId="77777777" w:rsidR="00C547A7" w:rsidRPr="002322B7" w:rsidRDefault="00C547A7">
      <w:pPr>
        <w:spacing w:before="0" w:after="160" w:line="259" w:lineRule="auto"/>
      </w:pPr>
    </w:p>
    <w:p w14:paraId="34997FFA" w14:textId="5F485273" w:rsidR="00EE53AB" w:rsidRPr="002322B7" w:rsidRDefault="00EE53AB">
      <w:pPr>
        <w:spacing w:before="0" w:after="160" w:line="259" w:lineRule="auto"/>
      </w:pPr>
      <w:r w:rsidRPr="002322B7">
        <w:br w:type="page"/>
      </w:r>
    </w:p>
    <w:p w14:paraId="0395B34D" w14:textId="6FA713CF" w:rsidR="00FD7AB4" w:rsidRPr="002322B7" w:rsidRDefault="00FD7AB4" w:rsidP="00FD7AB4">
      <w:pPr>
        <w:pStyle w:val="Heading-level2"/>
      </w:pPr>
      <w:bookmarkStart w:id="15" w:name="_Toc165471165"/>
      <w:bookmarkStart w:id="16" w:name="_Toc178256548"/>
      <w:r w:rsidRPr="002322B7">
        <w:lastRenderedPageBreak/>
        <w:t>Australia is a low-tax country</w:t>
      </w:r>
      <w:bookmarkEnd w:id="15"/>
      <w:bookmarkEnd w:id="16"/>
    </w:p>
    <w:p w14:paraId="07686369" w14:textId="4976518E" w:rsidR="000233F5" w:rsidRPr="002322B7" w:rsidRDefault="00FD7AB4" w:rsidP="003F1867">
      <w:pPr>
        <w:pStyle w:val="Body-copy"/>
        <w:rPr>
          <w:lang w:val="en-AU"/>
        </w:rPr>
      </w:pPr>
      <w:r w:rsidRPr="002322B7">
        <w:rPr>
          <w:lang w:val="en-AU"/>
        </w:rPr>
        <w:t>Australia has one of the lowest overall tax rates</w:t>
      </w:r>
      <w:r w:rsidR="00BF11BC" w:rsidRPr="00BF11BC">
        <w:rPr>
          <w:rFonts w:ascii="AUSansBETAText-Regular" w:hAnsi="AUSansBETAText-Regular" w:cs="AUSansBETAText-Regular"/>
          <w:lang w:val="en-AU"/>
        </w:rPr>
        <w:t xml:space="preserve"> </w:t>
      </w:r>
      <w:r w:rsidR="00BF11BC" w:rsidRPr="00BF11BC">
        <w:rPr>
          <w:lang w:val="en-AU"/>
        </w:rPr>
        <w:t>of any high-income country</w:t>
      </w:r>
      <w:r w:rsidR="00BC6426" w:rsidRPr="002322B7">
        <w:rPr>
          <w:lang w:val="en-AU"/>
        </w:rPr>
        <w:t>. O</w:t>
      </w:r>
      <w:r w:rsidRPr="002322B7">
        <w:rPr>
          <w:lang w:val="en-AU"/>
        </w:rPr>
        <w:t xml:space="preserve">ur tax revenue </w:t>
      </w:r>
      <w:r w:rsidR="007807B2">
        <w:rPr>
          <w:lang w:val="en-AU"/>
        </w:rPr>
        <w:t>is equal to</w:t>
      </w:r>
      <w:r w:rsidRPr="002322B7">
        <w:rPr>
          <w:lang w:val="en-AU"/>
        </w:rPr>
        <w:t xml:space="preserve"> </w:t>
      </w:r>
      <w:r w:rsidR="007216CE" w:rsidRPr="002322B7">
        <w:rPr>
          <w:lang w:val="en-AU"/>
        </w:rPr>
        <w:t>just</w:t>
      </w:r>
      <w:r w:rsidRPr="002322B7">
        <w:rPr>
          <w:lang w:val="en-AU"/>
        </w:rPr>
        <w:t xml:space="preserve"> 29% of GDP</w:t>
      </w:r>
      <w:r w:rsidR="00323834">
        <w:rPr>
          <w:lang w:val="en-AU"/>
        </w:rPr>
        <w:t>, which</w:t>
      </w:r>
      <w:r w:rsidRPr="002322B7">
        <w:rPr>
          <w:lang w:val="en-AU"/>
        </w:rPr>
        <w:t xml:space="preserve"> is </w:t>
      </w:r>
      <w:r w:rsidR="00A060EB">
        <w:rPr>
          <w:lang w:val="en-AU"/>
        </w:rPr>
        <w:t>5</w:t>
      </w:r>
      <w:r w:rsidR="00A060EB" w:rsidRPr="002322B7">
        <w:rPr>
          <w:lang w:val="en-AU"/>
        </w:rPr>
        <w:t xml:space="preserve"> </w:t>
      </w:r>
      <w:r w:rsidRPr="002322B7">
        <w:rPr>
          <w:lang w:val="en-AU"/>
        </w:rPr>
        <w:t xml:space="preserve">percentage points </w:t>
      </w:r>
      <w:r w:rsidR="00CA44B9" w:rsidRPr="002322B7">
        <w:rPr>
          <w:lang w:val="en-AU"/>
        </w:rPr>
        <w:t xml:space="preserve">lower than </w:t>
      </w:r>
      <w:r w:rsidRPr="002322B7">
        <w:rPr>
          <w:lang w:val="en-AU"/>
        </w:rPr>
        <w:t>the 34% average for OECD countries.</w:t>
      </w:r>
      <w:r w:rsidR="00323834" w:rsidRPr="002322B7">
        <w:rPr>
          <w:lang w:val="en-AU"/>
        </w:rPr>
        <w:t>¹</w:t>
      </w:r>
      <w:r w:rsidRPr="002322B7">
        <w:rPr>
          <w:lang w:val="en-AU"/>
        </w:rPr>
        <w:t xml:space="preserve"> Australian taxes on goods and services </w:t>
      </w:r>
      <w:r w:rsidR="00AD68B3" w:rsidRPr="002322B7">
        <w:rPr>
          <w:lang w:val="en-AU"/>
        </w:rPr>
        <w:t xml:space="preserve">are </w:t>
      </w:r>
      <w:r w:rsidR="00791054" w:rsidRPr="002322B7">
        <w:rPr>
          <w:lang w:val="en-AU"/>
        </w:rPr>
        <w:t>equivalent to</w:t>
      </w:r>
      <w:r w:rsidRPr="002322B7">
        <w:rPr>
          <w:lang w:val="en-AU"/>
        </w:rPr>
        <w:t xml:space="preserve"> 7% of Australia’s GDP</w:t>
      </w:r>
      <w:r w:rsidR="00A449A5">
        <w:rPr>
          <w:lang w:val="en-AU"/>
        </w:rPr>
        <w:t>,</w:t>
      </w:r>
      <w:r w:rsidRPr="002322B7">
        <w:rPr>
          <w:lang w:val="en-AU"/>
        </w:rPr>
        <w:t xml:space="preserve"> compared to 11% across OECD countries.</w:t>
      </w:r>
      <w:r w:rsidR="00E240C9" w:rsidRPr="002322B7">
        <w:rPr>
          <w:lang w:val="en-AU"/>
        </w:rPr>
        <w:t xml:space="preserve"> </w:t>
      </w:r>
      <w:r w:rsidR="0016733E" w:rsidRPr="002322B7">
        <w:rPr>
          <w:rFonts w:eastAsia="Times New Roman"/>
          <w:lang w:val="en-AU"/>
        </w:rPr>
        <w:t xml:space="preserve">Australia’s corporate tax rate is </w:t>
      </w:r>
      <w:r w:rsidR="00E240C9" w:rsidRPr="002322B7">
        <w:rPr>
          <w:rFonts w:eastAsia="Times New Roman"/>
          <w:lang w:val="en-AU"/>
        </w:rPr>
        <w:t xml:space="preserve">typically </w:t>
      </w:r>
      <w:r w:rsidR="0016733E" w:rsidRPr="002322B7">
        <w:rPr>
          <w:rFonts w:eastAsia="Times New Roman"/>
          <w:lang w:val="en-AU"/>
        </w:rPr>
        <w:t xml:space="preserve">lower due to various deductions, credits and incentives. For </w:t>
      </w:r>
      <w:r w:rsidR="008E4391" w:rsidRPr="002322B7">
        <w:rPr>
          <w:rFonts w:eastAsia="Times New Roman"/>
          <w:lang w:val="en-AU"/>
        </w:rPr>
        <w:t>instance</w:t>
      </w:r>
      <w:r w:rsidR="0016733E" w:rsidRPr="002322B7">
        <w:rPr>
          <w:rFonts w:eastAsia="Times New Roman"/>
          <w:lang w:val="en-AU"/>
        </w:rPr>
        <w:t xml:space="preserve">, </w:t>
      </w:r>
      <w:r w:rsidR="000233F5" w:rsidRPr="002322B7">
        <w:rPr>
          <w:lang w:val="en-AU"/>
        </w:rPr>
        <w:t>R&amp;D tax incentives significantly reduce rates for innovative companies</w:t>
      </w:r>
      <w:r w:rsidR="008E4391" w:rsidRPr="002322B7">
        <w:rPr>
          <w:lang w:val="en-AU"/>
        </w:rPr>
        <w:t xml:space="preserve"> </w:t>
      </w:r>
      <w:r w:rsidR="00FF7472" w:rsidRPr="002322B7">
        <w:rPr>
          <w:lang w:val="en-AU"/>
        </w:rPr>
        <w:t>(</w:t>
      </w:r>
      <w:r w:rsidR="0003283A">
        <w:rPr>
          <w:lang w:val="en-AU"/>
        </w:rPr>
        <w:t>a</w:t>
      </w:r>
      <w:r w:rsidR="008E4391" w:rsidRPr="002322B7">
        <w:rPr>
          <w:lang w:val="en-AU"/>
        </w:rPr>
        <w:t xml:space="preserve"> small company</w:t>
      </w:r>
      <w:r w:rsidR="00FF7472" w:rsidRPr="002322B7">
        <w:rPr>
          <w:lang w:val="en-AU"/>
        </w:rPr>
        <w:t xml:space="preserve"> that</w:t>
      </w:r>
      <w:r w:rsidR="008E4391" w:rsidRPr="002322B7">
        <w:rPr>
          <w:lang w:val="en-AU"/>
        </w:rPr>
        <w:t xml:space="preserve"> invests $100,000 in R&amp;D </w:t>
      </w:r>
      <w:r w:rsidR="00EB04C5" w:rsidRPr="002322B7">
        <w:rPr>
          <w:lang w:val="en-AU"/>
        </w:rPr>
        <w:t>may be el</w:t>
      </w:r>
      <w:r w:rsidR="00437D94">
        <w:rPr>
          <w:lang w:val="en-AU"/>
        </w:rPr>
        <w:t>i</w:t>
      </w:r>
      <w:r w:rsidR="00EB04C5" w:rsidRPr="002322B7">
        <w:rPr>
          <w:lang w:val="en-AU"/>
        </w:rPr>
        <w:t>gible to</w:t>
      </w:r>
      <w:r w:rsidR="008E4391" w:rsidRPr="002322B7">
        <w:rPr>
          <w:lang w:val="en-AU"/>
        </w:rPr>
        <w:t xml:space="preserve"> receive a </w:t>
      </w:r>
      <w:hyperlink r:id="rId14" w:history="1">
        <w:r w:rsidR="008E4391" w:rsidRPr="002322B7">
          <w:rPr>
            <w:rStyle w:val="Hyperlink"/>
            <w:lang w:val="en-AU"/>
          </w:rPr>
          <w:t>cash refund of over $40,000</w:t>
        </w:r>
      </w:hyperlink>
      <w:r w:rsidR="002F71BE" w:rsidRPr="002322B7">
        <w:rPr>
          <w:lang w:val="en-AU"/>
        </w:rPr>
        <w:t>)</w:t>
      </w:r>
      <w:r w:rsidR="0003283A">
        <w:rPr>
          <w:lang w:val="en-AU"/>
        </w:rPr>
        <w:t>.</w:t>
      </w:r>
      <w:r w:rsidR="002F71BE" w:rsidRPr="002322B7">
        <w:rPr>
          <w:lang w:val="en-AU"/>
        </w:rPr>
        <w:t xml:space="preserve"> </w:t>
      </w:r>
      <w:r w:rsidR="000233F5" w:rsidRPr="002322B7">
        <w:rPr>
          <w:lang w:val="en-AU"/>
        </w:rPr>
        <w:t>Australia's corporate tax laws are stable and predictable, helping to reduce costs</w:t>
      </w:r>
      <w:r w:rsidR="009547FD">
        <w:rPr>
          <w:lang w:val="en-AU"/>
        </w:rPr>
        <w:t>, like</w:t>
      </w:r>
      <w:r w:rsidR="005C3E70" w:rsidRPr="002322B7">
        <w:rPr>
          <w:lang w:val="en-AU"/>
        </w:rPr>
        <w:t xml:space="preserve"> </w:t>
      </w:r>
      <w:r w:rsidR="008D5D46" w:rsidRPr="002322B7">
        <w:rPr>
          <w:lang w:val="en-AU"/>
        </w:rPr>
        <w:t xml:space="preserve">our </w:t>
      </w:r>
      <w:hyperlink r:id="rId15" w:history="1">
        <w:r w:rsidR="000233F5" w:rsidRPr="002322B7">
          <w:rPr>
            <w:rStyle w:val="Hyperlink"/>
            <w:lang w:val="en-AU"/>
          </w:rPr>
          <w:t xml:space="preserve">tax agreements </w:t>
        </w:r>
        <w:r w:rsidR="008D5D46" w:rsidRPr="002322B7">
          <w:rPr>
            <w:rStyle w:val="Hyperlink"/>
            <w:lang w:val="en-AU"/>
          </w:rPr>
          <w:t xml:space="preserve">with other </w:t>
        </w:r>
        <w:r w:rsidR="00970E66" w:rsidRPr="002322B7">
          <w:rPr>
            <w:rStyle w:val="Hyperlink"/>
            <w:lang w:val="en-AU"/>
          </w:rPr>
          <w:t>countries</w:t>
        </w:r>
      </w:hyperlink>
      <w:r w:rsidR="008D5D46" w:rsidRPr="002322B7">
        <w:rPr>
          <w:lang w:val="en-AU"/>
        </w:rPr>
        <w:t xml:space="preserve"> </w:t>
      </w:r>
      <w:r w:rsidR="009547FD">
        <w:rPr>
          <w:lang w:val="en-AU"/>
        </w:rPr>
        <w:t xml:space="preserve">that </w:t>
      </w:r>
      <w:r w:rsidR="000233F5" w:rsidRPr="002322B7">
        <w:rPr>
          <w:lang w:val="en-AU"/>
        </w:rPr>
        <w:t>prevent tax duplication.</w:t>
      </w:r>
    </w:p>
    <w:p w14:paraId="6DE46A5F" w14:textId="07787468" w:rsidR="00F43433" w:rsidRDefault="00F43433" w:rsidP="00F43433">
      <w:pPr>
        <w:pStyle w:val="Caption"/>
      </w:pPr>
      <w:bookmarkStart w:id="17" w:name="_Toc178256502"/>
      <w:bookmarkStart w:id="18" w:name="_Toc165471216"/>
      <w:r w:rsidRPr="002322B7">
        <w:t xml:space="preserve">Figure </w:t>
      </w:r>
      <w:r w:rsidR="00CF16FA">
        <w:fldChar w:fldCharType="begin"/>
      </w:r>
      <w:r w:rsidR="00CF16FA">
        <w:instrText xml:space="preserve"> SEQ Figure \* ARABIC </w:instrText>
      </w:r>
      <w:r w:rsidR="00CF16FA">
        <w:fldChar w:fldCharType="separate"/>
      </w:r>
      <w:r w:rsidR="002459CF">
        <w:rPr>
          <w:noProof/>
        </w:rPr>
        <w:t>3</w:t>
      </w:r>
      <w:r w:rsidR="00CF16FA">
        <w:rPr>
          <w:noProof/>
        </w:rPr>
        <w:fldChar w:fldCharType="end"/>
      </w:r>
      <w:r w:rsidRPr="002322B7">
        <w:t xml:space="preserve"> – Tax revenue as a percentage of GDP by </w:t>
      </w:r>
      <w:r w:rsidR="00970E66" w:rsidRPr="002322B7">
        <w:t>economy</w:t>
      </w:r>
      <w:bookmarkEnd w:id="17"/>
    </w:p>
    <w:bookmarkEnd w:id="18"/>
    <w:p w14:paraId="6ED1A7B5" w14:textId="053915A9" w:rsidR="00F43433" w:rsidRPr="002322B7" w:rsidRDefault="00F556D5" w:rsidP="007E2303">
      <w:r>
        <w:rPr>
          <w:noProof/>
        </w:rPr>
        <w:drawing>
          <wp:inline distT="0" distB="0" distL="0" distR="0" wp14:anchorId="7A0098A8" wp14:editId="1C47747B">
            <wp:extent cx="6336030" cy="4506595"/>
            <wp:effectExtent l="0" t="0" r="7620" b="8255"/>
            <wp:docPr id="1524461579" name="Picture 14" descr="A bar chart shows the tax revenue as a percentage of gross domestic product (GDP) by country, using 2021 data or the latest available across the OECD dataset. The bar chart is stacked; the top part shows tax on personal income and corporate profits, and the lower part shows other taxes.  The figures behind the graph are: France (1) 13% for personal &amp; corporate; 33% for other taxes; and 46 for total; Norway (2) 27% for personal &amp; corporate; 18% for other taxes; and 44 for total; Austria (3) 13% for personal &amp; corporate; 30% for other taxes; and 43 for total; Finland (4) 16% for personal &amp; corporate; 27% for other taxes; and 43 for total; Italy (5) 14% for personal &amp; corporate; 29% for other taxes; and 43 for total; Belgium (6) 16% for personal &amp; corporate; 27% for other taxes; and 42 for total; Denmark (7) 27% for personal &amp; corporate; 15% for other taxes; and 42 for total; Sweden (8) 15% for personal &amp; corporate; 27% for other taxes; and 41 for total; Greece (9) 8% for personal &amp; corporate; 32% for other taxes; and 39 for total; Germany (10) 13% for personal &amp; corporate; 26% for other taxes; and 39 for total; Netherlands (12) 13% for personal &amp; corporate; 25% for other taxes; and 38 for total; Spain (14) 12% for personal &amp; corporate; 26% for other taxes; and 38 for total; UK (17) 13% for personal &amp; corporate; 22% for other taxes; and 35 for total; Iceland (19) 16% for personal &amp; corporate; 18% for other taxes; and 35 for total; OECD 12% for personal &amp; corporate; 23% for other taxes; and 34 for total; Japan (21) 11% for personal &amp; corporate; 23% for other taxes; and 34 for total; New Zealand (23) 19% for personal &amp; corporate; 15% for other taxes; and 34 for total; Canada (25) 16% for personal &amp; corporate; 17% for other taxes; and 33 for total; Israel (26) 12% for personal &amp; corporate; 21% for other taxes; and 33 for total; Korea (28) 12% for personal &amp; corporate; 20% for other taxes; and 32 for total; Australia (30) 18% for personal &amp; corporate; 11% for other taxes; and 29 for total; US (31) 14% for personal &amp; corporate; 13% for other taxes; and 28 for total; Switzerland (32) 12% for personal &amp; corporate; 16% for other taxes; and 27 for total; Ireland (35) 11% for personal &amp; corporate; 10% for other taxes; and 21 for total; Türkiye (36) 6% for personal &amp; corporate; 15% for other taxes; and 21 for total; Mexico (38) 7% for personal &amp; corporate; 10% for other taxes; and 17 for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61579" name="Picture 14" descr="A bar chart shows the tax revenue as a percentage of gross domestic product (GDP) by country, using 2021 data or the latest available across the OECD dataset. The bar chart is stacked; the top part shows tax on personal income and corporate profits, and the lower part shows other taxes.  The figures behind the graph are: France (1) 13% for personal &amp; corporate; 33% for other taxes; and 46 for total; Norway (2) 27% for personal &amp; corporate; 18% for other taxes; and 44 for total; Austria (3) 13% for personal &amp; corporate; 30% for other taxes; and 43 for total; Finland (4) 16% for personal &amp; corporate; 27% for other taxes; and 43 for total; Italy (5) 14% for personal &amp; corporate; 29% for other taxes; and 43 for total; Belgium (6) 16% for personal &amp; corporate; 27% for other taxes; and 42 for total; Denmark (7) 27% for personal &amp; corporate; 15% for other taxes; and 42 for total; Sweden (8) 15% for personal &amp; corporate; 27% for other taxes; and 41 for total; Greece (9) 8% for personal &amp; corporate; 32% for other taxes; and 39 for total; Germany (10) 13% for personal &amp; corporate; 26% for other taxes; and 39 for total; Netherlands (12) 13% for personal &amp; corporate; 25% for other taxes; and 38 for total; Spain (14) 12% for personal &amp; corporate; 26% for other taxes; and 38 for total; UK (17) 13% for personal &amp; corporate; 22% for other taxes; and 35 for total; Iceland (19) 16% for personal &amp; corporate; 18% for other taxes; and 35 for total; OECD 12% for personal &amp; corporate; 23% for other taxes; and 34 for total; Japan (21) 11% for personal &amp; corporate; 23% for other taxes; and 34 for total; New Zealand (23) 19% for personal &amp; corporate; 15% for other taxes; and 34 for total; Canada (25) 16% for personal &amp; corporate; 17% for other taxes; and 33 for total; Israel (26) 12% for personal &amp; corporate; 21% for other taxes; and 33 for total; Korea (28) 12% for personal &amp; corporate; 20% for other taxes; and 32 for total; Australia (30) 18% for personal &amp; corporate; 11% for other taxes; and 29 for total; US (31) 14% for personal &amp; corporate; 13% for other taxes; and 28 for total; Switzerland (32) 12% for personal &amp; corporate; 16% for other taxes; and 27 for total; Ireland (35) 11% for personal &amp; corporate; 10% for other taxes; and 21 for total; Türkiye (36) 6% for personal &amp; corporate; 15% for other taxes; and 21 for total; Mexico (38) 7% for personal &amp; corporate; 10% for other taxes; and 17 for total."/>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6336030" cy="4506595"/>
                    </a:xfrm>
                    <a:prstGeom prst="rect">
                      <a:avLst/>
                    </a:prstGeom>
                    <a:ln>
                      <a:noFill/>
                    </a:ln>
                    <a:extLst>
                      <a:ext uri="{53640926-AAD7-44D8-BBD7-CCE9431645EC}">
                        <a14:shadowObscured xmlns:a14="http://schemas.microsoft.com/office/drawing/2010/main"/>
                      </a:ext>
                    </a:extLst>
                  </pic:spPr>
                </pic:pic>
              </a:graphicData>
            </a:graphic>
          </wp:inline>
        </w:drawing>
      </w:r>
    </w:p>
    <w:p w14:paraId="7C1BCBDA" w14:textId="77777777" w:rsidR="00FD7AB4" w:rsidRPr="002322B7" w:rsidRDefault="00FD7AB4" w:rsidP="00FD7AB4">
      <w:pPr>
        <w:pStyle w:val="Sourcesandnotes"/>
      </w:pPr>
      <w:r w:rsidRPr="002322B7">
        <w:rPr>
          <w:b/>
          <w:bCs/>
        </w:rPr>
        <w:t>Notes: 1.</w:t>
      </w:r>
      <w:r w:rsidRPr="002322B7">
        <w:t xml:space="preserve"> Measured as a percentage of GDP. Tax systems across countries vary significantly and this makes direct comparisons difficult on a like-for-like basis. A simple measure used by the OECD is to consider the total ‘tax take’ of an economy. The tax take (or tax burden) is the ratio of total tax revenues to GDP, at market prices. This ratio is a broad measure of a country’s taxation impost which cuts across the various bases, rates and thresholds. </w:t>
      </w:r>
      <w:r w:rsidRPr="002322B7">
        <w:rPr>
          <w:b/>
          <w:bCs/>
        </w:rPr>
        <w:t>2.</w:t>
      </w:r>
      <w:r w:rsidRPr="002322B7">
        <w:t xml:space="preserve"> Social security contributions/taxes as “compulsory payments paid to general government that confer entitlement to receive a (contingent) future social benefit”. For example, unemployment insurance or family allowances. Social security contributions are often levied on employers and not only employees. </w:t>
      </w:r>
      <w:r w:rsidRPr="002322B7">
        <w:rPr>
          <w:b/>
          <w:bCs/>
        </w:rPr>
        <w:t>3.</w:t>
      </w:r>
      <w:r w:rsidRPr="002322B7">
        <w:t xml:space="preserve"> The number in brackets indicates the country’s ranking across OECD members. </w:t>
      </w:r>
    </w:p>
    <w:p w14:paraId="3E27308A" w14:textId="26D4FFBA" w:rsidR="005C0C76" w:rsidRPr="002322B7" w:rsidRDefault="00FD7AB4" w:rsidP="007E2303">
      <w:pPr>
        <w:pStyle w:val="Sourcesandnotes"/>
      </w:pPr>
      <w:r w:rsidRPr="002322B7">
        <w:rPr>
          <w:b/>
          <w:bCs/>
        </w:rPr>
        <w:t>Sources:</w:t>
      </w:r>
      <w:r w:rsidRPr="002322B7">
        <w:t xml:space="preserve"> Organisation for Economic Co-operation and Development, 2024, Revenue Statistics - OECD countries: Comparative tables, accessed on 28 Feb 2024; Austrade.</w:t>
      </w:r>
    </w:p>
    <w:p w14:paraId="007DF282" w14:textId="77777777" w:rsidR="005C0C76" w:rsidRPr="002322B7" w:rsidRDefault="005C0C76" w:rsidP="005C0C76">
      <w:pPr>
        <w:pStyle w:val="Heading-level2"/>
      </w:pPr>
      <w:bookmarkStart w:id="19" w:name="_Toc178256549"/>
      <w:r w:rsidRPr="002322B7">
        <w:lastRenderedPageBreak/>
        <w:t>Good governance, strong institutions and the rule of law</w:t>
      </w:r>
      <w:bookmarkEnd w:id="19"/>
    </w:p>
    <w:p w14:paraId="7ACD1D92" w14:textId="77777777" w:rsidR="005C0C76" w:rsidRPr="002322B7" w:rsidRDefault="005C0C76" w:rsidP="005C0C76">
      <w:pPr>
        <w:pStyle w:val="Body-copy"/>
        <w:rPr>
          <w:lang w:val="en-AU"/>
        </w:rPr>
      </w:pPr>
      <w:r w:rsidRPr="002322B7">
        <w:rPr>
          <w:lang w:val="en-AU"/>
        </w:rPr>
        <w:t>Australia has a global reputation for good government. We are recognised as one of the least corrupt nations, and Australia’s legal system is well grounded, professional and transparent. Australia is a global leader in protecting property rights, including intellectual property</w:t>
      </w:r>
      <w:r>
        <w:rPr>
          <w:lang w:val="en-AU"/>
        </w:rPr>
        <w:t>, and our s</w:t>
      </w:r>
      <w:r w:rsidRPr="002322B7">
        <w:rPr>
          <w:lang w:val="en-AU"/>
        </w:rPr>
        <w:t xml:space="preserve">ound governance sustains investor confidence. Today, Australia provides a stable base for multinationals who want to secure their supply chains, broaden their commercial horizons, or establish new operations in the Asia-Pacific region. </w:t>
      </w:r>
    </w:p>
    <w:p w14:paraId="29F45AA9" w14:textId="77777777" w:rsidR="005C0C76" w:rsidRPr="002322B7" w:rsidRDefault="005C0C76" w:rsidP="005C0C76">
      <w:pPr>
        <w:pStyle w:val="Body-copy"/>
        <w:rPr>
          <w:lang w:val="en-AU"/>
        </w:rPr>
      </w:pPr>
    </w:p>
    <w:p w14:paraId="1E46C4B6" w14:textId="3A7C21CC" w:rsidR="005C0C76" w:rsidRDefault="005C0C76" w:rsidP="005C0C76">
      <w:pPr>
        <w:pStyle w:val="Caption"/>
      </w:pPr>
      <w:bookmarkStart w:id="20" w:name="_Toc178256503"/>
      <w:r w:rsidRPr="002322B7">
        <w:t xml:space="preserve">Figure </w:t>
      </w:r>
      <w:r w:rsidR="00CF16FA">
        <w:fldChar w:fldCharType="begin"/>
      </w:r>
      <w:r w:rsidR="00CF16FA">
        <w:instrText xml:space="preserve"> SEQ Figure \* ARABIC </w:instrText>
      </w:r>
      <w:r w:rsidR="00CF16FA">
        <w:fldChar w:fldCharType="separate"/>
      </w:r>
      <w:r w:rsidR="002459CF">
        <w:rPr>
          <w:noProof/>
        </w:rPr>
        <w:t>4</w:t>
      </w:r>
      <w:r w:rsidR="00CF16FA">
        <w:rPr>
          <w:noProof/>
        </w:rPr>
        <w:fldChar w:fldCharType="end"/>
      </w:r>
      <w:r w:rsidRPr="002322B7">
        <w:t xml:space="preserve"> – Global rankings of Australia’s governance</w:t>
      </w:r>
      <w:bookmarkEnd w:id="20"/>
    </w:p>
    <w:p w14:paraId="61A941D3" w14:textId="59BA71C6" w:rsidR="00002D86" w:rsidRPr="00002D86" w:rsidRDefault="00F556D5" w:rsidP="00002D86">
      <w:r>
        <w:rPr>
          <w:noProof/>
        </w:rPr>
        <w:drawing>
          <wp:inline distT="0" distB="0" distL="0" distR="0" wp14:anchorId="60AB965D" wp14:editId="3099EDE0">
            <wp:extent cx="6336030" cy="3869055"/>
            <wp:effectExtent l="0" t="0" r="7620" b="0"/>
            <wp:docPr id="1659215764" name="Picture 15" descr="The infographic shows the following information:&#10;#1 Legal system&#10;Australia has a transparent and fair legal system. (footnote #1)&#10;#1 Lowest risk of social unrest&#10;Globally, Australia has the lowest risk of social unrest. (footnote #1)&#10;#2 Regulatory quality&#10;Australia’s government has a strong ability to formulate and implement sound policies and regulations. (footnote #3)&#10;#1 Quality of bureaucracy&#10;Australian public servants have the highest level of specialisation and technical qualification. (footnote #1)&#10;#2 External intervention&#10;Australia’s government is free from the influence and impact of external actors. (footnote #2)&#10;#7 Factionalised elites&#10;Australia’s institutions are less likely to be fragmented by the brinkmanship and gridlock of ruling elites. (footnot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15764" name="Picture 15" descr="The infographic shows the following information:&#10;#1 Legal system&#10;Australia has a transparent and fair legal system. (footnote #1)&#10;#1 Lowest risk of social unrest&#10;Globally, Australia has the lowest risk of social unrest. (footnote #1)&#10;#2 Regulatory quality&#10;Australia’s government has a strong ability to formulate and implement sound policies and regulations. (footnote #3)&#10;#1 Quality of bureaucracy&#10;Australian public servants have the highest level of specialisation and technical qualification. (footnote #1)&#10;#2 External intervention&#10;Australia’s government is free from the influence and impact of external actors. (footnote #2)&#10;#7 Factionalised elites&#10;Australia’s institutions are less likely to be fragmented by the brinkmanship and gridlock of ruling elites. (footnote #2)&#10;"/>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6336030" cy="3869055"/>
                    </a:xfrm>
                    <a:prstGeom prst="rect">
                      <a:avLst/>
                    </a:prstGeom>
                    <a:ln>
                      <a:noFill/>
                    </a:ln>
                    <a:extLst>
                      <a:ext uri="{53640926-AAD7-44D8-BBD7-CCE9431645EC}">
                        <a14:shadowObscured xmlns:a14="http://schemas.microsoft.com/office/drawing/2010/main"/>
                      </a:ext>
                    </a:extLst>
                  </pic:spPr>
                </pic:pic>
              </a:graphicData>
            </a:graphic>
          </wp:inline>
        </w:drawing>
      </w:r>
    </w:p>
    <w:p w14:paraId="2AAEB1B1" w14:textId="77777777" w:rsidR="005C0C76" w:rsidRPr="002322B7" w:rsidRDefault="005C0C76" w:rsidP="005C0C76">
      <w:pPr>
        <w:pStyle w:val="Sourcesandnotes"/>
      </w:pPr>
      <w:r w:rsidRPr="002322B7">
        <w:rPr>
          <w:b/>
          <w:bCs/>
        </w:rPr>
        <w:t>Sources</w:t>
      </w:r>
      <w:r w:rsidRPr="002322B7">
        <w:t xml:space="preserve">: </w:t>
      </w:r>
      <w:r w:rsidRPr="002322B7">
        <w:rPr>
          <w:b/>
          <w:bCs/>
        </w:rPr>
        <w:t>1.</w:t>
      </w:r>
      <w:r w:rsidRPr="002322B7">
        <w:t xml:space="preserve"> Economic Intelligence Unit, 2024, Viewpoint database. </w:t>
      </w:r>
      <w:r w:rsidRPr="002322B7">
        <w:rPr>
          <w:b/>
          <w:bCs/>
        </w:rPr>
        <w:t>2.</w:t>
      </w:r>
      <w:r w:rsidRPr="002322B7">
        <w:t xml:space="preserve"> Fund for Peace, 2023, Fragile states index. </w:t>
      </w:r>
      <w:r w:rsidRPr="002322B7">
        <w:rPr>
          <w:b/>
          <w:bCs/>
        </w:rPr>
        <w:t>3.</w:t>
      </w:r>
      <w:r w:rsidRPr="002322B7">
        <w:t xml:space="preserve"> The World Bank, 2023, The worldwide governance indicators. </w:t>
      </w:r>
      <w:r w:rsidRPr="002322B7">
        <w:rPr>
          <w:b/>
          <w:bCs/>
        </w:rPr>
        <w:t>4.</w:t>
      </w:r>
      <w:r w:rsidRPr="002322B7">
        <w:t xml:space="preserve"> Austrade.</w:t>
      </w:r>
    </w:p>
    <w:p w14:paraId="0AE38FFF" w14:textId="77777777" w:rsidR="005C0C76" w:rsidRPr="002322B7" w:rsidRDefault="005C0C76" w:rsidP="005C0C76"/>
    <w:p w14:paraId="5717E20F" w14:textId="77777777" w:rsidR="005C0C76" w:rsidRPr="002322B7" w:rsidRDefault="005C0C76" w:rsidP="005C0C76">
      <w:pPr>
        <w:pStyle w:val="Heading-level2"/>
      </w:pPr>
      <w:bookmarkStart w:id="21" w:name="_Toc178256550"/>
      <w:r w:rsidRPr="002322B7">
        <w:lastRenderedPageBreak/>
        <w:t>Australia: open and business-friendly</w:t>
      </w:r>
      <w:bookmarkEnd w:id="21"/>
      <w:r w:rsidRPr="002322B7">
        <w:t xml:space="preserve"> </w:t>
      </w:r>
    </w:p>
    <w:p w14:paraId="4A482AAC" w14:textId="0396DE61" w:rsidR="005C0C76" w:rsidRPr="002322B7" w:rsidRDefault="005C0C76" w:rsidP="005C0C76">
      <w:pPr>
        <w:pStyle w:val="Body-copy"/>
        <w:rPr>
          <w:lang w:val="en-AU"/>
        </w:rPr>
      </w:pPr>
      <w:r w:rsidRPr="002322B7">
        <w:rPr>
          <w:lang w:val="en-AU"/>
        </w:rPr>
        <w:t>Australia is a welcoming place for foreign investors and startup ventures</w:t>
      </w:r>
      <w:r>
        <w:rPr>
          <w:lang w:val="en-AU"/>
        </w:rPr>
        <w:t xml:space="preserve">, and we </w:t>
      </w:r>
      <w:r w:rsidRPr="002322B7">
        <w:rPr>
          <w:lang w:val="en-AU"/>
        </w:rPr>
        <w:t xml:space="preserve">lead the world in credit ratings. We rank </w:t>
      </w:r>
      <w:r>
        <w:rPr>
          <w:lang w:val="en-AU"/>
        </w:rPr>
        <w:t>6</w:t>
      </w:r>
      <w:r w:rsidRPr="002322B7">
        <w:rPr>
          <w:vertAlign w:val="superscript"/>
          <w:lang w:val="en-AU"/>
        </w:rPr>
        <w:t>th</w:t>
      </w:r>
      <w:r w:rsidRPr="002322B7">
        <w:rPr>
          <w:lang w:val="en-AU"/>
        </w:rPr>
        <w:t xml:space="preserve"> for low tariff barriers, which reflects Australia’s commitment to open trade. </w:t>
      </w:r>
      <w:r w:rsidR="003F4FD9">
        <w:rPr>
          <w:lang w:val="en-AU"/>
        </w:rPr>
        <w:t>Other high performing areas</w:t>
      </w:r>
      <w:r w:rsidR="00C75893">
        <w:rPr>
          <w:lang w:val="en-AU"/>
        </w:rPr>
        <w:t xml:space="preserve"> include </w:t>
      </w:r>
      <w:r w:rsidRPr="002322B7">
        <w:rPr>
          <w:lang w:val="en-AU"/>
        </w:rPr>
        <w:t>Australia's macroeconomic environment and contract enforcement</w:t>
      </w:r>
      <w:r w:rsidR="004917EB">
        <w:rPr>
          <w:lang w:val="en-AU"/>
        </w:rPr>
        <w:t>, which</w:t>
      </w:r>
      <w:r w:rsidRPr="002322B7">
        <w:rPr>
          <w:lang w:val="en-AU"/>
        </w:rPr>
        <w:t xml:space="preserve"> are global standouts. Global rankings also recognise our relative strength as a place to launch a new business and as an environment for private enterprise. </w:t>
      </w:r>
    </w:p>
    <w:p w14:paraId="4D99DE6D" w14:textId="1BBF2202" w:rsidR="005C0C76" w:rsidRDefault="005C0C76" w:rsidP="005C0C76">
      <w:pPr>
        <w:pStyle w:val="Caption"/>
      </w:pPr>
      <w:bookmarkStart w:id="22" w:name="_Toc178256504"/>
      <w:r w:rsidRPr="002322B7">
        <w:t xml:space="preserve">Figure </w:t>
      </w:r>
      <w:r w:rsidR="00CF16FA">
        <w:fldChar w:fldCharType="begin"/>
      </w:r>
      <w:r w:rsidR="00CF16FA">
        <w:instrText xml:space="preserve"> SEQ Figure \* ARABIC </w:instrText>
      </w:r>
      <w:r w:rsidR="00CF16FA">
        <w:fldChar w:fldCharType="separate"/>
      </w:r>
      <w:r w:rsidR="002459CF">
        <w:rPr>
          <w:noProof/>
        </w:rPr>
        <w:t>5</w:t>
      </w:r>
      <w:r w:rsidR="00CF16FA">
        <w:rPr>
          <w:noProof/>
        </w:rPr>
        <w:fldChar w:fldCharType="end"/>
      </w:r>
      <w:r w:rsidRPr="002322B7">
        <w:t xml:space="preserve"> – Business efficiency and environment, 2024</w:t>
      </w:r>
      <w:bookmarkEnd w:id="22"/>
    </w:p>
    <w:p w14:paraId="22F6E28D" w14:textId="77777777" w:rsidR="005C0C76" w:rsidRDefault="005C0C76" w:rsidP="005C0C76">
      <w:r w:rsidRPr="00403A55">
        <w:rPr>
          <w:noProof/>
        </w:rPr>
        <w:drawing>
          <wp:inline distT="0" distB="0" distL="0" distR="0" wp14:anchorId="00A58A53" wp14:editId="6E82F265">
            <wp:extent cx="6120000" cy="4068346"/>
            <wp:effectExtent l="0" t="0" r="0" b="8890"/>
            <wp:docPr id="1315250002" name="Picture 1" descr="The table shows the rankings of indicators by region, as follows:&#10;IMD World Competitiveness Yearbook 2024 rankings shows the following indicators: Country credit rating¹: Australia 1; China 27; India 53; Japan 30; Korea 17; Norway 1; Singapore 1; UK 22 and US 12. Environmental agreements²: Australia 1; China 7; India 51; Japan 34; Korea 59; Norway 40; Singapore 38; UK 11 and US 55. Income distribution³: Australia 2; China 9; India 23; Japan na; Korea 29; Norway 38; Singapore na; UK 54 and US 55. Agricultural productivity: Australia 5; China 59; India 58; Japan 45; Korea 43; Norway 9; Singapore 63; UK 7 and US 14. Financial card transactions⁴: Australia 5; China 18; India 60; Japan 31; Korea 16; Norway 11; Singapore 6; UK 9 and US 2. Number of days to start a business: Australia 5; China 32; India 53; Japan 38; Korea 27; Norway 9; Singapore 2; UK 15 and US 9. Tariff barriers: Australia 6; China 46; India 62; Japan 43; Korea 60; Norway 52; Singapore 1; UK 5 and US 37. Enforcing contracts⁵: Australia 6; China 5; India 63; Japan 35; Korea 2; Norway 3; Singapore 1; UK 26 and US 16. &#10;EIU Business Environment 2024 rankings shows the following indicators: Private enterprise⁶: Australia 5; China 46; India 42; Japan 20; Korea 26; Norway 12; Singapore 8; UK 10 and US 1. Macroeconomic environment⁷: Australia 5; China 32; India 36; Japan 42; Korea 13; Norway 2; Singapore 9; UK 39 and US 43. &#10;Fund for Peace (2024) Fragile States Index 2023 rankings shows the following indicators: Human flight and brain drain⁸: Australia 1; China 33; India 72; Japan 26; Korea 36; Norway 3; Singapore 9; UK 21 and US 1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50002" name="Picture 1" descr="The table shows the rankings of indicators by region, as follows:&#10;IMD World Competitiveness Yearbook 2024 rankings shows the following indicators: Country credit rating¹: Australia 1; China 27; India 53; Japan 30; Korea 17; Norway 1; Singapore 1; UK 22 and US 12. Environmental agreements²: Australia 1; China 7; India 51; Japan 34; Korea 59; Norway 40; Singapore 38; UK 11 and US 55. Income distribution³: Australia 2; China 9; India 23; Japan na; Korea 29; Norway 38; Singapore na; UK 54 and US 55. Agricultural productivity: Australia 5; China 59; India 58; Japan 45; Korea 43; Norway 9; Singapore 63; UK 7 and US 14. Financial card transactions⁴: Australia 5; China 18; India 60; Japan 31; Korea 16; Norway 11; Singapore 6; UK 9 and US 2. Number of days to start a business: Australia 5; China 32; India 53; Japan 38; Korea 27; Norway 9; Singapore 2; UK 15 and US 9. Tariff barriers: Australia 6; China 46; India 62; Japan 43; Korea 60; Norway 52; Singapore 1; UK 5 and US 37. Enforcing contracts⁵: Australia 6; China 5; India 63; Japan 35; Korea 2; Norway 3; Singapore 1; UK 26 and US 16. &#10;EIU Business Environment 2024 rankings shows the following indicators: Private enterprise⁶: Australia 5; China 46; India 42; Japan 20; Korea 26; Norway 12; Singapore 8; UK 10 and US 1. Macroeconomic environment⁷: Australia 5; China 32; India 36; Japan 42; Korea 13; Norway 2; Singapore 9; UK 39 and US 43. &#10;Fund for Peace (2024) Fragile States Index 2023 rankings shows the following indicators: Human flight and brain drain⁸: Australia 1; China 33; India 72; Japan 26; Korea 36; Norway 3; Singapore 9; UK 21 and US 14. &#1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120000" cy="4068346"/>
                    </a:xfrm>
                    <a:prstGeom prst="rect">
                      <a:avLst/>
                    </a:prstGeom>
                    <a:noFill/>
                    <a:ln>
                      <a:noFill/>
                    </a:ln>
                  </pic:spPr>
                </pic:pic>
              </a:graphicData>
            </a:graphic>
          </wp:inline>
        </w:drawing>
      </w:r>
    </w:p>
    <w:p w14:paraId="745E04B9" w14:textId="77777777" w:rsidR="005C0C76" w:rsidRPr="002322B7" w:rsidRDefault="005C0C76" w:rsidP="005C0C76">
      <w:pPr>
        <w:pStyle w:val="Sourcesandnotes"/>
      </w:pPr>
      <w:r w:rsidRPr="002322B7">
        <w:rPr>
          <w:b/>
          <w:bCs/>
        </w:rPr>
        <w:t>Notes: 1.</w:t>
      </w:r>
      <w:r w:rsidRPr="002322B7">
        <w:t xml:space="preserve"> This index is based on credit ratings from Fitch, Moody’s and S&amp;P. </w:t>
      </w:r>
      <w:r w:rsidRPr="002322B7">
        <w:rPr>
          <w:b/>
          <w:bCs/>
        </w:rPr>
        <w:t>2.</w:t>
      </w:r>
      <w:r w:rsidRPr="002322B7">
        <w:t xml:space="preserve"> Based on the number of international multilateral environmental agreements that have been met. </w:t>
      </w:r>
      <w:r w:rsidRPr="002322B7">
        <w:rPr>
          <w:b/>
          <w:bCs/>
        </w:rPr>
        <w:t>3.</w:t>
      </w:r>
      <w:r w:rsidRPr="002322B7">
        <w:t xml:space="preserve"> The percentage of income held by the bottom 10% of income earners. A higher percentage indicates a more equitable distribution. </w:t>
      </w:r>
      <w:r w:rsidRPr="002322B7">
        <w:rPr>
          <w:b/>
          <w:bCs/>
        </w:rPr>
        <w:t xml:space="preserve">4. </w:t>
      </w:r>
      <w:r w:rsidRPr="002322B7">
        <w:t xml:space="preserve">Financial card transactions, US dollars per capita. </w:t>
      </w:r>
      <w:r>
        <w:rPr>
          <w:b/>
          <w:bCs/>
        </w:rPr>
        <w:t>5</w:t>
      </w:r>
      <w:r w:rsidRPr="002322B7">
        <w:rPr>
          <w:b/>
          <w:bCs/>
        </w:rPr>
        <w:t>.</w:t>
      </w:r>
      <w:r w:rsidRPr="002322B7">
        <w:t xml:space="preserve"> Time and cost of a commercial dispute and the quality of judicial processes. </w:t>
      </w:r>
      <w:r>
        <w:rPr>
          <w:b/>
          <w:bCs/>
        </w:rPr>
        <w:t>6</w:t>
      </w:r>
      <w:r w:rsidRPr="002322B7">
        <w:rPr>
          <w:b/>
          <w:bCs/>
        </w:rPr>
        <w:t>.</w:t>
      </w:r>
      <w:r w:rsidRPr="002322B7">
        <w:t xml:space="preserve"> Policy towards private enterprise measures protection of property rights and government attitudes to competition. </w:t>
      </w:r>
      <w:r>
        <w:rPr>
          <w:b/>
          <w:bCs/>
        </w:rPr>
        <w:t>7</w:t>
      </w:r>
      <w:r w:rsidRPr="002322B7">
        <w:rPr>
          <w:b/>
          <w:bCs/>
        </w:rPr>
        <w:t>.</w:t>
      </w:r>
      <w:r w:rsidRPr="002322B7">
        <w:t xml:space="preserve"> The macroeconomic environment index is a measure designed to assess the macroeconomic stability of a country. This index takes into account various economic indicators that reflect the health and stability of an economy. </w:t>
      </w:r>
      <w:r>
        <w:rPr>
          <w:b/>
          <w:bCs/>
        </w:rPr>
        <w:t>8</w:t>
      </w:r>
      <w:r w:rsidRPr="002322B7">
        <w:rPr>
          <w:b/>
          <w:bCs/>
        </w:rPr>
        <w:t>.</w:t>
      </w:r>
      <w:r w:rsidRPr="002322B7">
        <w:t xml:space="preserve"> The Human Flight and Brain Drain index evaluates the economic impact of the emigration of productive, skilled individuals due to economic deterioration or political persecution in their home country.</w:t>
      </w:r>
    </w:p>
    <w:p w14:paraId="309F77CA" w14:textId="55E834AD" w:rsidR="005C0C76" w:rsidRPr="002322B7" w:rsidRDefault="005C0C76" w:rsidP="005C0C76">
      <w:pPr>
        <w:pStyle w:val="Sourcesandnotes"/>
      </w:pPr>
      <w:r w:rsidRPr="002322B7">
        <w:rPr>
          <w:b/>
          <w:bCs/>
        </w:rPr>
        <w:t>Sources:</w:t>
      </w:r>
      <w:r w:rsidRPr="002322B7">
        <w:t xml:space="preserve"> Institute for Management Development, 2024, World competitiveness yearbook 202</w:t>
      </w:r>
      <w:r>
        <w:t>4</w:t>
      </w:r>
      <w:r w:rsidRPr="002322B7">
        <w:t>; Economist Intelligence Unit, 2024, EIU overall business environment rating; Fund for Peace, 2024, Fragile States Index 2023; Austrade.</w:t>
      </w:r>
    </w:p>
    <w:p w14:paraId="5313A694" w14:textId="77777777" w:rsidR="00FD7AB4" w:rsidRPr="002322B7" w:rsidRDefault="00FD7AB4" w:rsidP="00FD7AB4">
      <w:pPr>
        <w:pStyle w:val="Heading-level2"/>
      </w:pPr>
      <w:bookmarkStart w:id="23" w:name="_Toc165471166"/>
      <w:bookmarkStart w:id="24" w:name="_Toc178256551"/>
      <w:r w:rsidRPr="002322B7">
        <w:lastRenderedPageBreak/>
        <w:t>A strong and dynamic financial system</w:t>
      </w:r>
      <w:bookmarkEnd w:id="23"/>
      <w:bookmarkEnd w:id="24"/>
    </w:p>
    <w:p w14:paraId="33EA663D" w14:textId="76A3AB4F" w:rsidR="00FD7AB4" w:rsidRPr="002322B7" w:rsidRDefault="00FD7AB4" w:rsidP="003F1867">
      <w:pPr>
        <w:pStyle w:val="Body-copy"/>
        <w:rPr>
          <w:lang w:val="en-AU"/>
        </w:rPr>
      </w:pPr>
      <w:r w:rsidRPr="4FEBF9DC">
        <w:rPr>
          <w:lang w:val="en-AU"/>
        </w:rPr>
        <w:t>Australia’s financial system combines innovation and rock-solid foundations. Our financial institutions currently manage around US$8 trillion in assets</w:t>
      </w:r>
      <w:r w:rsidR="00F644DC" w:rsidRPr="4FEBF9DC">
        <w:rPr>
          <w:lang w:val="en-AU"/>
        </w:rPr>
        <w:t xml:space="preserve"> and t</w:t>
      </w:r>
      <w:r w:rsidR="00231C39" w:rsidRPr="4FEBF9DC">
        <w:rPr>
          <w:lang w:val="en-AU"/>
        </w:rPr>
        <w:t>he</w:t>
      </w:r>
      <w:r w:rsidRPr="4FEBF9DC">
        <w:rPr>
          <w:lang w:val="en-AU"/>
        </w:rPr>
        <w:t xml:space="preserve"> Australian dollar </w:t>
      </w:r>
      <w:r w:rsidR="00D56618" w:rsidRPr="4FEBF9DC">
        <w:rPr>
          <w:lang w:val="en-AU"/>
        </w:rPr>
        <w:t>is</w:t>
      </w:r>
      <w:r w:rsidRPr="4FEBF9DC">
        <w:rPr>
          <w:lang w:val="en-AU"/>
        </w:rPr>
        <w:t xml:space="preserve"> the </w:t>
      </w:r>
      <w:r w:rsidR="000446BF" w:rsidRPr="4FEBF9DC">
        <w:rPr>
          <w:lang w:val="en-AU"/>
        </w:rPr>
        <w:t>6</w:t>
      </w:r>
      <w:r w:rsidR="000446BF" w:rsidRPr="4FEBF9DC">
        <w:rPr>
          <w:vertAlign w:val="superscript"/>
          <w:lang w:val="en-AU"/>
        </w:rPr>
        <w:t>th</w:t>
      </w:r>
      <w:r w:rsidRPr="4FEBF9DC">
        <w:rPr>
          <w:lang w:val="en-AU"/>
        </w:rPr>
        <w:t>-most traded currency in the world</w:t>
      </w:r>
      <w:r w:rsidR="00D56618" w:rsidRPr="4FEBF9DC">
        <w:rPr>
          <w:lang w:val="en-AU"/>
        </w:rPr>
        <w:t>. Our</w:t>
      </w:r>
      <w:r w:rsidRPr="4FEBF9DC">
        <w:rPr>
          <w:lang w:val="en-AU"/>
        </w:rPr>
        <w:t xml:space="preserve"> </w:t>
      </w:r>
      <w:r w:rsidR="004D3047" w:rsidRPr="4FEBF9DC">
        <w:rPr>
          <w:lang w:val="en-AU"/>
        </w:rPr>
        <w:t xml:space="preserve">impressive </w:t>
      </w:r>
      <w:r w:rsidRPr="4FEBF9DC">
        <w:rPr>
          <w:lang w:val="en-AU"/>
        </w:rPr>
        <w:t xml:space="preserve">repayments culture </w:t>
      </w:r>
      <w:r w:rsidR="004D3047" w:rsidRPr="4FEBF9DC">
        <w:rPr>
          <w:lang w:val="en-AU"/>
        </w:rPr>
        <w:t>boasts</w:t>
      </w:r>
      <w:r w:rsidRPr="4FEBF9DC">
        <w:rPr>
          <w:lang w:val="en-AU"/>
        </w:rPr>
        <w:t xml:space="preserve"> a 99.3% on-time loan repayment rate</w:t>
      </w:r>
      <w:r w:rsidR="003E42D9" w:rsidRPr="4FEBF9DC">
        <w:rPr>
          <w:lang w:val="en-AU"/>
        </w:rPr>
        <w:t>, which outperforms the</w:t>
      </w:r>
      <w:r w:rsidRPr="4FEBF9DC">
        <w:rPr>
          <w:lang w:val="en-AU"/>
        </w:rPr>
        <w:t xml:space="preserve"> average of 94.8% amongst major advanced economies. </w:t>
      </w:r>
    </w:p>
    <w:p w14:paraId="42611045" w14:textId="0862E794" w:rsidR="00FD7AB4" w:rsidRDefault="00FD7AB4" w:rsidP="00FD7AB4">
      <w:pPr>
        <w:pStyle w:val="Caption"/>
      </w:pPr>
      <w:bookmarkStart w:id="25" w:name="_Toc165471217"/>
      <w:bookmarkStart w:id="26" w:name="_Toc178256505"/>
      <w:r w:rsidRPr="002322B7">
        <w:t xml:space="preserve">Figure </w:t>
      </w:r>
      <w:r w:rsidR="00CF16FA">
        <w:fldChar w:fldCharType="begin"/>
      </w:r>
      <w:r w:rsidR="00CF16FA">
        <w:instrText xml:space="preserve"> SEQ Figure \* ARABIC </w:instrText>
      </w:r>
      <w:r w:rsidR="00CF16FA">
        <w:fldChar w:fldCharType="separate"/>
      </w:r>
      <w:r w:rsidR="002459CF">
        <w:rPr>
          <w:noProof/>
        </w:rPr>
        <w:t>6</w:t>
      </w:r>
      <w:r w:rsidR="00CF16FA">
        <w:rPr>
          <w:noProof/>
        </w:rPr>
        <w:fldChar w:fldCharType="end"/>
      </w:r>
      <w:r w:rsidRPr="002322B7">
        <w:t xml:space="preserve"> – Global significance of Australia’s financial markets</w:t>
      </w:r>
      <w:bookmarkEnd w:id="25"/>
      <w:bookmarkEnd w:id="26"/>
    </w:p>
    <w:p w14:paraId="1AFBB24C" w14:textId="3D84293B" w:rsidR="002166D6" w:rsidRDefault="00F556D5" w:rsidP="002166D6">
      <w:r>
        <w:rPr>
          <w:noProof/>
        </w:rPr>
        <w:drawing>
          <wp:inline distT="0" distB="0" distL="0" distR="0" wp14:anchorId="122E935B" wp14:editId="60EFE722">
            <wp:extent cx="6336030" cy="3905885"/>
            <wp:effectExtent l="0" t="0" r="7620" b="0"/>
            <wp:docPr id="1778640248" name="Picture 16" descr="The infographic shows the following information:&#10;US$8.0 trillion1&#10;Assets of Australian &#10;financial institutions*&#10;Four times Australia’s nominal GDP&#10;*December 2023&#10;US$2.4 trillion2,3&#10;Fund assets under management*&#10;6th-largest in the world&#10;2nd-largest in the Asia-Oceania region&#10;*September 2023&#10;94% cashless payments 4&#10;Point of sale*&#10;2nd-largest in the world&#10;*2022&#10;US$2.4 trillion5&#10;Pension assets*&#10;5th-largest in the world &#10;4th-largest in the world as a percentage of GDP&#10;*2023&#10;US$479 billion6&#10;Daily foreign exchange trade using Australian dollar across 52 countries&#10;6th-most traded currency in the world&#10;&#10;99.3% performing loans⁷&#10;Of all deposit-taking institutions*&#10;9th-highest in the world&#10;3rd-highest in the Asia-Oceania region&#10;*First quarter,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40248" name="Picture 16" descr="The infographic shows the following information:&#10;US$8.0 trillion1&#10;Assets of Australian &#10;financial institutions*&#10;Four times Australia’s nominal GDP&#10;*December 2023&#10;US$2.4 trillion2,3&#10;Fund assets under management*&#10;6th-largest in the world&#10;2nd-largest in the Asia-Oceania region&#10;*September 2023&#10;94% cashless payments 4&#10;Point of sale*&#10;2nd-largest in the world&#10;*2022&#10;US$2.4 trillion5&#10;Pension assets*&#10;5th-largest in the world &#10;4th-largest in the world as a percentage of GDP&#10;*2023&#10;US$479 billion6&#10;Daily foreign exchange trade using Australian dollar across 52 countries&#10;6th-most traded currency in the world&#10;&#10;99.3% performing loans⁷&#10;Of all deposit-taking institutions*&#10;9th-highest in the world&#10;3rd-highest in the Asia-Oceania region&#10;*First quarter, 2023&#10;"/>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6336030" cy="3905885"/>
                    </a:xfrm>
                    <a:prstGeom prst="rect">
                      <a:avLst/>
                    </a:prstGeom>
                    <a:ln>
                      <a:noFill/>
                    </a:ln>
                    <a:extLst>
                      <a:ext uri="{53640926-AAD7-44D8-BBD7-CCE9431645EC}">
                        <a14:shadowObscured xmlns:a14="http://schemas.microsoft.com/office/drawing/2010/main"/>
                      </a:ext>
                    </a:extLst>
                  </pic:spPr>
                </pic:pic>
              </a:graphicData>
            </a:graphic>
          </wp:inline>
        </w:drawing>
      </w:r>
    </w:p>
    <w:p w14:paraId="1B908CA5" w14:textId="77777777" w:rsidR="00FD7AB4" w:rsidRPr="002322B7" w:rsidRDefault="00FD7AB4" w:rsidP="00FD7AB4">
      <w:pPr>
        <w:pStyle w:val="Sourcesandnotes"/>
      </w:pPr>
      <w:r w:rsidRPr="002322B7">
        <w:rPr>
          <w:b/>
          <w:bCs/>
        </w:rPr>
        <w:t>Notes: 2.</w:t>
      </w:r>
      <w:r w:rsidRPr="002322B7">
        <w:t xml:space="preserve"> For international comparison, the Investment Company Institute excludes funds of funds. </w:t>
      </w:r>
      <w:r w:rsidRPr="002322B7">
        <w:rPr>
          <w:b/>
          <w:bCs/>
        </w:rPr>
        <w:t>4.</w:t>
      </w:r>
      <w:r w:rsidRPr="002322B7">
        <w:t xml:space="preserve"> All person-to-business transactions that occur at the physical point of sale. This includes traditional in-store transactions as well as all face-to-face transactions, regardless of where they take place. </w:t>
      </w:r>
    </w:p>
    <w:p w14:paraId="13705329" w14:textId="185393A6" w:rsidR="00FD7AB4" w:rsidRPr="002322B7" w:rsidRDefault="00FD7AB4" w:rsidP="00FD7AB4">
      <w:pPr>
        <w:pStyle w:val="Sourcesandnotes"/>
      </w:pPr>
      <w:r w:rsidRPr="002322B7">
        <w:rPr>
          <w:b/>
          <w:bCs/>
        </w:rPr>
        <w:t>Sources: 1.</w:t>
      </w:r>
      <w:r w:rsidRPr="002322B7">
        <w:t xml:space="preserve"> Reserve Bank of Australia (RBA), 2024, Assets of financial institutions; Australian Bureau of Statistics (ABS), 2024, Managed funds; Australian Prudential Regulation Authority, 2024, Quarterly general insurance performance statistics; ABS, 2024, Assets and Liabilities of Australian Securities; ABS, 2024, Australian </w:t>
      </w:r>
      <w:r w:rsidR="00EC1941" w:rsidRPr="002322B7">
        <w:t>N</w:t>
      </w:r>
      <w:r w:rsidRPr="002322B7">
        <w:t xml:space="preserve">ational </w:t>
      </w:r>
      <w:r w:rsidR="00EC1941" w:rsidRPr="002322B7">
        <w:t>A</w:t>
      </w:r>
      <w:r w:rsidRPr="002322B7">
        <w:t xml:space="preserve">ccounts: national income, expenditure and product; RBA, 2024, Foreign exchange rates, accessed via Macrobond in March 2024. </w:t>
      </w:r>
      <w:r w:rsidRPr="002322B7">
        <w:rPr>
          <w:b/>
          <w:bCs/>
        </w:rPr>
        <w:t>3. </w:t>
      </w:r>
      <w:r w:rsidRPr="002322B7">
        <w:t xml:space="preserve">Investment Company Institute, 2024, Worldwide market data. </w:t>
      </w:r>
      <w:r w:rsidRPr="002322B7">
        <w:rPr>
          <w:b/>
          <w:bCs/>
        </w:rPr>
        <w:t>5.</w:t>
      </w:r>
      <w:r w:rsidRPr="002322B7">
        <w:t xml:space="preserve"> Worldpay from FIS, 2024, The Global Payments Report 2023; accessed on 13 March 2024. </w:t>
      </w:r>
      <w:r w:rsidRPr="002322B7">
        <w:rPr>
          <w:b/>
          <w:bCs/>
        </w:rPr>
        <w:t>6.</w:t>
      </w:r>
      <w:r w:rsidRPr="002322B7">
        <w:t xml:space="preserve"> Thinking Ahead Institute, 2022, Global pension assets study. </w:t>
      </w:r>
      <w:r w:rsidRPr="002322B7">
        <w:rPr>
          <w:b/>
          <w:bCs/>
        </w:rPr>
        <w:t>7. </w:t>
      </w:r>
      <w:r w:rsidRPr="002322B7">
        <w:t>International Monetary Fund, 2024, Financial Soundness Indicators, accessed 18 March 2024; Austrade.</w:t>
      </w:r>
    </w:p>
    <w:p w14:paraId="57330EBB" w14:textId="77777777" w:rsidR="00FD7AB4" w:rsidRPr="002322B7" w:rsidRDefault="00FD7AB4" w:rsidP="00FD7AB4"/>
    <w:p w14:paraId="28805BAD" w14:textId="77777777" w:rsidR="00FD7AB4" w:rsidRPr="002322B7" w:rsidRDefault="00FD7AB4" w:rsidP="00C72E6D">
      <w:pPr>
        <w:pStyle w:val="Sourcesandnotes"/>
        <w:tabs>
          <w:tab w:val="right" w:pos="9978"/>
        </w:tabs>
      </w:pPr>
    </w:p>
    <w:p w14:paraId="58A1993C" w14:textId="104B6AC9" w:rsidR="00FD7AB4" w:rsidRPr="002322B7" w:rsidRDefault="00FD7AB4" w:rsidP="00FD7AB4">
      <w:pPr>
        <w:pStyle w:val="Heading-level2"/>
      </w:pPr>
      <w:bookmarkStart w:id="27" w:name="_Toc165471168"/>
      <w:bookmarkStart w:id="28" w:name="_Toc178256552"/>
      <w:r>
        <w:lastRenderedPageBreak/>
        <w:t>The world’s 5</w:t>
      </w:r>
      <w:r w:rsidRPr="4FEBF9DC">
        <w:rPr>
          <w:vertAlign w:val="superscript"/>
        </w:rPr>
        <w:t>th</w:t>
      </w:r>
      <w:r>
        <w:t>-most-valuable pension system</w:t>
      </w:r>
      <w:bookmarkEnd w:id="27"/>
      <w:bookmarkEnd w:id="28"/>
    </w:p>
    <w:p w14:paraId="4A80667E" w14:textId="4881528B" w:rsidR="00FD7AB4" w:rsidRPr="002322B7" w:rsidRDefault="00FD7AB4" w:rsidP="003F1867">
      <w:pPr>
        <w:pStyle w:val="Body-copy"/>
        <w:rPr>
          <w:lang w:val="en-AU"/>
        </w:rPr>
      </w:pPr>
      <w:r w:rsidRPr="4FEBF9DC">
        <w:rPr>
          <w:lang w:val="en-AU"/>
        </w:rPr>
        <w:t>Australia’s system of compulsory superannuation has helped create the world’s 5</w:t>
      </w:r>
      <w:r w:rsidRPr="4FEBF9DC">
        <w:rPr>
          <w:vertAlign w:val="superscript"/>
          <w:lang w:val="en-AU"/>
        </w:rPr>
        <w:t>th</w:t>
      </w:r>
      <w:r w:rsidRPr="4FEBF9DC">
        <w:rPr>
          <w:lang w:val="en-AU"/>
        </w:rPr>
        <w:t>-largest pension market</w:t>
      </w:r>
      <w:r w:rsidR="00F6433C" w:rsidRPr="4FEBF9DC">
        <w:rPr>
          <w:lang w:val="en-AU"/>
        </w:rPr>
        <w:t>,</w:t>
      </w:r>
      <w:r w:rsidR="00B4269A" w:rsidRPr="4FEBF9DC">
        <w:rPr>
          <w:lang w:val="en-AU"/>
        </w:rPr>
        <w:t xml:space="preserve"> </w:t>
      </w:r>
      <w:r w:rsidRPr="4FEBF9DC">
        <w:rPr>
          <w:lang w:val="en-AU"/>
        </w:rPr>
        <w:t xml:space="preserve">worth A$3.7 trillion (US$2.4 trillion) in 2023. Australian pension funds </w:t>
      </w:r>
      <w:r w:rsidR="00715594" w:rsidRPr="4FEBF9DC">
        <w:rPr>
          <w:lang w:val="en-AU"/>
        </w:rPr>
        <w:t xml:space="preserve">have </w:t>
      </w:r>
      <w:r w:rsidR="00193B85" w:rsidRPr="4FEBF9DC">
        <w:rPr>
          <w:lang w:val="en-AU"/>
        </w:rPr>
        <w:t>record</w:t>
      </w:r>
      <w:r w:rsidR="00715594" w:rsidRPr="4FEBF9DC">
        <w:rPr>
          <w:lang w:val="en-AU"/>
        </w:rPr>
        <w:t>ed</w:t>
      </w:r>
      <w:r w:rsidR="00193B85" w:rsidRPr="4FEBF9DC">
        <w:rPr>
          <w:lang w:val="en-AU"/>
        </w:rPr>
        <w:t xml:space="preserve"> strong growth </w:t>
      </w:r>
      <w:r w:rsidR="00715594" w:rsidRPr="4FEBF9DC">
        <w:rPr>
          <w:lang w:val="en-AU"/>
        </w:rPr>
        <w:t xml:space="preserve">of 9.2% per year over the last two decades </w:t>
      </w:r>
      <w:r w:rsidR="00193B85" w:rsidRPr="4FEBF9DC">
        <w:rPr>
          <w:lang w:val="en-AU"/>
        </w:rPr>
        <w:t>with a</w:t>
      </w:r>
      <w:r w:rsidRPr="4FEBF9DC">
        <w:rPr>
          <w:lang w:val="en-AU"/>
        </w:rPr>
        <w:t>ssets r</w:t>
      </w:r>
      <w:r w:rsidR="00193B85" w:rsidRPr="4FEBF9DC">
        <w:rPr>
          <w:lang w:val="en-AU"/>
        </w:rPr>
        <w:t>ising</w:t>
      </w:r>
      <w:r w:rsidRPr="4FEBF9DC">
        <w:rPr>
          <w:lang w:val="en-AU"/>
        </w:rPr>
        <w:t xml:space="preserve"> to </w:t>
      </w:r>
      <w:r w:rsidR="00CD44BA" w:rsidRPr="4FEBF9DC">
        <w:rPr>
          <w:lang w:val="en-AU"/>
        </w:rPr>
        <w:t xml:space="preserve">the equivalent of </w:t>
      </w:r>
      <w:r w:rsidRPr="4FEBF9DC">
        <w:rPr>
          <w:lang w:val="en-AU"/>
        </w:rPr>
        <w:t>145% of GDP in 2023</w:t>
      </w:r>
      <w:r w:rsidR="00A360DC" w:rsidRPr="4FEBF9DC">
        <w:rPr>
          <w:lang w:val="en-AU"/>
        </w:rPr>
        <w:t xml:space="preserve">. This marks an increase from </w:t>
      </w:r>
      <w:r w:rsidRPr="4FEBF9DC">
        <w:rPr>
          <w:lang w:val="en-AU"/>
        </w:rPr>
        <w:t xml:space="preserve">78% </w:t>
      </w:r>
      <w:r w:rsidR="00A360DC" w:rsidRPr="4FEBF9DC">
        <w:rPr>
          <w:lang w:val="en-AU"/>
        </w:rPr>
        <w:t>in</w:t>
      </w:r>
      <w:r w:rsidRPr="4FEBF9DC">
        <w:rPr>
          <w:lang w:val="en-AU"/>
        </w:rPr>
        <w:t xml:space="preserve"> 2003. </w:t>
      </w:r>
      <w:r w:rsidR="003E3E6A" w:rsidRPr="4FEBF9DC">
        <w:rPr>
          <w:lang w:val="en-AU"/>
        </w:rPr>
        <w:t xml:space="preserve">In addition to </w:t>
      </w:r>
      <w:r w:rsidRPr="4FEBF9DC">
        <w:rPr>
          <w:lang w:val="en-AU"/>
        </w:rPr>
        <w:t xml:space="preserve">the vitality of Australia’s </w:t>
      </w:r>
      <w:r w:rsidR="000F2D83" w:rsidRPr="4FEBF9DC">
        <w:rPr>
          <w:lang w:val="en-AU"/>
        </w:rPr>
        <w:t xml:space="preserve">rapidly growing </w:t>
      </w:r>
      <w:r w:rsidRPr="4FEBF9DC">
        <w:rPr>
          <w:lang w:val="en-AU"/>
        </w:rPr>
        <w:t>pension system</w:t>
      </w:r>
      <w:r w:rsidR="00F101B9" w:rsidRPr="4FEBF9DC">
        <w:rPr>
          <w:lang w:val="en-AU"/>
        </w:rPr>
        <w:t>, our s</w:t>
      </w:r>
      <w:r w:rsidRPr="4FEBF9DC">
        <w:rPr>
          <w:lang w:val="en-AU"/>
        </w:rPr>
        <w:t>uperannuation is a major driver of the country’s fast-expanding managed funds industry.</w:t>
      </w:r>
    </w:p>
    <w:p w14:paraId="3AE8C57E" w14:textId="47541223" w:rsidR="00FD7AB4" w:rsidRDefault="00FD7AB4" w:rsidP="00FD7AB4">
      <w:pPr>
        <w:pStyle w:val="Caption"/>
      </w:pPr>
      <w:bookmarkStart w:id="29" w:name="_Toc165471219"/>
      <w:bookmarkStart w:id="30" w:name="_Toc178256506"/>
      <w:r w:rsidRPr="002322B7">
        <w:t xml:space="preserve">Figure </w:t>
      </w:r>
      <w:r w:rsidR="00CF16FA">
        <w:fldChar w:fldCharType="begin"/>
      </w:r>
      <w:r w:rsidR="00CF16FA">
        <w:instrText xml:space="preserve"> SEQ Figure \* ARABIC </w:instrText>
      </w:r>
      <w:r w:rsidR="00CF16FA">
        <w:fldChar w:fldCharType="separate"/>
      </w:r>
      <w:r w:rsidR="002459CF">
        <w:rPr>
          <w:noProof/>
        </w:rPr>
        <w:t>7</w:t>
      </w:r>
      <w:r w:rsidR="00CF16FA">
        <w:rPr>
          <w:noProof/>
        </w:rPr>
        <w:fldChar w:fldCharType="end"/>
      </w:r>
      <w:r w:rsidRPr="002322B7">
        <w:t xml:space="preserve"> – Global pension fund assets, 2023</w:t>
      </w:r>
      <w:bookmarkEnd w:id="29"/>
      <w:bookmarkEnd w:id="30"/>
    </w:p>
    <w:p w14:paraId="0F05956C" w14:textId="0E9FB177" w:rsidR="00CB267B" w:rsidRPr="00CB267B" w:rsidRDefault="007A300D" w:rsidP="00CB267B">
      <w:r>
        <w:rPr>
          <w:noProof/>
        </w:rPr>
        <w:drawing>
          <wp:inline distT="0" distB="0" distL="0" distR="0" wp14:anchorId="1F67D2DC" wp14:editId="3CE965B7">
            <wp:extent cx="6336030" cy="4227830"/>
            <wp:effectExtent l="0" t="0" r="7620" b="1270"/>
            <wp:docPr id="1737834280" name="Picture 17" descr="The graph shows the pension assets as a percentage of GDP by region. The average across the 22 markets was 69% of their GDP. The data presented is: Netherlands 159.0%; Switzerland⁵ 150.3%; Canada 146.6%; Australia 145.0%; US⁶ 132.1%; UK 96.2%; Finland 93.0%; Japan⁷ 80.0%; Korea 64.5%; Malaysia 64.5%; South Africa 63.7%; Chile 57.8%; Hong Kong SAR 56.0%; Ireland 29.2%; Mexico 21.0%; Germany⁸ 13.5%; Brazil⁹ 12.8%; Italy 11.1%; India 6.5%; France 5.1%; Spain 2.7%; and China¹⁰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34280" name="Picture 17" descr="The graph shows the pension assets as a percentage of GDP by region. The average across the 22 markets was 69% of their GDP. The data presented is: Netherlands 159.0%; Switzerland⁵ 150.3%; Canada 146.6%; Australia 145.0%; US⁶ 132.1%; UK 96.2%; Finland 93.0%; Japan⁷ 80.0%; Korea 64.5%; Malaysia 64.5%; South Africa 63.7%; Chile 57.8%; Hong Kong SAR 56.0%; Ireland 29.2%; Mexico 21.0%; Germany⁸ 13.5%; Brazil⁹ 12.8%; Italy 11.1%; India 6.5%; France 5.1%; Spain 2.7%; and China¹⁰ 2.4%. "/>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6336030" cy="4227830"/>
                    </a:xfrm>
                    <a:prstGeom prst="rect">
                      <a:avLst/>
                    </a:prstGeom>
                    <a:ln>
                      <a:noFill/>
                    </a:ln>
                    <a:extLst>
                      <a:ext uri="{53640926-AAD7-44D8-BBD7-CCE9431645EC}">
                        <a14:shadowObscured xmlns:a14="http://schemas.microsoft.com/office/drawing/2010/main"/>
                      </a:ext>
                    </a:extLst>
                  </pic:spPr>
                </pic:pic>
              </a:graphicData>
            </a:graphic>
          </wp:inline>
        </w:drawing>
      </w:r>
    </w:p>
    <w:p w14:paraId="3F760228" w14:textId="6CFBB28C" w:rsidR="00FD7AB4" w:rsidRPr="002322B7" w:rsidRDefault="00FD7AB4" w:rsidP="00FD7AB4">
      <w:pPr>
        <w:pStyle w:val="Sourcesandnotes"/>
      </w:pPr>
      <w:r w:rsidRPr="002322B7">
        <w:rPr>
          <w:b/>
          <w:bCs/>
        </w:rPr>
        <w:t xml:space="preserve">Notes: </w:t>
      </w:r>
      <w:r w:rsidRPr="002322B7">
        <w:t xml:space="preserve"> </w:t>
      </w:r>
      <w:r w:rsidRPr="002322B7">
        <w:rPr>
          <w:b/>
          <w:bCs/>
        </w:rPr>
        <w:t>1.</w:t>
      </w:r>
      <w:r w:rsidRPr="002322B7">
        <w:t xml:space="preserve"> The assets/GDP ratio for individual markets is calculated in local currency terms, and the total assets/GDP ratio is calculated in US dollars. </w:t>
      </w:r>
      <w:r w:rsidRPr="002322B7">
        <w:rPr>
          <w:b/>
          <w:bCs/>
        </w:rPr>
        <w:t>2.</w:t>
      </w:r>
      <w:r w:rsidRPr="002322B7">
        <w:t xml:space="preserve"> Thinking Ahead Institute analysed 22 economies. </w:t>
      </w:r>
      <w:r w:rsidRPr="002322B7">
        <w:rPr>
          <w:b/>
          <w:bCs/>
        </w:rPr>
        <w:t>3.</w:t>
      </w:r>
      <w:r w:rsidRPr="002322B7">
        <w:t xml:space="preserve"> CAGR = compound annual growth rate. </w:t>
      </w:r>
      <w:r w:rsidRPr="002322B7">
        <w:rPr>
          <w:b/>
          <w:bCs/>
        </w:rPr>
        <w:t>4.</w:t>
      </w:r>
      <w:r w:rsidRPr="002322B7">
        <w:t xml:space="preserve"> na = not available for publication. </w:t>
      </w:r>
      <w:r w:rsidRPr="002322B7">
        <w:rPr>
          <w:b/>
          <w:bCs/>
        </w:rPr>
        <w:t>5.</w:t>
      </w:r>
      <w:r w:rsidRPr="002322B7">
        <w:t xml:space="preserve"> Only includes autonomous pension funds. It does not consider insurance companies assets. </w:t>
      </w:r>
      <w:r w:rsidRPr="002322B7">
        <w:rPr>
          <w:b/>
          <w:bCs/>
        </w:rPr>
        <w:t>6.</w:t>
      </w:r>
      <w:r w:rsidRPr="002322B7">
        <w:t xml:space="preserve"> Includes Individual Retirement Accounts (IRAs). </w:t>
      </w:r>
      <w:r w:rsidRPr="002322B7">
        <w:rPr>
          <w:b/>
          <w:bCs/>
        </w:rPr>
        <w:t>7.</w:t>
      </w:r>
      <w:r w:rsidRPr="002322B7">
        <w:t xml:space="preserve"> Does not include the unfunded benefit obligation of corporate pension plans (account receivables).  </w:t>
      </w:r>
      <w:r w:rsidRPr="002322B7">
        <w:rPr>
          <w:b/>
          <w:bCs/>
        </w:rPr>
        <w:t>8.</w:t>
      </w:r>
      <w:r w:rsidRPr="002322B7">
        <w:t xml:space="preserve"> Only includes pension assets for company pension schemes. </w:t>
      </w:r>
      <w:r w:rsidRPr="002322B7">
        <w:rPr>
          <w:b/>
          <w:bCs/>
        </w:rPr>
        <w:t xml:space="preserve">9. </w:t>
      </w:r>
      <w:r w:rsidRPr="002322B7">
        <w:t xml:space="preserve">Only includes pension assets from closed entities.  </w:t>
      </w:r>
      <w:r w:rsidRPr="002322B7">
        <w:rPr>
          <w:b/>
          <w:bCs/>
        </w:rPr>
        <w:t xml:space="preserve">10. </w:t>
      </w:r>
      <w:r w:rsidRPr="002322B7">
        <w:t xml:space="preserve">Only includes Enterprise Annuity assets. </w:t>
      </w:r>
    </w:p>
    <w:p w14:paraId="2D3D9884" w14:textId="4A194E46" w:rsidR="00FD7AB4" w:rsidRDefault="00FD7AB4" w:rsidP="00FD7AB4">
      <w:pPr>
        <w:pStyle w:val="Sourcesandnotes"/>
        <w:rPr>
          <w:b/>
          <w:bCs/>
        </w:rPr>
      </w:pPr>
      <w:r w:rsidRPr="002322B7">
        <w:rPr>
          <w:b/>
          <w:bCs/>
        </w:rPr>
        <w:t>Sources:</w:t>
      </w:r>
      <w:r w:rsidRPr="002322B7">
        <w:t xml:space="preserve"> Willis Towers Watson, 2024, Thinking Ahead Institute and secondary sources, Global Pension Funds Assets Study; Reserve Bank of Australia,</w:t>
      </w:r>
      <w:r w:rsidR="00870B7B" w:rsidRPr="002322B7">
        <w:t xml:space="preserve"> </w:t>
      </w:r>
      <w:r w:rsidRPr="002322B7">
        <w:t>2024, Foreign exchange rates - accessed during March 2024; Austrade</w:t>
      </w:r>
      <w:r w:rsidRPr="002322B7">
        <w:rPr>
          <w:b/>
          <w:bCs/>
        </w:rPr>
        <w:t>.</w:t>
      </w:r>
    </w:p>
    <w:p w14:paraId="67001F42" w14:textId="77777777" w:rsidR="005C0C76" w:rsidRDefault="005C0C76" w:rsidP="00FD7AB4">
      <w:pPr>
        <w:pStyle w:val="Sourcesandnotes"/>
        <w:rPr>
          <w:b/>
          <w:bCs/>
        </w:rPr>
      </w:pPr>
    </w:p>
    <w:p w14:paraId="4C0F2E90" w14:textId="77777777" w:rsidR="005C0C76" w:rsidRPr="002322B7" w:rsidRDefault="005C0C76" w:rsidP="005C0C76">
      <w:pPr>
        <w:pStyle w:val="Heading-level2"/>
      </w:pPr>
      <w:bookmarkStart w:id="31" w:name="_Toc178256553"/>
      <w:r w:rsidRPr="002322B7">
        <w:lastRenderedPageBreak/>
        <w:t>Australia’s cashless society</w:t>
      </w:r>
      <w:bookmarkEnd w:id="31"/>
    </w:p>
    <w:p w14:paraId="7D7A2C3E" w14:textId="77777777" w:rsidR="005C0C76" w:rsidRPr="002322B7" w:rsidRDefault="005C0C76" w:rsidP="005C0C76">
      <w:pPr>
        <w:pStyle w:val="Body-copy"/>
        <w:rPr>
          <w:lang w:val="en-AU"/>
        </w:rPr>
      </w:pPr>
      <w:r w:rsidRPr="002322B7">
        <w:rPr>
          <w:lang w:val="en-AU"/>
        </w:rPr>
        <w:t xml:space="preserve">We are leaders in creating a cashless society, with 94% of transactions now taking place digitally. This </w:t>
      </w:r>
      <w:r>
        <w:rPr>
          <w:lang w:val="en-AU"/>
        </w:rPr>
        <w:t>puts</w:t>
      </w:r>
      <w:r w:rsidRPr="002322B7">
        <w:rPr>
          <w:lang w:val="en-AU"/>
        </w:rPr>
        <w:t xml:space="preserve"> Australia</w:t>
      </w:r>
      <w:r>
        <w:rPr>
          <w:lang w:val="en-AU"/>
        </w:rPr>
        <w:t xml:space="preserve"> in</w:t>
      </w:r>
      <w:r w:rsidRPr="002322B7">
        <w:rPr>
          <w:lang w:val="en-AU"/>
        </w:rPr>
        <w:t xml:space="preserve"> 2</w:t>
      </w:r>
      <w:r w:rsidRPr="002322B7">
        <w:rPr>
          <w:vertAlign w:val="superscript"/>
          <w:lang w:val="en-AU"/>
        </w:rPr>
        <w:t>nd</w:t>
      </w:r>
      <w:r w:rsidRPr="002322B7">
        <w:rPr>
          <w:lang w:val="en-AU"/>
        </w:rPr>
        <w:t xml:space="preserve"> place in digital-payment rankings</w:t>
      </w:r>
      <w:r>
        <w:rPr>
          <w:lang w:val="en-AU"/>
        </w:rPr>
        <w:t xml:space="preserve">, </w:t>
      </w:r>
      <w:r w:rsidRPr="002322B7">
        <w:rPr>
          <w:lang w:val="en-AU"/>
        </w:rPr>
        <w:t>reflect</w:t>
      </w:r>
      <w:r>
        <w:rPr>
          <w:lang w:val="en-AU"/>
        </w:rPr>
        <w:t>ing</w:t>
      </w:r>
      <w:r w:rsidRPr="002322B7">
        <w:rPr>
          <w:lang w:val="en-AU"/>
        </w:rPr>
        <w:t xml:space="preserve"> consumer trust in our financial security and system. Australia’s cashless society promotes easier, faster and safer transactions in a market economy that embraces traceability and transparency. </w:t>
      </w:r>
    </w:p>
    <w:p w14:paraId="53002FDF" w14:textId="693B22F4" w:rsidR="005C0C76" w:rsidRDefault="005C0C76" w:rsidP="005C0C76">
      <w:pPr>
        <w:pStyle w:val="Caption"/>
      </w:pPr>
      <w:bookmarkStart w:id="32" w:name="_Toc178256507"/>
      <w:r w:rsidRPr="002322B7">
        <w:t xml:space="preserve">Figure </w:t>
      </w:r>
      <w:r w:rsidR="00CF16FA">
        <w:fldChar w:fldCharType="begin"/>
      </w:r>
      <w:r w:rsidR="00CF16FA">
        <w:instrText xml:space="preserve"> SEQ Figure \* ARABIC </w:instrText>
      </w:r>
      <w:r w:rsidR="00CF16FA">
        <w:fldChar w:fldCharType="separate"/>
      </w:r>
      <w:r w:rsidR="002459CF">
        <w:rPr>
          <w:noProof/>
        </w:rPr>
        <w:t>8</w:t>
      </w:r>
      <w:r w:rsidR="00CF16FA">
        <w:rPr>
          <w:noProof/>
        </w:rPr>
        <w:fldChar w:fldCharType="end"/>
      </w:r>
      <w:r w:rsidRPr="002322B7">
        <w:t xml:space="preserve"> – Cashless payments by country</w:t>
      </w:r>
      <w:bookmarkEnd w:id="32"/>
    </w:p>
    <w:p w14:paraId="3BBA3330" w14:textId="712A5FE5" w:rsidR="00766D12" w:rsidRPr="00766D12" w:rsidRDefault="007A300D" w:rsidP="00766D12">
      <w:r>
        <w:rPr>
          <w:noProof/>
        </w:rPr>
        <w:drawing>
          <wp:inline distT="0" distB="0" distL="0" distR="0" wp14:anchorId="01ADC75C" wp14:editId="40FEA452">
            <wp:extent cx="6336000" cy="4234188"/>
            <wp:effectExtent l="0" t="0" r="8255" b="0"/>
            <wp:docPr id="725860340" name="Picture 18" descr="The graph shows the percentage of total point of sale transactions made using a cashless payment by economy. The number in brackets shows the ranking of the economy. The data presented is as follows: Thailand (39) 0.44%; Japan (38) 0.49%; Philippines (37) 0.54%; Indonesia (36) 0.55%; Vietnam (34) 0.58%; Germany (30) 0.61%; Mexico (30) 0.61%; Türkiye (29) 0.62%; South Africa (26) 0.65%; India (21) 0.73%; Singapore (17) 0.81%; UAE (15) 0.82%; US (14) 0.88%; Korea (12) 0.89%; France (8) 0.9%; UK (8) 0.9%; Denmark (7) 0.91%; China (5) 0.92%; New Zealand (4) 0.93%; Canada (2) 0.94%; Australia (2) 0.94%; and Norway (1) 0.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60340" name="Picture 18" descr="The graph shows the percentage of total point of sale transactions made using a cashless payment by economy. The number in brackets shows the ranking of the economy. The data presented is as follows: Thailand (39) 0.44%; Japan (38) 0.49%; Philippines (37) 0.54%; Indonesia (36) 0.55%; Vietnam (34) 0.58%; Germany (30) 0.61%; Mexico (30) 0.61%; Türkiye (29) 0.62%; South Africa (26) 0.65%; India (21) 0.73%; Singapore (17) 0.81%; UAE (15) 0.82%; US (14) 0.88%; Korea (12) 0.89%; France (8) 0.9%; UK (8) 0.9%; Denmark (7) 0.91%; China (5) 0.92%; New Zealand (4) 0.93%; Canada (2) 0.94%; Australia (2) 0.94%; and Norway (1) 0.96%. "/>
                    <pic:cNvPicPr/>
                  </pic:nvPicPr>
                  <pic:blipFill rotWithShape="1">
                    <a:blip r:embed="rId21" cstate="hqprint">
                      <a:extLst>
                        <a:ext uri="{28A0092B-C50C-407E-A947-70E740481C1C}">
                          <a14:useLocalDpi xmlns:a14="http://schemas.microsoft.com/office/drawing/2010/main"/>
                        </a:ext>
                      </a:extLst>
                    </a:blip>
                    <a:srcRect l="1631" r="2238"/>
                    <a:stretch/>
                  </pic:blipFill>
                  <pic:spPr bwMode="auto">
                    <a:xfrm>
                      <a:off x="0" y="0"/>
                      <a:ext cx="6336000" cy="4234188"/>
                    </a:xfrm>
                    <a:prstGeom prst="rect">
                      <a:avLst/>
                    </a:prstGeom>
                    <a:ln>
                      <a:noFill/>
                    </a:ln>
                    <a:extLst>
                      <a:ext uri="{53640926-AAD7-44D8-BBD7-CCE9431645EC}">
                        <a14:shadowObscured xmlns:a14="http://schemas.microsoft.com/office/drawing/2010/main"/>
                      </a:ext>
                    </a:extLst>
                  </pic:spPr>
                </pic:pic>
              </a:graphicData>
            </a:graphic>
          </wp:inline>
        </w:drawing>
      </w:r>
    </w:p>
    <w:p w14:paraId="3A2AFE01" w14:textId="77777777" w:rsidR="005C0C76" w:rsidRPr="002322B7" w:rsidRDefault="005C0C76" w:rsidP="005C0C76">
      <w:pPr>
        <w:pStyle w:val="Sourcesandnotes"/>
      </w:pPr>
      <w:r w:rsidRPr="002322B7">
        <w:rPr>
          <w:b/>
          <w:bCs/>
        </w:rPr>
        <w:t>Note: 1.</w:t>
      </w:r>
      <w:r w:rsidRPr="002322B7">
        <w:t xml:space="preserve"> All person-to-business transactions that occur at the physical point of sale. This includes traditional in-store transactions as well as all face-to-face transactions, regardless of where they take place. </w:t>
      </w:r>
    </w:p>
    <w:p w14:paraId="1E5F332C" w14:textId="77777777" w:rsidR="005C0C76" w:rsidRPr="002322B7" w:rsidRDefault="005C0C76" w:rsidP="005C0C76">
      <w:pPr>
        <w:pStyle w:val="Sourcesandnotes"/>
        <w:tabs>
          <w:tab w:val="right" w:pos="9978"/>
        </w:tabs>
      </w:pPr>
      <w:r w:rsidRPr="002322B7">
        <w:rPr>
          <w:b/>
          <w:bCs/>
        </w:rPr>
        <w:t>Source:</w:t>
      </w:r>
      <w:r w:rsidRPr="002322B7">
        <w:t xml:space="preserve"> Worldpay from FIS, 2024, The Global Payments Report 2023, accessed on 13 March 2024; Austrade.</w:t>
      </w:r>
      <w:r w:rsidRPr="002322B7">
        <w:tab/>
      </w:r>
    </w:p>
    <w:p w14:paraId="74E5F230" w14:textId="77777777" w:rsidR="005C0C76" w:rsidRPr="002322B7" w:rsidRDefault="005C0C76" w:rsidP="00FD7AB4">
      <w:pPr>
        <w:pStyle w:val="Sourcesandnotes"/>
        <w:rPr>
          <w:b/>
          <w:bCs/>
        </w:rPr>
      </w:pPr>
    </w:p>
    <w:p w14:paraId="5233877C" w14:textId="2D1D9E0A" w:rsidR="00535D2B" w:rsidRPr="002322B7" w:rsidRDefault="00535D2B" w:rsidP="006E46C3">
      <w:pPr>
        <w:pStyle w:val="Sourcesandnotes"/>
      </w:pPr>
      <w:r w:rsidRPr="002322B7">
        <w:br w:type="page"/>
      </w:r>
    </w:p>
    <w:p w14:paraId="0A6B698D" w14:textId="5217EF53" w:rsidR="00F96AE3" w:rsidRPr="002322B7" w:rsidRDefault="00F96AE3" w:rsidP="00F96AE3">
      <w:pPr>
        <w:pStyle w:val="Heading-level1"/>
      </w:pPr>
      <w:bookmarkStart w:id="33" w:name="_Toc178256554"/>
      <w:r w:rsidRPr="002322B7">
        <w:lastRenderedPageBreak/>
        <w:t xml:space="preserve">Chapter </w:t>
      </w:r>
      <w:r w:rsidR="00162C4F" w:rsidRPr="002322B7">
        <w:t>2</w:t>
      </w:r>
      <w:r w:rsidRPr="002322B7">
        <w:t xml:space="preserve"> –</w:t>
      </w:r>
      <w:r w:rsidR="00EA2E09" w:rsidRPr="002322B7">
        <w:t xml:space="preserve"> </w:t>
      </w:r>
      <w:r w:rsidR="00EF191B" w:rsidRPr="002322B7">
        <w:t xml:space="preserve">Australia: </w:t>
      </w:r>
      <w:r w:rsidR="001B664F" w:rsidRPr="002322B7">
        <w:t>A global resource</w:t>
      </w:r>
      <w:r w:rsidR="00450C40" w:rsidRPr="002322B7">
        <w:t xml:space="preserve"> for </w:t>
      </w:r>
      <w:r w:rsidR="00EF191B" w:rsidRPr="002322B7">
        <w:t>a net zero future</w:t>
      </w:r>
      <w:bookmarkEnd w:id="33"/>
    </w:p>
    <w:p w14:paraId="55BCF68D" w14:textId="6665C6C5" w:rsidR="00F96AE3" w:rsidRPr="002322B7" w:rsidRDefault="00EF191B" w:rsidP="00121607">
      <w:pPr>
        <w:pStyle w:val="Heading-level3"/>
      </w:pPr>
      <w:bookmarkStart w:id="34" w:name="_Toc170769046"/>
      <w:bookmarkStart w:id="35" w:name="_Toc178256555"/>
      <w:r w:rsidRPr="002322B7">
        <w:t>A</w:t>
      </w:r>
      <w:r w:rsidR="00AB4541" w:rsidRPr="002322B7">
        <w:t xml:space="preserve"> partner of choice in a net zero world</w:t>
      </w:r>
      <w:bookmarkEnd w:id="34"/>
      <w:bookmarkEnd w:id="35"/>
    </w:p>
    <w:p w14:paraId="54969422" w14:textId="7602F211" w:rsidR="0002446A" w:rsidRPr="004E6C8A" w:rsidRDefault="00B54DC8" w:rsidP="0002446A">
      <w:pPr>
        <w:pStyle w:val="Body-copy"/>
        <w:rPr>
          <w:rFonts w:eastAsia="Times New Roman"/>
          <w:highlight w:val="yellow"/>
          <w:lang w:val="en-AU"/>
        </w:rPr>
      </w:pPr>
      <w:r w:rsidRPr="00B54DC8">
        <w:rPr>
          <w:lang w:val="en-AU"/>
        </w:rPr>
        <w:t>Given our critical and abundant natural endowments, Australia is well positioned to strengthen priority supply chains and become an indispensable part of the net zero global economy</w:t>
      </w:r>
      <w:r w:rsidR="0097237E">
        <w:rPr>
          <w:lang w:val="en-AU"/>
        </w:rPr>
        <w:t>.</w:t>
      </w:r>
      <w:r w:rsidR="0097237E" w:rsidRPr="00E22A03">
        <w:rPr>
          <w:rFonts w:eastAsia="Times New Roman"/>
          <w:lang w:val="en-AU"/>
        </w:rPr>
        <w:t xml:space="preserve"> </w:t>
      </w:r>
    </w:p>
    <w:p w14:paraId="4EE37FBD" w14:textId="1D1AD5EF" w:rsidR="006C1D92" w:rsidRPr="002322B7" w:rsidRDefault="009050CE" w:rsidP="003F1867">
      <w:pPr>
        <w:pStyle w:val="Body-copy"/>
        <w:rPr>
          <w:lang w:val="en-AU"/>
        </w:rPr>
      </w:pPr>
      <w:r w:rsidRPr="4FEBF9DC">
        <w:rPr>
          <w:lang w:val="en-AU"/>
        </w:rPr>
        <w:t xml:space="preserve">Our </w:t>
      </w:r>
      <w:r w:rsidR="00BD139D" w:rsidRPr="4FEBF9DC">
        <w:rPr>
          <w:lang w:val="en-AU"/>
        </w:rPr>
        <w:t>natural resources</w:t>
      </w:r>
      <w:r w:rsidR="00817AA6" w:rsidRPr="4FEBF9DC">
        <w:rPr>
          <w:lang w:val="en-AU"/>
        </w:rPr>
        <w:t xml:space="preserve"> </w:t>
      </w:r>
      <w:r w:rsidR="004016C8" w:rsidRPr="4FEBF9DC">
        <w:rPr>
          <w:lang w:val="en-AU"/>
        </w:rPr>
        <w:t xml:space="preserve">will </w:t>
      </w:r>
      <w:r w:rsidR="00867CA1" w:rsidRPr="4FEBF9DC">
        <w:rPr>
          <w:lang w:val="en-AU"/>
        </w:rPr>
        <w:t xml:space="preserve">help </w:t>
      </w:r>
      <w:r w:rsidR="004016C8" w:rsidRPr="4FEBF9DC">
        <w:rPr>
          <w:lang w:val="en-AU"/>
        </w:rPr>
        <w:t>drive the global net zero transformation. Th</w:t>
      </w:r>
      <w:r w:rsidR="005A0346" w:rsidRPr="4FEBF9DC">
        <w:rPr>
          <w:lang w:val="en-AU"/>
        </w:rPr>
        <w:t>is is</w:t>
      </w:r>
      <w:r w:rsidR="00C10B5C" w:rsidRPr="4FEBF9DC">
        <w:rPr>
          <w:lang w:val="en-AU"/>
        </w:rPr>
        <w:t xml:space="preserve"> </w:t>
      </w:r>
      <w:r w:rsidR="006E7898" w:rsidRPr="4FEBF9DC">
        <w:rPr>
          <w:lang w:val="en-AU"/>
        </w:rPr>
        <w:t xml:space="preserve">complemented by </w:t>
      </w:r>
      <w:r w:rsidR="008D6A92" w:rsidRPr="4FEBF9DC">
        <w:rPr>
          <w:lang w:val="en-AU"/>
        </w:rPr>
        <w:t>the</w:t>
      </w:r>
      <w:r w:rsidR="00BD139D" w:rsidRPr="4FEBF9DC">
        <w:rPr>
          <w:lang w:val="en-AU"/>
        </w:rPr>
        <w:t xml:space="preserve"> reputation </w:t>
      </w:r>
      <w:r w:rsidR="008D6A92" w:rsidRPr="4FEBF9DC">
        <w:rPr>
          <w:lang w:val="en-AU"/>
        </w:rPr>
        <w:t xml:space="preserve">we have established </w:t>
      </w:r>
      <w:r w:rsidR="00BD139D" w:rsidRPr="4FEBF9DC">
        <w:rPr>
          <w:lang w:val="en-AU"/>
        </w:rPr>
        <w:t>as a safe and profitable destination for investment</w:t>
      </w:r>
      <w:r w:rsidR="00AF2B18" w:rsidRPr="4FEBF9DC">
        <w:rPr>
          <w:lang w:val="en-AU"/>
        </w:rPr>
        <w:t>.</w:t>
      </w:r>
      <w:r w:rsidR="00F9393F" w:rsidRPr="4FEBF9DC">
        <w:rPr>
          <w:lang w:val="en-AU"/>
        </w:rPr>
        <w:t xml:space="preserve"> </w:t>
      </w:r>
      <w:r w:rsidR="00F63323" w:rsidRPr="4FEBF9DC">
        <w:rPr>
          <w:lang w:val="en-AU"/>
        </w:rPr>
        <w:t xml:space="preserve">As a result, </w:t>
      </w:r>
      <w:r w:rsidR="00D3405A" w:rsidRPr="4FEBF9DC">
        <w:rPr>
          <w:lang w:val="en-AU"/>
        </w:rPr>
        <w:t xml:space="preserve">Australia </w:t>
      </w:r>
      <w:r w:rsidR="00F9311D">
        <w:rPr>
          <w:lang w:val="en-AU"/>
        </w:rPr>
        <w:t>i</w:t>
      </w:r>
      <w:r w:rsidR="00D3405A" w:rsidRPr="4FEBF9DC">
        <w:rPr>
          <w:lang w:val="en-AU"/>
        </w:rPr>
        <w:t>s the 5</w:t>
      </w:r>
      <w:r w:rsidR="00D3405A" w:rsidRPr="4FEBF9DC">
        <w:rPr>
          <w:vertAlign w:val="superscript"/>
          <w:lang w:val="en-AU"/>
        </w:rPr>
        <w:t>th</w:t>
      </w:r>
      <w:r w:rsidR="00CA5A1C" w:rsidRPr="4FEBF9DC">
        <w:rPr>
          <w:lang w:val="en-AU"/>
        </w:rPr>
        <w:t>-</w:t>
      </w:r>
      <w:r w:rsidR="00D3405A" w:rsidRPr="4FEBF9DC">
        <w:rPr>
          <w:lang w:val="en-AU"/>
        </w:rPr>
        <w:t>most attractive destination in the world for investment in renewable energy</w:t>
      </w:r>
      <w:r w:rsidR="006C1D92" w:rsidRPr="4FEBF9DC">
        <w:rPr>
          <w:lang w:val="en-AU"/>
        </w:rPr>
        <w:t>.</w:t>
      </w:r>
    </w:p>
    <w:p w14:paraId="362B3201" w14:textId="64603487" w:rsidR="00122E7C" w:rsidRPr="002322B7" w:rsidRDefault="003F6FCC" w:rsidP="003F1867">
      <w:pPr>
        <w:pStyle w:val="Body-copy"/>
        <w:rPr>
          <w:lang w:val="en-AU"/>
        </w:rPr>
      </w:pPr>
      <w:r>
        <w:rPr>
          <w:lang w:val="en-AU"/>
        </w:rPr>
        <w:t xml:space="preserve">Australia offers </w:t>
      </w:r>
      <w:r w:rsidR="00D26B89" w:rsidRPr="002322B7">
        <w:rPr>
          <w:lang w:val="en-AU"/>
        </w:rPr>
        <w:t>significant economic opportunities to help reduce global emissions</w:t>
      </w:r>
      <w:r w:rsidR="00151307">
        <w:rPr>
          <w:lang w:val="en-AU"/>
        </w:rPr>
        <w:t xml:space="preserve"> with</w:t>
      </w:r>
      <w:r w:rsidR="00D26B89" w:rsidRPr="002322B7">
        <w:rPr>
          <w:lang w:val="en-AU"/>
        </w:rPr>
        <w:t xml:space="preserve"> </w:t>
      </w:r>
      <w:r>
        <w:rPr>
          <w:lang w:val="en-AU"/>
        </w:rPr>
        <w:t>our</w:t>
      </w:r>
      <w:r w:rsidR="00D26B89" w:rsidRPr="002322B7">
        <w:rPr>
          <w:lang w:val="en-AU"/>
        </w:rPr>
        <w:t xml:space="preserve"> </w:t>
      </w:r>
      <w:r w:rsidR="008463A8">
        <w:rPr>
          <w:lang w:val="en-AU"/>
        </w:rPr>
        <w:t>vast renewable energy potential</w:t>
      </w:r>
      <w:r w:rsidR="006C189E">
        <w:rPr>
          <w:lang w:val="en-AU"/>
        </w:rPr>
        <w:t xml:space="preserve"> </w:t>
      </w:r>
      <w:r w:rsidR="00151307">
        <w:rPr>
          <w:lang w:val="en-AU"/>
        </w:rPr>
        <w:t>and</w:t>
      </w:r>
      <w:r w:rsidR="006C189E">
        <w:rPr>
          <w:lang w:val="en-AU"/>
        </w:rPr>
        <w:t xml:space="preserve"> </w:t>
      </w:r>
      <w:r w:rsidR="00A90DC1">
        <w:rPr>
          <w:lang w:val="en-AU"/>
        </w:rPr>
        <w:t xml:space="preserve">our </w:t>
      </w:r>
      <w:r w:rsidR="008463A8">
        <w:rPr>
          <w:lang w:val="en-AU"/>
        </w:rPr>
        <w:t>plentiful mineral resources</w:t>
      </w:r>
      <w:r w:rsidR="00D26B89" w:rsidRPr="002322B7">
        <w:rPr>
          <w:lang w:val="en-AU"/>
        </w:rPr>
        <w:t xml:space="preserve">. These include renewable hydrogen, green metals and critical minerals processing, along with manufacturing for a net zero transition. </w:t>
      </w:r>
    </w:p>
    <w:p w14:paraId="5F8D6202" w14:textId="1CBB61C3" w:rsidR="00FD7AB4" w:rsidRPr="002322B7" w:rsidRDefault="00BC65F3" w:rsidP="003F1867">
      <w:pPr>
        <w:pStyle w:val="Body-copy"/>
        <w:rPr>
          <w:lang w:val="en-AU"/>
        </w:rPr>
      </w:pPr>
      <w:r w:rsidRPr="4FEBF9DC">
        <w:rPr>
          <w:lang w:val="en-AU"/>
        </w:rPr>
        <w:t xml:space="preserve">Minerals are a core asset. </w:t>
      </w:r>
      <w:r w:rsidR="00FD7AB4" w:rsidRPr="4FEBF9DC">
        <w:rPr>
          <w:lang w:val="en-AU"/>
        </w:rPr>
        <w:t xml:space="preserve">The Australian continent has vast reserves of minerals that are vital to the </w:t>
      </w:r>
      <w:r w:rsidR="00CC14B6" w:rsidRPr="4FEBF9DC">
        <w:rPr>
          <w:lang w:val="en-AU"/>
        </w:rPr>
        <w:t xml:space="preserve">global </w:t>
      </w:r>
      <w:r w:rsidR="005211AD" w:rsidRPr="4FEBF9DC">
        <w:rPr>
          <w:lang w:val="en-AU"/>
        </w:rPr>
        <w:t xml:space="preserve">transformation </w:t>
      </w:r>
      <w:r w:rsidR="00FD7AB4" w:rsidRPr="4FEBF9DC">
        <w:rPr>
          <w:lang w:val="en-AU"/>
        </w:rPr>
        <w:t xml:space="preserve">to net zero. </w:t>
      </w:r>
      <w:r w:rsidRPr="4FEBF9DC">
        <w:rPr>
          <w:lang w:val="en-AU"/>
        </w:rPr>
        <w:t>We are</w:t>
      </w:r>
      <w:r w:rsidR="00FD7AB4" w:rsidRPr="4FEBF9DC">
        <w:rPr>
          <w:lang w:val="en-AU"/>
        </w:rPr>
        <w:t xml:space="preserve"> already the world’s</w:t>
      </w:r>
      <w:r w:rsidR="001745FB" w:rsidRPr="4FEBF9DC">
        <w:rPr>
          <w:lang w:val="en-AU"/>
        </w:rPr>
        <w:t xml:space="preserve"> </w:t>
      </w:r>
      <w:r w:rsidR="00FD7AB4" w:rsidRPr="4FEBF9DC">
        <w:rPr>
          <w:lang w:val="en-AU"/>
        </w:rPr>
        <w:t xml:space="preserve">largest producer of </w:t>
      </w:r>
      <w:r w:rsidR="005E7472" w:rsidRPr="4FEBF9DC">
        <w:rPr>
          <w:lang w:val="en-AU"/>
        </w:rPr>
        <w:t>lithium</w:t>
      </w:r>
      <w:r w:rsidR="007250F0">
        <w:rPr>
          <w:lang w:val="en-AU"/>
        </w:rPr>
        <w:t xml:space="preserve"> and iron ore</w:t>
      </w:r>
      <w:r w:rsidR="005E7472" w:rsidRPr="4FEBF9DC">
        <w:rPr>
          <w:lang w:val="en-AU"/>
        </w:rPr>
        <w:t>,</w:t>
      </w:r>
      <w:r w:rsidR="000E6624" w:rsidRPr="4FEBF9DC">
        <w:rPr>
          <w:lang w:val="en-AU"/>
        </w:rPr>
        <w:t xml:space="preserve"> and </w:t>
      </w:r>
      <w:r w:rsidRPr="4FEBF9DC">
        <w:rPr>
          <w:lang w:val="en-AU"/>
        </w:rPr>
        <w:t xml:space="preserve">have </w:t>
      </w:r>
      <w:r w:rsidR="00FD7AB4" w:rsidRPr="4FEBF9DC">
        <w:rPr>
          <w:lang w:val="en-AU"/>
        </w:rPr>
        <w:t xml:space="preserve">the largest known reserves of zinc, nickel and </w:t>
      </w:r>
      <w:r w:rsidR="006B78B0">
        <w:rPr>
          <w:lang w:val="en-AU"/>
        </w:rPr>
        <w:t>iron ore</w:t>
      </w:r>
      <w:r w:rsidR="00E133A4" w:rsidRPr="4FEBF9DC">
        <w:rPr>
          <w:lang w:val="en-AU"/>
        </w:rPr>
        <w:t xml:space="preserve">. </w:t>
      </w:r>
      <w:r w:rsidR="00E935C8" w:rsidRPr="4FEBF9DC">
        <w:rPr>
          <w:lang w:val="en-AU"/>
        </w:rPr>
        <w:t xml:space="preserve">Australia </w:t>
      </w:r>
      <w:r w:rsidR="001944AA">
        <w:rPr>
          <w:lang w:val="en-AU"/>
        </w:rPr>
        <w:t>also</w:t>
      </w:r>
      <w:r w:rsidR="00E935C8" w:rsidRPr="4FEBF9DC">
        <w:rPr>
          <w:lang w:val="en-AU"/>
        </w:rPr>
        <w:t xml:space="preserve"> has</w:t>
      </w:r>
      <w:r w:rsidR="00FD7AB4" w:rsidRPr="4FEBF9DC">
        <w:rPr>
          <w:lang w:val="en-AU"/>
        </w:rPr>
        <w:t xml:space="preserve"> the </w:t>
      </w:r>
      <w:r w:rsidR="0020219E" w:rsidRPr="4FEBF9DC">
        <w:rPr>
          <w:lang w:val="en-AU"/>
        </w:rPr>
        <w:t>2</w:t>
      </w:r>
      <w:r w:rsidR="0020219E" w:rsidRPr="4FEBF9DC">
        <w:rPr>
          <w:vertAlign w:val="superscript"/>
          <w:lang w:val="en-AU"/>
        </w:rPr>
        <w:t>nd</w:t>
      </w:r>
      <w:r w:rsidRPr="4FEBF9DC">
        <w:rPr>
          <w:lang w:val="en-AU"/>
        </w:rPr>
        <w:t>-</w:t>
      </w:r>
      <w:r w:rsidR="00FD7AB4" w:rsidRPr="4FEBF9DC">
        <w:rPr>
          <w:lang w:val="en-AU"/>
        </w:rPr>
        <w:t>largest reserves of l</w:t>
      </w:r>
      <w:permStart w:id="1920801002" w:ed="AUSTRADE\Fernando-ramirez"/>
      <w:permEnd w:id="1920801002"/>
      <w:r w:rsidR="00FD7AB4" w:rsidRPr="4FEBF9DC">
        <w:rPr>
          <w:lang w:val="en-AU"/>
        </w:rPr>
        <w:t>ithium</w:t>
      </w:r>
      <w:r w:rsidR="00B339E9">
        <w:rPr>
          <w:lang w:val="en-AU"/>
        </w:rPr>
        <w:t>,</w:t>
      </w:r>
      <w:r w:rsidR="00FD7AB4" w:rsidRPr="4FEBF9DC">
        <w:rPr>
          <w:lang w:val="en-AU"/>
        </w:rPr>
        <w:t xml:space="preserve"> cobalt</w:t>
      </w:r>
      <w:r w:rsidR="00B339E9">
        <w:rPr>
          <w:lang w:val="en-AU"/>
        </w:rPr>
        <w:t xml:space="preserve"> and tantalum</w:t>
      </w:r>
      <w:r w:rsidR="0020219E" w:rsidRPr="4FEBF9DC">
        <w:rPr>
          <w:lang w:val="en-AU"/>
        </w:rPr>
        <w:t xml:space="preserve">, and </w:t>
      </w:r>
      <w:r w:rsidR="00C31308" w:rsidRPr="4FEBF9DC">
        <w:rPr>
          <w:lang w:val="en-AU"/>
        </w:rPr>
        <w:t>the</w:t>
      </w:r>
      <w:r w:rsidR="00FD7AB4" w:rsidRPr="4FEBF9DC">
        <w:rPr>
          <w:lang w:val="en-AU"/>
        </w:rPr>
        <w:t xml:space="preserve"> 6</w:t>
      </w:r>
      <w:r w:rsidR="00FD7AB4" w:rsidRPr="4FEBF9DC">
        <w:rPr>
          <w:vertAlign w:val="superscript"/>
          <w:lang w:val="en-AU"/>
        </w:rPr>
        <w:t>th</w:t>
      </w:r>
      <w:r w:rsidR="001745FB" w:rsidRPr="4FEBF9DC">
        <w:rPr>
          <w:lang w:val="en-AU"/>
        </w:rPr>
        <w:t>-</w:t>
      </w:r>
      <w:r w:rsidR="00FD7AB4" w:rsidRPr="4FEBF9DC">
        <w:rPr>
          <w:lang w:val="en-AU"/>
        </w:rPr>
        <w:t xml:space="preserve">largest reserves of rare earth minerals. </w:t>
      </w:r>
    </w:p>
    <w:p w14:paraId="4DF5CB94" w14:textId="3E14FC0E" w:rsidR="00FD7AB4" w:rsidRPr="002322B7" w:rsidRDefault="00FD7AB4" w:rsidP="003F1867">
      <w:pPr>
        <w:pStyle w:val="Body-copy"/>
        <w:rPr>
          <w:lang w:val="en-AU"/>
        </w:rPr>
      </w:pPr>
      <w:r w:rsidRPr="002322B7">
        <w:rPr>
          <w:lang w:val="en-AU"/>
        </w:rPr>
        <w:t xml:space="preserve">Solar power is growing rapidly thanks to great geography, ideal weather and supportive market regulation. </w:t>
      </w:r>
      <w:r w:rsidR="004A2A42" w:rsidRPr="004A2A42">
        <w:rPr>
          <w:lang w:val="en-AU"/>
        </w:rPr>
        <w:t>As a result,</w:t>
      </w:r>
      <w:r w:rsidRPr="002322B7">
        <w:rPr>
          <w:lang w:val="en-AU"/>
        </w:rPr>
        <w:t xml:space="preserve"> Australia </w:t>
      </w:r>
      <w:r w:rsidR="004A2A42" w:rsidRPr="004A2A42">
        <w:rPr>
          <w:lang w:val="en-AU"/>
        </w:rPr>
        <w:t>is</w:t>
      </w:r>
      <w:r w:rsidRPr="002322B7">
        <w:rPr>
          <w:lang w:val="en-AU"/>
        </w:rPr>
        <w:t xml:space="preserve"> the </w:t>
      </w:r>
      <w:r w:rsidR="004A2A42" w:rsidRPr="004A2A42">
        <w:rPr>
          <w:lang w:val="en-AU"/>
        </w:rPr>
        <w:t>largest producer of solar energy per person</w:t>
      </w:r>
      <w:r w:rsidRPr="002322B7">
        <w:rPr>
          <w:lang w:val="en-AU"/>
        </w:rPr>
        <w:t xml:space="preserve"> in the world</w:t>
      </w:r>
      <w:r w:rsidR="004A2A42" w:rsidRPr="004A2A42">
        <w:rPr>
          <w:lang w:val="en-AU"/>
        </w:rPr>
        <w:t>.</w:t>
      </w:r>
      <w:r w:rsidRPr="002322B7">
        <w:rPr>
          <w:lang w:val="en-AU"/>
        </w:rPr>
        <w:t xml:space="preserve"> Australia </w:t>
      </w:r>
      <w:r w:rsidR="00256C67">
        <w:rPr>
          <w:lang w:val="en-AU"/>
        </w:rPr>
        <w:t>also</w:t>
      </w:r>
      <w:r w:rsidRPr="002322B7">
        <w:rPr>
          <w:lang w:val="en-AU"/>
        </w:rPr>
        <w:t xml:space="preserve"> has the theoretical potential for 5,000 </w:t>
      </w:r>
      <w:r w:rsidR="00757652">
        <w:rPr>
          <w:lang w:val="en-AU"/>
        </w:rPr>
        <w:t>giga</w:t>
      </w:r>
      <w:r w:rsidR="005D2777">
        <w:rPr>
          <w:lang w:val="en-AU"/>
        </w:rPr>
        <w:t>watts</w:t>
      </w:r>
      <w:r w:rsidRPr="002322B7">
        <w:rPr>
          <w:lang w:val="en-AU"/>
        </w:rPr>
        <w:t xml:space="preserve"> of offshore wind generation</w:t>
      </w:r>
      <w:r w:rsidR="00965582" w:rsidRPr="002322B7">
        <w:rPr>
          <w:lang w:val="en-AU"/>
        </w:rPr>
        <w:t>, which</w:t>
      </w:r>
      <w:r w:rsidRPr="002322B7">
        <w:rPr>
          <w:lang w:val="en-AU"/>
        </w:rPr>
        <w:t xml:space="preserve"> is greater than the combined output of all the world’s coal-fired power stations.</w:t>
      </w:r>
    </w:p>
    <w:p w14:paraId="676C8751" w14:textId="72A09267" w:rsidR="00F96AE3" w:rsidRPr="002322B7" w:rsidRDefault="00FD7AB4" w:rsidP="003F1867">
      <w:pPr>
        <w:pStyle w:val="Body-copy"/>
        <w:rPr>
          <w:lang w:val="en-AU"/>
        </w:rPr>
      </w:pPr>
      <w:r w:rsidRPr="002322B7">
        <w:rPr>
          <w:lang w:val="en-AU"/>
        </w:rPr>
        <w:t xml:space="preserve">Australia </w:t>
      </w:r>
      <w:r w:rsidR="004A3153" w:rsidRPr="002322B7">
        <w:rPr>
          <w:lang w:val="en-AU"/>
        </w:rPr>
        <w:t xml:space="preserve">is set to </w:t>
      </w:r>
      <w:r w:rsidRPr="002322B7">
        <w:rPr>
          <w:lang w:val="en-AU"/>
        </w:rPr>
        <w:t xml:space="preserve">become a major </w:t>
      </w:r>
      <w:r w:rsidR="00CC14B6" w:rsidRPr="002322B7">
        <w:rPr>
          <w:lang w:val="en-AU"/>
        </w:rPr>
        <w:t xml:space="preserve">global </w:t>
      </w:r>
      <w:r w:rsidR="00D90A3D" w:rsidRPr="002322B7">
        <w:rPr>
          <w:lang w:val="en-AU"/>
        </w:rPr>
        <w:t>producer</w:t>
      </w:r>
      <w:r w:rsidR="00F96AE3" w:rsidRPr="002322B7">
        <w:rPr>
          <w:lang w:val="en-AU"/>
        </w:rPr>
        <w:t xml:space="preserve"> of clean </w:t>
      </w:r>
      <w:r w:rsidR="004811A7" w:rsidRPr="002322B7">
        <w:rPr>
          <w:lang w:val="en-AU"/>
        </w:rPr>
        <w:t>hydrogen</w:t>
      </w:r>
      <w:r w:rsidR="00F96AE3" w:rsidRPr="002322B7">
        <w:rPr>
          <w:lang w:val="en-AU"/>
        </w:rPr>
        <w:t xml:space="preserve">. </w:t>
      </w:r>
      <w:r w:rsidR="0043309B" w:rsidRPr="002322B7">
        <w:rPr>
          <w:lang w:val="en-AU"/>
        </w:rPr>
        <w:t>Currently</w:t>
      </w:r>
      <w:r w:rsidR="00B110CC" w:rsidRPr="002322B7">
        <w:rPr>
          <w:lang w:val="en-AU"/>
        </w:rPr>
        <w:t>, more than 100 major hydrogen projects are under development across the country. A significant number of these projects focus on green hydrogen, taking advantage of our abundant wind and solar power</w:t>
      </w:r>
      <w:r w:rsidRPr="002322B7">
        <w:rPr>
          <w:lang w:val="en-AU"/>
        </w:rPr>
        <w:t>.</w:t>
      </w:r>
      <w:r w:rsidR="00E65062" w:rsidRPr="002322B7">
        <w:rPr>
          <w:lang w:val="en-AU"/>
        </w:rPr>
        <w:t xml:space="preserve"> </w:t>
      </w:r>
    </w:p>
    <w:p w14:paraId="3696BCC3" w14:textId="2AD441B4" w:rsidR="00976471" w:rsidRPr="004E6C8A" w:rsidRDefault="00976471" w:rsidP="00976471">
      <w:pPr>
        <w:pStyle w:val="Body-copy"/>
        <w:rPr>
          <w:rFonts w:eastAsia="Times New Roman"/>
          <w:highlight w:val="yellow"/>
          <w:lang w:val="en-AU"/>
        </w:rPr>
      </w:pPr>
      <w:r>
        <w:rPr>
          <w:rFonts w:eastAsia="Times New Roman"/>
          <w:lang w:val="en-AU"/>
        </w:rPr>
        <w:t xml:space="preserve">Finally, </w:t>
      </w:r>
      <w:r w:rsidR="002D0F9E">
        <w:rPr>
          <w:rFonts w:eastAsia="Times New Roman"/>
          <w:lang w:val="en-AU"/>
        </w:rPr>
        <w:t xml:space="preserve">there is a supportive policy environment, including </w:t>
      </w:r>
      <w:r>
        <w:rPr>
          <w:rFonts w:eastAsia="Times New Roman"/>
          <w:lang w:val="en-AU"/>
        </w:rPr>
        <w:t>t</w:t>
      </w:r>
      <w:r w:rsidRPr="00E22A03">
        <w:rPr>
          <w:rFonts w:eastAsia="Times New Roman"/>
          <w:lang w:val="en-AU"/>
        </w:rPr>
        <w:t>he Australian Government</w:t>
      </w:r>
      <w:r w:rsidR="0081604F">
        <w:rPr>
          <w:rFonts w:eastAsia="Times New Roman"/>
          <w:lang w:val="en-AU"/>
        </w:rPr>
        <w:t>’s ambitions for a Future Made in Australia</w:t>
      </w:r>
      <w:r w:rsidR="00FD2E78">
        <w:rPr>
          <w:rFonts w:eastAsia="Times New Roman"/>
          <w:lang w:val="en-AU"/>
        </w:rPr>
        <w:t xml:space="preserve"> that </w:t>
      </w:r>
      <w:r w:rsidR="00A90ED3">
        <w:rPr>
          <w:rFonts w:eastAsia="Times New Roman"/>
          <w:lang w:val="en-AU"/>
        </w:rPr>
        <w:t>aims</w:t>
      </w:r>
      <w:r w:rsidRPr="00E22A03">
        <w:rPr>
          <w:rFonts w:eastAsia="Times New Roman"/>
          <w:lang w:val="en-AU"/>
        </w:rPr>
        <w:t xml:space="preserve"> to encourage and facilitate private sector investment</w:t>
      </w:r>
      <w:r w:rsidR="00153327">
        <w:rPr>
          <w:rFonts w:eastAsia="Times New Roman"/>
          <w:lang w:val="en-AU"/>
        </w:rPr>
        <w:t xml:space="preserve">. </w:t>
      </w:r>
    </w:p>
    <w:p w14:paraId="4554D604" w14:textId="77777777" w:rsidR="00976471" w:rsidRPr="002322B7" w:rsidRDefault="00976471" w:rsidP="003F1867">
      <w:pPr>
        <w:pStyle w:val="Body-copy"/>
        <w:rPr>
          <w:lang w:val="en-AU"/>
        </w:rPr>
      </w:pPr>
    </w:p>
    <w:p w14:paraId="4990227D" w14:textId="77777777" w:rsidR="00F96AE3" w:rsidRPr="002322B7" w:rsidRDefault="00F96AE3" w:rsidP="00F96AE3">
      <w:pPr>
        <w:pStyle w:val="Heading-level2"/>
      </w:pPr>
      <w:bookmarkStart w:id="36" w:name="_Toc164678006"/>
      <w:bookmarkStart w:id="37" w:name="_Toc165471192"/>
      <w:bookmarkStart w:id="38" w:name="_Toc178256556"/>
      <w:r w:rsidRPr="002322B7">
        <w:lastRenderedPageBreak/>
        <w:t>A natural leader in clean energy</w:t>
      </w:r>
      <w:bookmarkEnd w:id="36"/>
      <w:bookmarkEnd w:id="37"/>
      <w:bookmarkEnd w:id="38"/>
    </w:p>
    <w:p w14:paraId="6532FA82" w14:textId="3FE685BB" w:rsidR="00EE07D0" w:rsidRPr="002322B7" w:rsidRDefault="00BC1374" w:rsidP="003F1867">
      <w:pPr>
        <w:pStyle w:val="Body-copy"/>
        <w:rPr>
          <w:lang w:val="en-AU"/>
        </w:rPr>
      </w:pPr>
      <w:r w:rsidRPr="002322B7">
        <w:rPr>
          <w:lang w:val="en-AU"/>
        </w:rPr>
        <w:t xml:space="preserve">Australia has a comparative advantage in renewable energy thanks to world-leading, large-scale resources. Our continent receives the highest </w:t>
      </w:r>
      <w:r w:rsidR="00485220" w:rsidRPr="002322B7">
        <w:rPr>
          <w:lang w:val="en-AU"/>
        </w:rPr>
        <w:t xml:space="preserve">level of </w:t>
      </w:r>
      <w:r w:rsidRPr="002322B7">
        <w:rPr>
          <w:lang w:val="en-AU"/>
        </w:rPr>
        <w:t>solar radiation per square met</w:t>
      </w:r>
      <w:r w:rsidR="00944C2E" w:rsidRPr="002322B7">
        <w:rPr>
          <w:lang w:val="en-AU"/>
        </w:rPr>
        <w:t>re</w:t>
      </w:r>
      <w:r w:rsidRPr="002322B7">
        <w:rPr>
          <w:lang w:val="en-AU"/>
        </w:rPr>
        <w:t xml:space="preserve"> globally, making it one of the best locations for solar energy. Additionally, Australia boasts some of the best wind resources, with vast onshore and offshore areas that have consistent, high-speed winds suitable for energy generation. </w:t>
      </w:r>
      <w:r w:rsidR="00F96AE3" w:rsidRPr="002322B7">
        <w:rPr>
          <w:lang w:val="en-AU"/>
        </w:rPr>
        <w:t xml:space="preserve">These two factors make Australia an attractive place to invest in wind and solar power. Australia </w:t>
      </w:r>
      <w:r w:rsidR="00BC4386">
        <w:rPr>
          <w:lang w:val="en-AU"/>
        </w:rPr>
        <w:t xml:space="preserve">also </w:t>
      </w:r>
      <w:r w:rsidR="00F96AE3" w:rsidRPr="002322B7">
        <w:rPr>
          <w:lang w:val="en-AU"/>
        </w:rPr>
        <w:t>has ambitious emissions</w:t>
      </w:r>
      <w:r w:rsidR="0044347E" w:rsidRPr="002322B7">
        <w:rPr>
          <w:lang w:val="en-AU"/>
        </w:rPr>
        <w:t>-</w:t>
      </w:r>
      <w:r w:rsidR="00F96AE3" w:rsidRPr="002322B7">
        <w:rPr>
          <w:lang w:val="en-AU"/>
        </w:rPr>
        <w:t>reduction targets</w:t>
      </w:r>
      <w:r w:rsidR="0044347E" w:rsidRPr="002322B7">
        <w:rPr>
          <w:lang w:val="en-AU"/>
        </w:rPr>
        <w:t xml:space="preserve">: </w:t>
      </w:r>
      <w:r w:rsidR="00F96AE3" w:rsidRPr="002322B7">
        <w:rPr>
          <w:lang w:val="en-AU"/>
        </w:rPr>
        <w:t>43% below 2005 levels by 2030 and net zero by 2050</w:t>
      </w:r>
      <w:r w:rsidR="00A02E6A">
        <w:rPr>
          <w:lang w:val="en-AU"/>
        </w:rPr>
        <w:t xml:space="preserve">, which </w:t>
      </w:r>
      <w:r w:rsidR="00272580" w:rsidRPr="002322B7">
        <w:rPr>
          <w:lang w:val="en-AU"/>
        </w:rPr>
        <w:t>help</w:t>
      </w:r>
      <w:r w:rsidR="00473823" w:rsidRPr="002322B7">
        <w:rPr>
          <w:lang w:val="en-AU"/>
        </w:rPr>
        <w:t>s</w:t>
      </w:r>
      <w:r w:rsidR="00272580" w:rsidRPr="002322B7">
        <w:rPr>
          <w:lang w:val="en-AU"/>
        </w:rPr>
        <w:t xml:space="preserve"> </w:t>
      </w:r>
      <w:r w:rsidR="00F96AE3" w:rsidRPr="002322B7">
        <w:rPr>
          <w:lang w:val="en-AU"/>
        </w:rPr>
        <w:t xml:space="preserve">provide investors with certainty on our energy transition. </w:t>
      </w:r>
    </w:p>
    <w:p w14:paraId="310603FF" w14:textId="4CEB2EFB" w:rsidR="00F96AE3" w:rsidRDefault="00F96AE3" w:rsidP="00F96AE3">
      <w:pPr>
        <w:pStyle w:val="Caption"/>
      </w:pPr>
      <w:bookmarkStart w:id="39" w:name="_Toc178256508"/>
      <w:r w:rsidRPr="002322B7">
        <w:t xml:space="preserve">Figure </w:t>
      </w:r>
      <w:r w:rsidR="00CF16FA">
        <w:fldChar w:fldCharType="begin"/>
      </w:r>
      <w:r w:rsidR="00CF16FA">
        <w:instrText xml:space="preserve"> SEQ Figure \* ARABIC </w:instrText>
      </w:r>
      <w:r w:rsidR="00CF16FA">
        <w:fldChar w:fldCharType="separate"/>
      </w:r>
      <w:r w:rsidR="002459CF">
        <w:rPr>
          <w:noProof/>
        </w:rPr>
        <w:t>9</w:t>
      </w:r>
      <w:r w:rsidR="00CF16FA">
        <w:rPr>
          <w:noProof/>
        </w:rPr>
        <w:fldChar w:fldCharType="end"/>
      </w:r>
      <w:r w:rsidRPr="002322B7">
        <w:t xml:space="preserve"> – Australia’s renewable energy credentials</w:t>
      </w:r>
      <w:bookmarkEnd w:id="39"/>
    </w:p>
    <w:p w14:paraId="3112ABA9" w14:textId="37BFD982" w:rsidR="00054FF9" w:rsidRDefault="00054FF9" w:rsidP="00054FF9">
      <w:r>
        <w:rPr>
          <w:noProof/>
        </w:rPr>
        <w:drawing>
          <wp:inline distT="0" distB="0" distL="0" distR="0" wp14:anchorId="5608348E" wp14:editId="47DDFC72">
            <wp:extent cx="6336030" cy="4164965"/>
            <wp:effectExtent l="0" t="0" r="7620" b="6985"/>
            <wp:docPr id="1692015921" name="Picture 19" descr="The infographic shows the following information:&#10;A$300 billion in potential hydrogen investments1&#10;Over 100 major hydrogen projects planned2&#10;+37,000 km2 of future wind generation3&#10;Larger than the surface area of Belgium or the Netherlands&#10;The 2nd highest potential for solar power4&#10;6th-largest producer of solar energy5&#10;Sufficient to power 7 million homes6&#10;1st in per capita terms⁵&#10;Almost 40,000 renewable energy patents in two decades7&#10;7th for renewable energy patents per head7&#10;10,700 patents in solar technologies7&#10;4,000 patents in wind technologies7&#10;4,000 patents in bioenergy technologies7&#10;Largest producer of lithium in the world&#10;Largest reserves of nickel, zinc and&#10;iron ore&#10;2nd largest reserves of lithium, copper, cobalt and tantalum8&#10;5th-most attractive country for renewable energy investment9&#10;9.3 terawatt-hours more of solar and wind energy in one year10&#10;Target of 82% of power from renewables by 203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15921" name="Picture 19" descr="The infographic shows the following information:&#10;A$300 billion in potential hydrogen investments1&#10;Over 100 major hydrogen projects planned2&#10;+37,000 km2 of future wind generation3&#10;Larger than the surface area of Belgium or the Netherlands&#10;The 2nd highest potential for solar power4&#10;6th-largest producer of solar energy5&#10;Sufficient to power 7 million homes6&#10;1st in per capita terms⁵&#10;Almost 40,000 renewable energy patents in two decades7&#10;7th for renewable energy patents per head7&#10;10,700 patents in solar technologies7&#10;4,000 patents in wind technologies7&#10;4,000 patents in bioenergy technologies7&#10;Largest producer of lithium in the world&#10;Largest reserves of nickel, zinc and&#10;iron ore&#10;2nd largest reserves of lithium, copper, cobalt and tantalum8&#10;5th-most attractive country for renewable energy investment9&#10;9.3 terawatt-hours more of solar and wind energy in one year10&#10;Target of 82% of power from renewables by 203011&#10;"/>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6336030" cy="4164965"/>
                    </a:xfrm>
                    <a:prstGeom prst="rect">
                      <a:avLst/>
                    </a:prstGeom>
                    <a:ln>
                      <a:noFill/>
                    </a:ln>
                    <a:extLst>
                      <a:ext uri="{53640926-AAD7-44D8-BBD7-CCE9431645EC}">
                        <a14:shadowObscured xmlns:a14="http://schemas.microsoft.com/office/drawing/2010/main"/>
                      </a:ext>
                    </a:extLst>
                  </pic:spPr>
                </pic:pic>
              </a:graphicData>
            </a:graphic>
          </wp:inline>
        </w:drawing>
      </w:r>
    </w:p>
    <w:p w14:paraId="3CA4DD5D" w14:textId="529B412D" w:rsidR="00FD7AB4" w:rsidRPr="002322B7" w:rsidRDefault="00FD7AB4" w:rsidP="00FD7AB4">
      <w:pPr>
        <w:pStyle w:val="Sourcesandnotes"/>
      </w:pPr>
      <w:r w:rsidRPr="002322B7">
        <w:rPr>
          <w:b/>
          <w:bCs/>
        </w:rPr>
        <w:t>Sources: 1.</w:t>
      </w:r>
      <w:r w:rsidRPr="0012529D">
        <w:rPr>
          <w:b/>
        </w:rPr>
        <w:t xml:space="preserve"> </w:t>
      </w:r>
      <w:r w:rsidR="00B04209" w:rsidRPr="002322B7">
        <w:t xml:space="preserve">Department of </w:t>
      </w:r>
      <w:r w:rsidR="000E284F" w:rsidRPr="002322B7">
        <w:t>Climate Change, Energy, the Environment and Water</w:t>
      </w:r>
      <w:r w:rsidRPr="002322B7">
        <w:t>,</w:t>
      </w:r>
      <w:r w:rsidR="000E284F" w:rsidRPr="002322B7">
        <w:t xml:space="preserve"> </w:t>
      </w:r>
      <w:r w:rsidRPr="002322B7">
        <w:t>2024,</w:t>
      </w:r>
      <w:r w:rsidR="000E284F" w:rsidRPr="002322B7">
        <w:t xml:space="preserve"> </w:t>
      </w:r>
      <w:r w:rsidR="00826930" w:rsidRPr="002322B7">
        <w:t>Australia’s National Hydrogen Strategy</w:t>
      </w:r>
      <w:r w:rsidRPr="002322B7">
        <w:t xml:space="preserve">. </w:t>
      </w:r>
      <w:r w:rsidRPr="002322B7">
        <w:rPr>
          <w:b/>
          <w:bCs/>
        </w:rPr>
        <w:t>2.</w:t>
      </w:r>
      <w:r w:rsidRPr="0012529D">
        <w:rPr>
          <w:b/>
        </w:rPr>
        <w:t xml:space="preserve"> </w:t>
      </w:r>
      <w:r w:rsidRPr="002322B7">
        <w:t xml:space="preserve">Geoscience Australia, 2022, Australian Hydrogen projects dataset, September 2022. </w:t>
      </w:r>
      <w:r w:rsidRPr="002322B7">
        <w:rPr>
          <w:b/>
          <w:bCs/>
        </w:rPr>
        <w:t>3.</w:t>
      </w:r>
      <w:r w:rsidRPr="002322B7">
        <w:t xml:space="preserve"> </w:t>
      </w:r>
      <w:r w:rsidR="0012529D" w:rsidRPr="0012529D">
        <w:t xml:space="preserve">Department of Climate Change, Energy, the Environment and Water, 2024, Australia's offshore wind areas. </w:t>
      </w:r>
      <w:r w:rsidR="0012529D" w:rsidRPr="0012529D">
        <w:rPr>
          <w:b/>
          <w:bCs/>
        </w:rPr>
        <w:t>4.</w:t>
      </w:r>
      <w:r w:rsidR="0012529D" w:rsidRPr="0012529D">
        <w:t xml:space="preserve"> </w:t>
      </w:r>
      <w:r w:rsidRPr="002322B7">
        <w:t xml:space="preserve">The World Bank, 2023, Global photovoltaic power potential by country. </w:t>
      </w:r>
      <w:r w:rsidRPr="002322B7">
        <w:rPr>
          <w:b/>
          <w:bCs/>
        </w:rPr>
        <w:t>5.</w:t>
      </w:r>
      <w:r w:rsidRPr="0012529D">
        <w:t xml:space="preserve"> </w:t>
      </w:r>
      <w:r w:rsidRPr="002322B7">
        <w:t xml:space="preserve">The World Bank, 2024, The </w:t>
      </w:r>
      <w:r w:rsidR="00E7486E" w:rsidRPr="002322B7">
        <w:t>W</w:t>
      </w:r>
      <w:r w:rsidRPr="002322B7">
        <w:t xml:space="preserve">orld </w:t>
      </w:r>
      <w:r w:rsidR="00E7486E" w:rsidRPr="002322B7">
        <w:t>B</w:t>
      </w:r>
      <w:r w:rsidRPr="002322B7">
        <w:t xml:space="preserve">ank open data; U.S. Energy Information Administration, 2024, Electricity data; Worldometer, 2024, Population by country; all accessed on 19 April 2024, Austrade. </w:t>
      </w:r>
      <w:r w:rsidRPr="002322B7">
        <w:rPr>
          <w:b/>
          <w:bCs/>
        </w:rPr>
        <w:t>6.</w:t>
      </w:r>
      <w:r w:rsidRPr="002322B7">
        <w:t xml:space="preserve"> Frontier Economics, 2020, Residential energy consumption benchmarks.</w:t>
      </w:r>
      <w:r w:rsidRPr="0012529D">
        <w:rPr>
          <w:b/>
        </w:rPr>
        <w:t xml:space="preserve"> </w:t>
      </w:r>
      <w:r w:rsidRPr="002322B7">
        <w:rPr>
          <w:b/>
          <w:bCs/>
        </w:rPr>
        <w:t>7.</w:t>
      </w:r>
      <w:r w:rsidRPr="0012529D">
        <w:rPr>
          <w:b/>
        </w:rPr>
        <w:t xml:space="preserve"> </w:t>
      </w:r>
      <w:r w:rsidRPr="002322B7">
        <w:t xml:space="preserve">IRENA, 2022, Patents evolution; Worldometer, 2022, Population by country. </w:t>
      </w:r>
      <w:r w:rsidRPr="002322B7">
        <w:rPr>
          <w:b/>
          <w:bCs/>
        </w:rPr>
        <w:t>8.</w:t>
      </w:r>
      <w:r w:rsidRPr="0012529D">
        <w:t xml:space="preserve"> </w:t>
      </w:r>
      <w:r w:rsidRPr="002322B7">
        <w:t xml:space="preserve">Geoscience Australia, 2024, Australia’s Identified Mineral Resources; US Department of the Interior, 2024, Mineral Commodity Summaries. </w:t>
      </w:r>
      <w:r w:rsidRPr="002322B7">
        <w:rPr>
          <w:b/>
          <w:bCs/>
        </w:rPr>
        <w:t>9.</w:t>
      </w:r>
      <w:r w:rsidRPr="0012529D">
        <w:t xml:space="preserve"> </w:t>
      </w:r>
      <w:r w:rsidRPr="002322B7">
        <w:t xml:space="preserve">EY, 2024, Renewable Energy Country Attractiveness Index 2023. </w:t>
      </w:r>
      <w:r w:rsidR="00B50514" w:rsidRPr="002322B7">
        <w:rPr>
          <w:b/>
          <w:bCs/>
        </w:rPr>
        <w:t>10.</w:t>
      </w:r>
      <w:r w:rsidR="00B50514" w:rsidRPr="002322B7">
        <w:t xml:space="preserve"> Department of Industry, Science, Energy and Resources (2024) Australian Energy Statistics. </w:t>
      </w:r>
      <w:r w:rsidRPr="002322B7">
        <w:rPr>
          <w:b/>
          <w:bCs/>
        </w:rPr>
        <w:t>1</w:t>
      </w:r>
      <w:r w:rsidR="00B50514" w:rsidRPr="002322B7">
        <w:rPr>
          <w:b/>
          <w:bCs/>
        </w:rPr>
        <w:t>1</w:t>
      </w:r>
      <w:r w:rsidRPr="002322B7">
        <w:rPr>
          <w:b/>
          <w:bCs/>
        </w:rPr>
        <w:t>.</w:t>
      </w:r>
      <w:r w:rsidRPr="002322B7">
        <w:t xml:space="preserve"> Department of Climate Change, Energy, the Environment and Water, 2022, Government backs next-generation renewable technology</w:t>
      </w:r>
      <w:r w:rsidR="00B50514" w:rsidRPr="002322B7">
        <w:t>;</w:t>
      </w:r>
      <w:r w:rsidRPr="002322B7">
        <w:t xml:space="preserve"> Austrade.</w:t>
      </w:r>
    </w:p>
    <w:p w14:paraId="785EC9C7" w14:textId="7CE1C985" w:rsidR="009856D0" w:rsidRPr="002322B7" w:rsidRDefault="009856D0" w:rsidP="009856D0">
      <w:pPr>
        <w:pStyle w:val="Heading-level2"/>
      </w:pPr>
      <w:bookmarkStart w:id="40" w:name="_Toc178256557"/>
      <w:r w:rsidRPr="002322B7">
        <w:lastRenderedPageBreak/>
        <w:t xml:space="preserve">Abundant minerals for </w:t>
      </w:r>
      <w:r w:rsidR="005645A1" w:rsidRPr="002322B7">
        <w:t xml:space="preserve">a </w:t>
      </w:r>
      <w:r w:rsidRPr="002322B7">
        <w:t>net zero transformation</w:t>
      </w:r>
      <w:bookmarkEnd w:id="40"/>
    </w:p>
    <w:p w14:paraId="0D0C935D" w14:textId="66B4F222" w:rsidR="009856D0" w:rsidRPr="002322B7" w:rsidRDefault="009856D0" w:rsidP="003F1867">
      <w:pPr>
        <w:pStyle w:val="Body-copy"/>
        <w:rPr>
          <w:lang w:val="en-AU"/>
        </w:rPr>
      </w:pPr>
      <w:r w:rsidRPr="002322B7">
        <w:rPr>
          <w:lang w:val="en-AU"/>
        </w:rPr>
        <w:t xml:space="preserve">Australia is a secure and reliable source of minerals. </w:t>
      </w:r>
      <w:r w:rsidR="00A23494">
        <w:rPr>
          <w:lang w:val="en-AU"/>
        </w:rPr>
        <w:t>And w</w:t>
      </w:r>
      <w:r w:rsidRPr="002322B7">
        <w:rPr>
          <w:lang w:val="en-AU"/>
        </w:rPr>
        <w:t>ith abundant reserves and an advanced mining industry, Australia will remain a top exporter of minerals. Australia boasts the largest reserves of iron ore</w:t>
      </w:r>
      <w:r w:rsidR="00D02E5D">
        <w:rPr>
          <w:lang w:val="en-AU"/>
        </w:rPr>
        <w:t xml:space="preserve"> i</w:t>
      </w:r>
      <w:r w:rsidRPr="002322B7">
        <w:rPr>
          <w:lang w:val="en-AU"/>
        </w:rPr>
        <w:t>nclud</w:t>
      </w:r>
      <w:r w:rsidR="00D02E5D">
        <w:rPr>
          <w:lang w:val="en-AU"/>
        </w:rPr>
        <w:t>ing</w:t>
      </w:r>
      <w:r w:rsidRPr="002322B7">
        <w:rPr>
          <w:lang w:val="en-AU"/>
        </w:rPr>
        <w:t xml:space="preserve"> magnetite and high-grade hematite</w:t>
      </w:r>
      <w:r w:rsidR="004E4586" w:rsidRPr="002322B7">
        <w:rPr>
          <w:lang w:val="en-AU"/>
        </w:rPr>
        <w:t xml:space="preserve">, which are ideal </w:t>
      </w:r>
      <w:r w:rsidRPr="002322B7">
        <w:rPr>
          <w:lang w:val="en-AU"/>
        </w:rPr>
        <w:t xml:space="preserve">for green steel production. </w:t>
      </w:r>
      <w:r w:rsidR="005F7C47">
        <w:rPr>
          <w:lang w:val="en-AU"/>
        </w:rPr>
        <w:t>We are</w:t>
      </w:r>
      <w:r w:rsidRPr="002322B7">
        <w:rPr>
          <w:lang w:val="en-AU"/>
        </w:rPr>
        <w:t xml:space="preserve"> also the world’s largest producer of lithium, which is in high global demand </w:t>
      </w:r>
      <w:r w:rsidR="00FC2617" w:rsidRPr="002322B7">
        <w:rPr>
          <w:lang w:val="en-AU"/>
        </w:rPr>
        <w:t>owing to the popularity of</w:t>
      </w:r>
      <w:r w:rsidRPr="002322B7">
        <w:rPr>
          <w:lang w:val="en-AU"/>
        </w:rPr>
        <w:t xml:space="preserve"> lithium batteries. Australia boasts the world's largest reserves of zinc and nickel, and is also becoming a </w:t>
      </w:r>
      <w:r w:rsidR="00FF37B6" w:rsidRPr="002322B7">
        <w:rPr>
          <w:lang w:val="en-AU"/>
        </w:rPr>
        <w:t xml:space="preserve">key </w:t>
      </w:r>
      <w:r w:rsidRPr="002322B7">
        <w:rPr>
          <w:lang w:val="en-AU"/>
        </w:rPr>
        <w:t xml:space="preserve">supplier of multiple rare earth minerals. </w:t>
      </w:r>
      <w:bookmarkStart w:id="41" w:name="_Hlk168464293"/>
      <w:r w:rsidR="00965603">
        <w:rPr>
          <w:lang w:val="en-AU"/>
        </w:rPr>
        <w:t xml:space="preserve">And </w:t>
      </w:r>
      <w:r w:rsidRPr="002322B7">
        <w:rPr>
          <w:lang w:val="en-AU"/>
        </w:rPr>
        <w:t xml:space="preserve">Australia is a promising destination for </w:t>
      </w:r>
      <w:r w:rsidR="004E4586" w:rsidRPr="002322B7">
        <w:rPr>
          <w:lang w:val="en-AU"/>
        </w:rPr>
        <w:t xml:space="preserve">fresh </w:t>
      </w:r>
      <w:r w:rsidRPr="002322B7">
        <w:rPr>
          <w:lang w:val="en-AU"/>
        </w:rPr>
        <w:t>investment</w:t>
      </w:r>
      <w:r w:rsidR="00F0395C" w:rsidRPr="002322B7">
        <w:rPr>
          <w:lang w:val="en-AU"/>
        </w:rPr>
        <w:t>. A</w:t>
      </w:r>
      <w:r w:rsidRPr="002322B7">
        <w:rPr>
          <w:lang w:val="en-AU"/>
        </w:rPr>
        <w:t xml:space="preserve">bout 80% of </w:t>
      </w:r>
      <w:r w:rsidR="00A1302D">
        <w:rPr>
          <w:lang w:val="en-AU"/>
        </w:rPr>
        <w:t xml:space="preserve">our </w:t>
      </w:r>
      <w:r w:rsidRPr="002322B7">
        <w:rPr>
          <w:lang w:val="en-AU"/>
        </w:rPr>
        <w:t xml:space="preserve">land </w:t>
      </w:r>
      <w:r w:rsidR="00F0395C" w:rsidRPr="002322B7">
        <w:rPr>
          <w:lang w:val="en-AU"/>
        </w:rPr>
        <w:t xml:space="preserve">is </w:t>
      </w:r>
      <w:r w:rsidRPr="002322B7">
        <w:rPr>
          <w:lang w:val="en-AU"/>
        </w:rPr>
        <w:t>still largely unexplored, offering vast potential for discovering new mineral deposits.</w:t>
      </w:r>
    </w:p>
    <w:p w14:paraId="367E1B0C" w14:textId="0E02E7BE" w:rsidR="009856D0" w:rsidRDefault="009856D0" w:rsidP="009856D0">
      <w:pPr>
        <w:pStyle w:val="Caption"/>
      </w:pPr>
      <w:bookmarkStart w:id="42" w:name="_Toc178256509"/>
      <w:bookmarkStart w:id="43" w:name="_Toc164678052"/>
      <w:bookmarkStart w:id="44" w:name="_Toc165471239"/>
      <w:bookmarkEnd w:id="41"/>
      <w:r w:rsidRPr="002322B7">
        <w:t xml:space="preserve">Figure </w:t>
      </w:r>
      <w:r w:rsidR="00CF16FA">
        <w:fldChar w:fldCharType="begin"/>
      </w:r>
      <w:r w:rsidR="00CF16FA">
        <w:instrText xml:space="preserve"> SEQ Figure \* ARABIC </w:instrText>
      </w:r>
      <w:r w:rsidR="00CF16FA">
        <w:fldChar w:fldCharType="separate"/>
      </w:r>
      <w:r w:rsidR="002459CF">
        <w:rPr>
          <w:noProof/>
        </w:rPr>
        <w:t>10</w:t>
      </w:r>
      <w:r w:rsidR="00CF16FA">
        <w:rPr>
          <w:noProof/>
        </w:rPr>
        <w:fldChar w:fldCharType="end"/>
      </w:r>
      <w:r w:rsidRPr="002322B7">
        <w:rPr>
          <w:noProof/>
        </w:rPr>
        <w:t xml:space="preserve"> </w:t>
      </w:r>
      <w:r w:rsidRPr="002322B7">
        <w:t>– Australia’s minerals - Global ranking for production and reserves, 2022</w:t>
      </w:r>
      <w:bookmarkEnd w:id="42"/>
    </w:p>
    <w:p w14:paraId="43CFE21B" w14:textId="0D71982E" w:rsidR="000D13F1" w:rsidRPr="000D13F1" w:rsidRDefault="00054FF9" w:rsidP="000D13F1">
      <w:r>
        <w:rPr>
          <w:noProof/>
        </w:rPr>
        <w:drawing>
          <wp:inline distT="0" distB="0" distL="0" distR="0" wp14:anchorId="59E7C5D8" wp14:editId="2C3D5476">
            <wp:extent cx="6336000" cy="3029421"/>
            <wp:effectExtent l="0" t="0" r="8255" b="0"/>
            <wp:docPr id="1749123898" name="Picture 20" descr="The table shows the global production and reserve rankings for a selection of Australia's minerals in 2022. The information is as follows: Iron ore rank production is #1 and #1 for reserves. Lithium rank production is #1 and #2 for reserves. Zinc rank production is #3 and #1 for reserves. Manganese Ore rank production is #3 and #4 for reserves. Rare earths rank production is #3 and #6 for reserves. Tantalum¹ rank production is #3 and #2 for reserves. Cobalt rank production is #4 and #2 for reserves. Nickel rank production is #5 and #1 for reserves. Aluminium¹ rank production is #7 and #na for reserves. Copper rank production is #8 and #2 for reserves. Graphite rank production is #na and #8 for reserves. Molybdenum rank production is #na and #5 for reser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23898" name="Picture 20" descr="The table shows the global production and reserve rankings for a selection of Australia's minerals in 2022. The information is as follows: Iron ore rank production is #1 and #1 for reserves. Lithium rank production is #1 and #2 for reserves. Zinc rank production is #3 and #1 for reserves. Manganese Ore rank production is #3 and #4 for reserves. Rare earths rank production is #3 and #6 for reserves. Tantalum¹ rank production is #3 and #2 for reserves. Cobalt rank production is #4 and #2 for reserves. Nickel rank production is #5 and #1 for reserves. Aluminium¹ rank production is #7 and #na for reserves. Copper rank production is #8 and #2 for reserves. Graphite rank production is #na and #8 for reserves. Molybdenum rank production is #na and #5 for reserves. "/>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6336000" cy="3029421"/>
                    </a:xfrm>
                    <a:prstGeom prst="rect">
                      <a:avLst/>
                    </a:prstGeom>
                    <a:ln>
                      <a:noFill/>
                    </a:ln>
                    <a:extLst>
                      <a:ext uri="{53640926-AAD7-44D8-BBD7-CCE9431645EC}">
                        <a14:shadowObscured xmlns:a14="http://schemas.microsoft.com/office/drawing/2010/main"/>
                      </a:ext>
                    </a:extLst>
                  </pic:spPr>
                </pic:pic>
              </a:graphicData>
            </a:graphic>
          </wp:inline>
        </w:drawing>
      </w:r>
    </w:p>
    <w:bookmarkEnd w:id="43"/>
    <w:bookmarkEnd w:id="44"/>
    <w:p w14:paraId="2645693E" w14:textId="77777777" w:rsidR="009856D0" w:rsidRPr="002322B7" w:rsidRDefault="009856D0" w:rsidP="009856D0">
      <w:pPr>
        <w:pStyle w:val="Sourcesandnotes"/>
      </w:pPr>
      <w:r w:rsidRPr="002322B7">
        <w:rPr>
          <w:b/>
          <w:bCs/>
        </w:rPr>
        <w:t xml:space="preserve">Note: 1. </w:t>
      </w:r>
      <w:r w:rsidRPr="002322B7">
        <w:t>Information for 2023.</w:t>
      </w:r>
    </w:p>
    <w:p w14:paraId="4FE3495D" w14:textId="77777777" w:rsidR="009856D0" w:rsidRPr="002322B7" w:rsidRDefault="009856D0" w:rsidP="009856D0">
      <w:pPr>
        <w:pStyle w:val="Sourcesandnotes"/>
      </w:pPr>
      <w:r w:rsidRPr="002322B7">
        <w:rPr>
          <w:b/>
          <w:bCs/>
        </w:rPr>
        <w:t>Sources:</w:t>
      </w:r>
      <w:r w:rsidRPr="002322B7">
        <w:t xml:space="preserve"> Geoscience Australia, 2024, Australia’s Identified Mineral Resources; US Department of the Interior, 2024, Mineral Commodity Summaries; Austrade.</w:t>
      </w:r>
    </w:p>
    <w:p w14:paraId="108FEC81" w14:textId="77777777" w:rsidR="00A0486A" w:rsidRPr="002322B7" w:rsidRDefault="00A0486A" w:rsidP="00A0486A">
      <w:pPr>
        <w:pStyle w:val="Heading-level2"/>
      </w:pPr>
      <w:bookmarkStart w:id="45" w:name="_Toc178256558"/>
      <w:r w:rsidRPr="002322B7">
        <w:lastRenderedPageBreak/>
        <w:t>A top destination for renewables investment</w:t>
      </w:r>
      <w:bookmarkEnd w:id="45"/>
    </w:p>
    <w:p w14:paraId="7C70CD8D" w14:textId="6B1B290A" w:rsidR="00A0486A" w:rsidRPr="002322B7" w:rsidRDefault="00CA77E8" w:rsidP="003F1867">
      <w:pPr>
        <w:pStyle w:val="Body-copy"/>
        <w:rPr>
          <w:lang w:val="en-AU"/>
        </w:rPr>
      </w:pPr>
      <w:r w:rsidRPr="4FEBF9DC">
        <w:rPr>
          <w:lang w:val="en-AU"/>
        </w:rPr>
        <w:t xml:space="preserve">Australia is a top-tier location for investment in renewable energy. </w:t>
      </w:r>
      <w:r w:rsidR="00A0486A" w:rsidRPr="4FEBF9DC">
        <w:rPr>
          <w:lang w:val="en-AU"/>
        </w:rPr>
        <w:t xml:space="preserve">In </w:t>
      </w:r>
      <w:r w:rsidR="005907E2" w:rsidRPr="4FEBF9DC">
        <w:rPr>
          <w:lang w:val="en-AU"/>
        </w:rPr>
        <w:t>fact</w:t>
      </w:r>
      <w:r w:rsidR="00A0486A" w:rsidRPr="4FEBF9DC">
        <w:rPr>
          <w:lang w:val="en-AU"/>
        </w:rPr>
        <w:t>, EY ranked Australia as the 5</w:t>
      </w:r>
      <w:r w:rsidR="00A0486A" w:rsidRPr="4FEBF9DC">
        <w:rPr>
          <w:vertAlign w:val="superscript"/>
          <w:lang w:val="en-AU"/>
        </w:rPr>
        <w:t>th</w:t>
      </w:r>
      <w:r w:rsidRPr="4FEBF9DC">
        <w:rPr>
          <w:lang w:val="en-AU"/>
        </w:rPr>
        <w:t>-</w:t>
      </w:r>
      <w:r w:rsidR="00A0486A" w:rsidRPr="4FEBF9DC">
        <w:rPr>
          <w:lang w:val="en-AU"/>
        </w:rPr>
        <w:t>most attractive destination in the world for renewable energy</w:t>
      </w:r>
      <w:r w:rsidR="001D3003" w:rsidRPr="4FEBF9DC">
        <w:rPr>
          <w:lang w:val="en-AU"/>
        </w:rPr>
        <w:t xml:space="preserve"> </w:t>
      </w:r>
      <w:r w:rsidR="00A0486A" w:rsidRPr="4FEBF9DC">
        <w:rPr>
          <w:lang w:val="en-AU"/>
        </w:rPr>
        <w:t>investment</w:t>
      </w:r>
      <w:r w:rsidR="005907E2" w:rsidRPr="4FEBF9DC">
        <w:rPr>
          <w:lang w:val="en-AU"/>
        </w:rPr>
        <w:t xml:space="preserve"> in 2023</w:t>
      </w:r>
      <w:r w:rsidR="001D3003" w:rsidRPr="4FEBF9DC">
        <w:rPr>
          <w:lang w:val="en-AU"/>
        </w:rPr>
        <w:t>.</w:t>
      </w:r>
      <w:r w:rsidR="00A82D02" w:rsidRPr="4FEBF9DC">
        <w:rPr>
          <w:lang w:val="en-AU"/>
        </w:rPr>
        <w:t xml:space="preserve"> This measure takes into account factors such as energy demand, policy reliability, project stability</w:t>
      </w:r>
      <w:r w:rsidR="003F1516" w:rsidRPr="4FEBF9DC">
        <w:rPr>
          <w:lang w:val="en-AU"/>
        </w:rPr>
        <w:t xml:space="preserve"> and </w:t>
      </w:r>
      <w:r w:rsidR="00A82D02" w:rsidRPr="4FEBF9DC">
        <w:rPr>
          <w:lang w:val="en-AU"/>
        </w:rPr>
        <w:t>delivery</w:t>
      </w:r>
      <w:r w:rsidR="003F1516" w:rsidRPr="4FEBF9DC">
        <w:rPr>
          <w:lang w:val="en-AU"/>
        </w:rPr>
        <w:t>,</w:t>
      </w:r>
      <w:r w:rsidR="00A82D02" w:rsidRPr="4FEBF9DC">
        <w:rPr>
          <w:lang w:val="en-AU"/>
        </w:rPr>
        <w:t xml:space="preserve"> and </w:t>
      </w:r>
      <w:r w:rsidR="00B45471" w:rsidRPr="4FEBF9DC">
        <w:rPr>
          <w:lang w:val="en-AU"/>
        </w:rPr>
        <w:t xml:space="preserve">the </w:t>
      </w:r>
      <w:r w:rsidR="00A82D02" w:rsidRPr="4FEBF9DC">
        <w:rPr>
          <w:lang w:val="en-AU"/>
        </w:rPr>
        <w:t>diversity of natural resources.</w:t>
      </w:r>
    </w:p>
    <w:p w14:paraId="0E8A9F60" w14:textId="564B2293" w:rsidR="00A0486A" w:rsidRDefault="00FD7AB4" w:rsidP="00A0486A">
      <w:pPr>
        <w:pStyle w:val="Caption"/>
      </w:pPr>
      <w:bookmarkStart w:id="46" w:name="_Toc178256510"/>
      <w:bookmarkStart w:id="47" w:name="_Toc164678053"/>
      <w:bookmarkStart w:id="48" w:name="_Toc165471240"/>
      <w:r w:rsidRPr="002322B7">
        <w:t xml:space="preserve">Figure </w:t>
      </w:r>
      <w:r w:rsidR="00CF16FA">
        <w:fldChar w:fldCharType="begin"/>
      </w:r>
      <w:r w:rsidR="00CF16FA">
        <w:instrText xml:space="preserve"> SEQ Figure \* ARABIC </w:instrText>
      </w:r>
      <w:r w:rsidR="00CF16FA">
        <w:fldChar w:fldCharType="separate"/>
      </w:r>
      <w:r w:rsidR="002459CF">
        <w:rPr>
          <w:noProof/>
        </w:rPr>
        <w:t>11</w:t>
      </w:r>
      <w:r w:rsidR="00CF16FA">
        <w:rPr>
          <w:noProof/>
        </w:rPr>
        <w:fldChar w:fldCharType="end"/>
      </w:r>
      <w:r w:rsidR="00A0486A" w:rsidRPr="002322B7">
        <w:rPr>
          <w:noProof/>
        </w:rPr>
        <w:t xml:space="preserve"> </w:t>
      </w:r>
      <w:r w:rsidR="00A0486A" w:rsidRPr="002322B7">
        <w:t xml:space="preserve">– Renewable energy </w:t>
      </w:r>
      <w:r w:rsidR="00D32FD7">
        <w:t>region</w:t>
      </w:r>
      <w:r w:rsidR="00A0486A" w:rsidRPr="002322B7">
        <w:t xml:space="preserve"> attractiveness</w:t>
      </w:r>
      <w:bookmarkEnd w:id="46"/>
    </w:p>
    <w:p w14:paraId="1A760C19" w14:textId="1409DCC8" w:rsidR="0034244B" w:rsidRDefault="00094E67" w:rsidP="0034244B">
      <w:r>
        <w:rPr>
          <w:noProof/>
        </w:rPr>
        <w:drawing>
          <wp:inline distT="0" distB="0" distL="0" distR="0" wp14:anchorId="5967A29F" wp14:editId="4A4DF859">
            <wp:extent cx="6336030" cy="4563745"/>
            <wp:effectExtent l="0" t="0" r="7620" b="8255"/>
            <wp:docPr id="109370633" name="Picture 21" descr="The graph plots a country’s attractiveness for renewable energy in 2023. The information, including each country's ranking in brackets, is as follows: US (1) 73.9; Germany (2) 71.4; China (2) 71.4; France (4) 70.6; Australia (5) 70.2; India (6) 69.2; UK (7) 68.3; Spain (8) 67.1; Denmark (9) 66.3; Netherlands (10) 66.1; Canada (11) 65.1; Italy (14) 63.2; Poland (15) 62.4; Finland (20) 60; Taiwan (24) 59.1; Korea (27) 57.3; Philippines (32) 56.1; Vietnam (33) 56; Mexico (35) 55.5; South Africa (37) 54.3; Thailand (38) 54.2; and Saudi Arabia (40)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633" name="Picture 21" descr="The graph plots a country’s attractiveness for renewable energy in 2023. The information, including each country's ranking in brackets, is as follows: US (1) 73.9; Germany (2) 71.4; China (2) 71.4; France (4) 70.6; Australia (5) 70.2; India (6) 69.2; UK (7) 68.3; Spain (8) 67.1; Denmark (9) 66.3; Netherlands (10) 66.1; Canada (11) 65.1; Italy (14) 63.2; Poland (15) 62.4; Finland (20) 60; Taiwan (24) 59.1; Korea (27) 57.3; Philippines (32) 56.1; Vietnam (33) 56; Mexico (35) 55.5; South Africa (37) 54.3; Thailand (38) 54.2; and Saudi Arabia (40) 53.7."/>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6336030" cy="4563745"/>
                    </a:xfrm>
                    <a:prstGeom prst="rect">
                      <a:avLst/>
                    </a:prstGeom>
                    <a:ln>
                      <a:noFill/>
                    </a:ln>
                    <a:extLst>
                      <a:ext uri="{53640926-AAD7-44D8-BBD7-CCE9431645EC}">
                        <a14:shadowObscured xmlns:a14="http://schemas.microsoft.com/office/drawing/2010/main"/>
                      </a:ext>
                    </a:extLst>
                  </pic:spPr>
                </pic:pic>
              </a:graphicData>
            </a:graphic>
          </wp:inline>
        </w:drawing>
      </w:r>
    </w:p>
    <w:p w14:paraId="430BCD0A" w14:textId="303DB8A3" w:rsidR="00365EDB" w:rsidRDefault="00365EDB" w:rsidP="00365EDB"/>
    <w:bookmarkEnd w:id="47"/>
    <w:bookmarkEnd w:id="48"/>
    <w:p w14:paraId="5B27721C" w14:textId="0DA8F2A2" w:rsidR="00FD7AB4" w:rsidRPr="002322B7" w:rsidRDefault="00FD7AB4" w:rsidP="00FD7AB4">
      <w:pPr>
        <w:pStyle w:val="Sourcesandnotes"/>
      </w:pPr>
      <w:r w:rsidRPr="002322B7">
        <w:rPr>
          <w:b/>
          <w:bCs/>
        </w:rPr>
        <w:t xml:space="preserve">Source: </w:t>
      </w:r>
      <w:r w:rsidRPr="002322B7">
        <w:t>EY, 2024, Renewable Energy Country Attractiveness Index 2023, accessed February 2024, Austrade.</w:t>
      </w:r>
    </w:p>
    <w:p w14:paraId="6020009B" w14:textId="77777777" w:rsidR="00FD7AB4" w:rsidRPr="002322B7" w:rsidRDefault="00FD7AB4" w:rsidP="00FD7AB4">
      <w:pPr>
        <w:pStyle w:val="Sourcesandnotes"/>
      </w:pPr>
    </w:p>
    <w:p w14:paraId="1BCD0537" w14:textId="50006CA1" w:rsidR="00F96AE3" w:rsidRPr="002322B7" w:rsidRDefault="00972BFA" w:rsidP="00F96AE3">
      <w:pPr>
        <w:pStyle w:val="Heading-level2"/>
      </w:pPr>
      <w:bookmarkStart w:id="49" w:name="_Toc178256559"/>
      <w:r w:rsidRPr="002322B7">
        <w:lastRenderedPageBreak/>
        <w:t>Rapid growth in renewable energy</w:t>
      </w:r>
      <w:bookmarkEnd w:id="49"/>
    </w:p>
    <w:p w14:paraId="5400D113" w14:textId="2E822B91" w:rsidR="00D70BC9" w:rsidRPr="002322B7" w:rsidRDefault="00F96AE3" w:rsidP="003F1867">
      <w:pPr>
        <w:pStyle w:val="Body-copy"/>
        <w:rPr>
          <w:lang w:val="en-AU"/>
        </w:rPr>
      </w:pPr>
      <w:r w:rsidRPr="002322B7">
        <w:rPr>
          <w:lang w:val="en-AU"/>
        </w:rPr>
        <w:t xml:space="preserve">Renewables </w:t>
      </w:r>
      <w:r w:rsidR="00D33F15" w:rsidRPr="002322B7">
        <w:rPr>
          <w:lang w:val="en-AU"/>
        </w:rPr>
        <w:t xml:space="preserve">are </w:t>
      </w:r>
      <w:r w:rsidRPr="002322B7">
        <w:rPr>
          <w:lang w:val="en-AU"/>
        </w:rPr>
        <w:t>deliver</w:t>
      </w:r>
      <w:r w:rsidR="00D33F15" w:rsidRPr="002322B7">
        <w:rPr>
          <w:lang w:val="en-AU"/>
        </w:rPr>
        <w:t>ing</w:t>
      </w:r>
      <w:r w:rsidRPr="002322B7">
        <w:rPr>
          <w:lang w:val="en-AU"/>
        </w:rPr>
        <w:t xml:space="preserve"> a fast-growing share of Australia’s energy production. Over the past </w:t>
      </w:r>
      <w:r w:rsidR="008675AE" w:rsidRPr="002322B7">
        <w:rPr>
          <w:lang w:val="en-AU"/>
        </w:rPr>
        <w:t>eight years</w:t>
      </w:r>
      <w:r w:rsidRPr="002322B7">
        <w:rPr>
          <w:lang w:val="en-AU"/>
        </w:rPr>
        <w:t xml:space="preserve">, Australia’s renewable electricity production has </w:t>
      </w:r>
      <w:r w:rsidR="00D70BC9" w:rsidRPr="002322B7">
        <w:rPr>
          <w:lang w:val="en-AU"/>
        </w:rPr>
        <w:t>nearly</w:t>
      </w:r>
      <w:r w:rsidR="00CF040E" w:rsidRPr="002322B7">
        <w:rPr>
          <w:lang w:val="en-AU"/>
        </w:rPr>
        <w:t xml:space="preserve"> </w:t>
      </w:r>
      <w:r w:rsidRPr="002322B7">
        <w:rPr>
          <w:lang w:val="en-AU"/>
        </w:rPr>
        <w:t xml:space="preserve">tripled, </w:t>
      </w:r>
      <w:r w:rsidR="004F1688" w:rsidRPr="002322B7">
        <w:rPr>
          <w:lang w:val="en-AU"/>
        </w:rPr>
        <w:t>thanks to solar and wind power. In 2023 alone, these two sources contributed an additional 9.3 terawatt-hours of renewable energy to Australia's grids.</w:t>
      </w:r>
      <w:r w:rsidR="003837AC" w:rsidRPr="002322B7">
        <w:rPr>
          <w:lang w:val="en-AU"/>
        </w:rPr>
        <w:t xml:space="preserve"> </w:t>
      </w:r>
      <w:r w:rsidR="0028607A">
        <w:rPr>
          <w:lang w:val="en-AU"/>
        </w:rPr>
        <w:t xml:space="preserve">Looking forward, </w:t>
      </w:r>
      <w:r w:rsidR="004F54E2" w:rsidRPr="002322B7">
        <w:rPr>
          <w:lang w:val="en-AU"/>
        </w:rPr>
        <w:t xml:space="preserve">Australia is targeting 82% renewable energy in our electricity grids by 2030. </w:t>
      </w:r>
      <w:r w:rsidR="00D70BC9" w:rsidRPr="002322B7">
        <w:rPr>
          <w:lang w:val="en-AU"/>
        </w:rPr>
        <w:t xml:space="preserve">To </w:t>
      </w:r>
      <w:r w:rsidR="004F54E2" w:rsidRPr="002322B7">
        <w:rPr>
          <w:lang w:val="en-AU"/>
        </w:rPr>
        <w:t>meet</w:t>
      </w:r>
      <w:r w:rsidR="00D70BC9" w:rsidRPr="002322B7">
        <w:rPr>
          <w:lang w:val="en-AU"/>
        </w:rPr>
        <w:t xml:space="preserve"> this </w:t>
      </w:r>
      <w:r w:rsidR="004F54E2" w:rsidRPr="002322B7">
        <w:rPr>
          <w:lang w:val="en-AU"/>
        </w:rPr>
        <w:t>target</w:t>
      </w:r>
      <w:r w:rsidR="00D70BC9" w:rsidRPr="002322B7">
        <w:rPr>
          <w:lang w:val="en-AU"/>
        </w:rPr>
        <w:t>, the country's electricity grid will need significant upgrades</w:t>
      </w:r>
      <w:r w:rsidR="006E4A8A">
        <w:rPr>
          <w:lang w:val="en-AU"/>
        </w:rPr>
        <w:t xml:space="preserve">, which </w:t>
      </w:r>
      <w:r w:rsidR="00A14E93">
        <w:rPr>
          <w:lang w:val="en-AU"/>
        </w:rPr>
        <w:t xml:space="preserve">will </w:t>
      </w:r>
      <w:r w:rsidR="00F010E3" w:rsidRPr="002322B7">
        <w:rPr>
          <w:lang w:val="en-AU"/>
        </w:rPr>
        <w:t>open</w:t>
      </w:r>
      <w:r w:rsidR="006E4A8A">
        <w:rPr>
          <w:lang w:val="en-AU"/>
        </w:rPr>
        <w:t xml:space="preserve"> </w:t>
      </w:r>
      <w:r w:rsidR="00C93222">
        <w:rPr>
          <w:lang w:val="en-AU"/>
        </w:rPr>
        <w:t xml:space="preserve">up </w:t>
      </w:r>
      <w:r w:rsidR="00D70BC9" w:rsidRPr="002322B7">
        <w:rPr>
          <w:lang w:val="en-AU"/>
        </w:rPr>
        <w:t>new opportunities for investment.</w:t>
      </w:r>
    </w:p>
    <w:p w14:paraId="233F846F" w14:textId="25B86C25" w:rsidR="00F96AE3" w:rsidRDefault="00783DE8" w:rsidP="00F96AE3">
      <w:pPr>
        <w:pStyle w:val="Caption"/>
      </w:pPr>
      <w:bookmarkStart w:id="50" w:name="_Toc178256511"/>
      <w:bookmarkStart w:id="51" w:name="_Toc164678056"/>
      <w:r w:rsidRPr="002322B7">
        <w:t xml:space="preserve">Figure </w:t>
      </w:r>
      <w:r w:rsidR="00CF16FA">
        <w:fldChar w:fldCharType="begin"/>
      </w:r>
      <w:r w:rsidR="00CF16FA">
        <w:instrText xml:space="preserve"> SEQ Figure \* ARABIC </w:instrText>
      </w:r>
      <w:r w:rsidR="00CF16FA">
        <w:fldChar w:fldCharType="separate"/>
      </w:r>
      <w:r w:rsidR="002459CF">
        <w:rPr>
          <w:noProof/>
        </w:rPr>
        <w:t>12</w:t>
      </w:r>
      <w:r w:rsidR="00CF16FA">
        <w:rPr>
          <w:noProof/>
        </w:rPr>
        <w:fldChar w:fldCharType="end"/>
      </w:r>
      <w:r w:rsidR="00F96AE3" w:rsidRPr="002322B7">
        <w:t xml:space="preserve"> – Australia’s renewable energy generation volumes and world rankings</w:t>
      </w:r>
      <w:bookmarkEnd w:id="50"/>
    </w:p>
    <w:p w14:paraId="04678052" w14:textId="28A07A79" w:rsidR="00B65EBC" w:rsidRPr="00B65EBC" w:rsidRDefault="00881029" w:rsidP="00B65EBC">
      <w:r>
        <w:rPr>
          <w:noProof/>
        </w:rPr>
        <w:drawing>
          <wp:inline distT="0" distB="0" distL="0" distR="0" wp14:anchorId="2271E23F" wp14:editId="66A45B43">
            <wp:extent cx="6336030" cy="4508500"/>
            <wp:effectExtent l="0" t="0" r="7620" b="6350"/>
            <wp:docPr id="1597374679" name="Picture 22" descr="The graph plots Australia's renewable energy generation by year and type. &#10;The graph contains the following information: &#10;Hydropower 14.21 TWh in 2015, 17.93 TWh in 2016, 13.75 TWh in 2017, 17.53 TWh in 2018, 14.39 TWh in 2019, 14.81 TWh in 2020, 16.38 TWh in 2021, 17.37 TWh in 2022, 15.98 TWh in 2023.  Wind energy 11.83 TWh in 2015, 13.04 TWh in 2016, 13.21 TWh in 2017, 16.26 TWh in 2018, 19.47 TWh in 2019, 22.61 TWh in 2020, 26.8 TWh in 2021, 30.05 TWh in 2022, 31.87 TWh in 2023. Solar PV 6.2 TWh in 2015, 7.44 TWh in 2016, 8.92 TWh in 2017, 12.33 TWh in 2018, 18.3 TWh in 2019, 23.84 TWh in 2020, 31.19 TWh in 2021, 37.54 TWh in 2022, 44.99 TWh in 2023.  Bioenergy 3.68 TWh in 2015, 3.63 TWh in 2016, 3.56 TWh in 2017, 3.59 TWh in 2018, 3.47 TWh in 2019, 3.41 TWh in 2020, 3.34 TWh in 2021, 3.19 TWh in 2022, 3.13 TWh in 2023. TOTAL 253.98 TWh in 2015, 258.22 TWh in 2016, 258.97 TWh in 2017, 262.63 TWh in 2018, 265.9 TWh in 2019, 265.16 TWh in 2020, 267.45 TWh in 2021, 272.92 TWh in 2022, 273.11 TWh in 2023. Renewables % of total electricity generation (right-hand side) 3.7% in 2015; 3.6% in 2016; 3.6% in 2017; 3.6% in 2018; 3.5% in 2019; 3.4% in 2020; 3.3% in 2021; 3.2% in 2022; 3.1% in 20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74679" name="Picture 22" descr="The graph plots Australia's renewable energy generation by year and type. &#10;The graph contains the following information: &#10;Hydropower 14.21 TWh in 2015, 17.93 TWh in 2016, 13.75 TWh in 2017, 17.53 TWh in 2018, 14.39 TWh in 2019, 14.81 TWh in 2020, 16.38 TWh in 2021, 17.37 TWh in 2022, 15.98 TWh in 2023.  Wind energy 11.83 TWh in 2015, 13.04 TWh in 2016, 13.21 TWh in 2017, 16.26 TWh in 2018, 19.47 TWh in 2019, 22.61 TWh in 2020, 26.8 TWh in 2021, 30.05 TWh in 2022, 31.87 TWh in 2023. Solar PV 6.2 TWh in 2015, 7.44 TWh in 2016, 8.92 TWh in 2017, 12.33 TWh in 2018, 18.3 TWh in 2019, 23.84 TWh in 2020, 31.19 TWh in 2021, 37.54 TWh in 2022, 44.99 TWh in 2023.  Bioenergy 3.68 TWh in 2015, 3.63 TWh in 2016, 3.56 TWh in 2017, 3.59 TWh in 2018, 3.47 TWh in 2019, 3.41 TWh in 2020, 3.34 TWh in 2021, 3.19 TWh in 2022, 3.13 TWh in 2023. TOTAL 253.98 TWh in 2015, 258.22 TWh in 2016, 258.97 TWh in 2017, 262.63 TWh in 2018, 265.9 TWh in 2019, 265.16 TWh in 2020, 267.45 TWh in 2021, 272.92 TWh in 2022, 273.11 TWh in 2023. Renewables % of total electricity generation (right-hand side) 3.7% in 2015; 3.6% in 2016; 3.6% in 2017; 3.6% in 2018; 3.5% in 2019; 3.4% in 2020; 3.3% in 2021; 3.2% in 2022; 3.1% in 2023. &#10;"/>
                    <pic:cNvPicPr/>
                  </pic:nvPicPr>
                  <pic:blipFill rotWithShape="1">
                    <a:blip r:embed="rId25" cstate="hqprint">
                      <a:extLst>
                        <a:ext uri="{28A0092B-C50C-407E-A947-70E740481C1C}">
                          <a14:useLocalDpi xmlns:a14="http://schemas.microsoft.com/office/drawing/2010/main"/>
                        </a:ext>
                      </a:extLst>
                    </a:blip>
                    <a:srcRect/>
                    <a:stretch/>
                  </pic:blipFill>
                  <pic:spPr bwMode="auto">
                    <a:xfrm>
                      <a:off x="0" y="0"/>
                      <a:ext cx="6336030" cy="4508500"/>
                    </a:xfrm>
                    <a:prstGeom prst="rect">
                      <a:avLst/>
                    </a:prstGeom>
                    <a:ln>
                      <a:noFill/>
                    </a:ln>
                    <a:extLst>
                      <a:ext uri="{53640926-AAD7-44D8-BBD7-CCE9431645EC}">
                        <a14:shadowObscured xmlns:a14="http://schemas.microsoft.com/office/drawing/2010/main"/>
                      </a:ext>
                    </a:extLst>
                  </pic:spPr>
                </pic:pic>
              </a:graphicData>
            </a:graphic>
          </wp:inline>
        </w:drawing>
      </w:r>
    </w:p>
    <w:bookmarkEnd w:id="51"/>
    <w:p w14:paraId="0DDFE81E" w14:textId="58B33EED" w:rsidR="00F96AE3" w:rsidRPr="002322B7" w:rsidRDefault="00F96AE3" w:rsidP="00F96AE3">
      <w:pPr>
        <w:pStyle w:val="Sourcesandnotes"/>
      </w:pPr>
      <w:r w:rsidRPr="002322B7">
        <w:rPr>
          <w:b/>
          <w:bCs/>
        </w:rPr>
        <w:t>Sources:</w:t>
      </w:r>
      <w:r w:rsidRPr="002322B7">
        <w:t xml:space="preserve"> U.S. Energy Information Administration, 2023, International energy statistics;</w:t>
      </w:r>
      <w:r w:rsidR="00FF6476" w:rsidRPr="002322B7">
        <w:t xml:space="preserve"> Department of Industry, Science, Energy and Resources (2024) Australian Energy Statistics;</w:t>
      </w:r>
      <w:r w:rsidRPr="002322B7">
        <w:t xml:space="preserve"> Department of Climate Change, Energy, the Environment and Water, 2023, Government backs next-generation renewable technology, December 2022; Snowy Hydro, 2024, About Snowy 2.0; Austrade.</w:t>
      </w:r>
    </w:p>
    <w:p w14:paraId="1E977AEF" w14:textId="77777777" w:rsidR="00FD7AB4" w:rsidRPr="002322B7" w:rsidRDefault="00FD7AB4" w:rsidP="009E7878"/>
    <w:p w14:paraId="3453D960" w14:textId="77777777" w:rsidR="00FD7AB4" w:rsidRPr="002322B7" w:rsidRDefault="00FD7AB4" w:rsidP="00FD7AB4">
      <w:pPr>
        <w:pStyle w:val="Heading-level2"/>
      </w:pPr>
      <w:bookmarkStart w:id="52" w:name="_Toc164678013"/>
      <w:bookmarkStart w:id="53" w:name="_Toc165471200"/>
      <w:bookmarkStart w:id="54" w:name="_Toc178256560"/>
      <w:r w:rsidRPr="002322B7">
        <w:lastRenderedPageBreak/>
        <w:t>Solar power: Australia’s next gold rush</w:t>
      </w:r>
      <w:bookmarkEnd w:id="52"/>
      <w:bookmarkEnd w:id="53"/>
      <w:bookmarkEnd w:id="54"/>
      <w:r w:rsidRPr="002322B7">
        <w:t xml:space="preserve"> </w:t>
      </w:r>
    </w:p>
    <w:p w14:paraId="0FC6F458" w14:textId="781D4321" w:rsidR="009E7878" w:rsidRPr="002322B7" w:rsidRDefault="00841E89" w:rsidP="003F1867">
      <w:pPr>
        <w:pStyle w:val="Body-copy"/>
        <w:rPr>
          <w:lang w:val="en-AU"/>
        </w:rPr>
      </w:pPr>
      <w:bookmarkStart w:id="55" w:name="_Hlk164759033"/>
      <w:r w:rsidRPr="002322B7">
        <w:rPr>
          <w:lang w:val="en-AU"/>
        </w:rPr>
        <w:t xml:space="preserve">Australia </w:t>
      </w:r>
      <w:r>
        <w:rPr>
          <w:lang w:val="en-AU"/>
        </w:rPr>
        <w:t xml:space="preserve">is </w:t>
      </w:r>
      <w:r w:rsidRPr="002322B7">
        <w:rPr>
          <w:lang w:val="en-AU"/>
        </w:rPr>
        <w:t>one of the best locations for solar energy</w:t>
      </w:r>
      <w:r w:rsidR="0098319B">
        <w:rPr>
          <w:lang w:val="en-AU"/>
        </w:rPr>
        <w:t xml:space="preserve"> globally.</w:t>
      </w:r>
      <w:r w:rsidRPr="002322B7">
        <w:rPr>
          <w:lang w:val="en-AU"/>
        </w:rPr>
        <w:t xml:space="preserve"> </w:t>
      </w:r>
      <w:r w:rsidR="00B45471" w:rsidRPr="002322B7">
        <w:rPr>
          <w:lang w:val="en-AU"/>
        </w:rPr>
        <w:t>The Australian</w:t>
      </w:r>
      <w:r w:rsidR="00CF0DC5" w:rsidRPr="002322B7">
        <w:rPr>
          <w:lang w:val="en-AU"/>
        </w:rPr>
        <w:t xml:space="preserve"> continent receive</w:t>
      </w:r>
      <w:r w:rsidR="00311E86" w:rsidRPr="002322B7">
        <w:rPr>
          <w:lang w:val="en-AU"/>
        </w:rPr>
        <w:t>s</w:t>
      </w:r>
      <w:r w:rsidR="00CF0DC5" w:rsidRPr="002322B7">
        <w:rPr>
          <w:lang w:val="en-AU"/>
        </w:rPr>
        <w:t xml:space="preserve"> the highest </w:t>
      </w:r>
      <w:r w:rsidR="006057A7" w:rsidRPr="002322B7">
        <w:rPr>
          <w:lang w:val="en-AU"/>
        </w:rPr>
        <w:t>level of</w:t>
      </w:r>
      <w:r w:rsidR="00CF0DC5" w:rsidRPr="002322B7">
        <w:rPr>
          <w:lang w:val="en-AU"/>
        </w:rPr>
        <w:t xml:space="preserve"> solar radiation per square met</w:t>
      </w:r>
      <w:r w:rsidR="00884851">
        <w:rPr>
          <w:lang w:val="en-AU"/>
        </w:rPr>
        <w:t>re</w:t>
      </w:r>
      <w:r w:rsidR="00CF0DC5" w:rsidRPr="002322B7">
        <w:rPr>
          <w:lang w:val="en-AU"/>
        </w:rPr>
        <w:t xml:space="preserve"> </w:t>
      </w:r>
      <w:r w:rsidR="00592288" w:rsidRPr="002322B7">
        <w:rPr>
          <w:lang w:val="en-AU"/>
        </w:rPr>
        <w:t>in the world</w:t>
      </w:r>
      <w:r w:rsidR="008404C3">
        <w:rPr>
          <w:lang w:val="en-AU"/>
        </w:rPr>
        <w:t xml:space="preserve"> and our nation</w:t>
      </w:r>
      <w:r w:rsidR="007202FD" w:rsidRPr="002322B7">
        <w:rPr>
          <w:lang w:val="en-AU"/>
        </w:rPr>
        <w:t xml:space="preserve"> </w:t>
      </w:r>
      <w:r w:rsidR="00CB0937">
        <w:rPr>
          <w:lang w:val="en-AU"/>
        </w:rPr>
        <w:t>w</w:t>
      </w:r>
      <w:r w:rsidR="007202FD" w:rsidRPr="002322B7">
        <w:rPr>
          <w:lang w:val="en-AU"/>
        </w:rPr>
        <w:t>as</w:t>
      </w:r>
      <w:r w:rsidR="00CB0937">
        <w:rPr>
          <w:lang w:val="en-AU"/>
        </w:rPr>
        <w:t xml:space="preserve"> ranked as having</w:t>
      </w:r>
      <w:r w:rsidR="007202FD" w:rsidRPr="002322B7">
        <w:rPr>
          <w:lang w:val="en-AU"/>
        </w:rPr>
        <w:t xml:space="preserve"> the </w:t>
      </w:r>
      <w:r w:rsidR="00E83713" w:rsidRPr="002322B7">
        <w:rPr>
          <w:lang w:val="en-AU"/>
        </w:rPr>
        <w:t>2</w:t>
      </w:r>
      <w:r w:rsidR="00E83713" w:rsidRPr="002322B7">
        <w:rPr>
          <w:vertAlign w:val="superscript"/>
          <w:lang w:val="en-AU"/>
        </w:rPr>
        <w:t>nd</w:t>
      </w:r>
      <w:r w:rsidR="00A67BB6" w:rsidRPr="002322B7">
        <w:rPr>
          <w:lang w:val="en-AU"/>
        </w:rPr>
        <w:t>-</w:t>
      </w:r>
      <w:r w:rsidR="00326686" w:rsidRPr="002322B7">
        <w:rPr>
          <w:lang w:val="en-AU"/>
        </w:rPr>
        <w:t>highest potential</w:t>
      </w:r>
      <w:r w:rsidR="007202FD" w:rsidRPr="002322B7">
        <w:rPr>
          <w:lang w:val="en-AU"/>
        </w:rPr>
        <w:t xml:space="preserve"> </w:t>
      </w:r>
      <w:r w:rsidR="00326686" w:rsidRPr="002322B7">
        <w:rPr>
          <w:lang w:val="en-AU"/>
        </w:rPr>
        <w:t>for solar power</w:t>
      </w:r>
      <w:r w:rsidR="00697D21" w:rsidRPr="002322B7">
        <w:rPr>
          <w:lang w:val="en-AU"/>
        </w:rPr>
        <w:t xml:space="preserve">. </w:t>
      </w:r>
      <w:r w:rsidR="009E7878" w:rsidRPr="002322B7">
        <w:rPr>
          <w:lang w:val="en-AU"/>
        </w:rPr>
        <w:t xml:space="preserve">Australians are </w:t>
      </w:r>
      <w:r w:rsidR="00505728">
        <w:rPr>
          <w:lang w:val="en-AU"/>
        </w:rPr>
        <w:t xml:space="preserve">also </w:t>
      </w:r>
      <w:r w:rsidR="009E7878" w:rsidRPr="002322B7">
        <w:rPr>
          <w:lang w:val="en-AU"/>
        </w:rPr>
        <w:t>keen adopters of solar power for domestic use with over 3.7 million photovoltaic (PV) installations by late 2023</w:t>
      </w:r>
      <w:r w:rsidR="007B4FF5" w:rsidRPr="002322B7">
        <w:rPr>
          <w:lang w:val="en-AU"/>
        </w:rPr>
        <w:t>. These installations</w:t>
      </w:r>
      <w:r w:rsidR="009E7878" w:rsidRPr="002322B7">
        <w:rPr>
          <w:lang w:val="en-AU"/>
        </w:rPr>
        <w:t xml:space="preserve"> collectively generate over 34 gigawatts of power. </w:t>
      </w:r>
      <w:r w:rsidR="00035BC1">
        <w:rPr>
          <w:lang w:val="en-AU"/>
        </w:rPr>
        <w:t>This s</w:t>
      </w:r>
      <w:r w:rsidR="009E7878" w:rsidRPr="002322B7">
        <w:rPr>
          <w:lang w:val="en-AU"/>
        </w:rPr>
        <w:t xml:space="preserve">trong consumer uptake is helping to </w:t>
      </w:r>
      <w:r w:rsidR="008A2C25" w:rsidRPr="002322B7">
        <w:rPr>
          <w:lang w:val="en-AU"/>
        </w:rPr>
        <w:t>drive</w:t>
      </w:r>
      <w:r w:rsidR="009E7878" w:rsidRPr="002322B7">
        <w:rPr>
          <w:lang w:val="en-AU"/>
        </w:rPr>
        <w:t xml:space="preserve"> investment in the solar industry </w:t>
      </w:r>
      <w:r w:rsidR="00127058" w:rsidRPr="002322B7">
        <w:rPr>
          <w:lang w:val="en-AU"/>
        </w:rPr>
        <w:t xml:space="preserve">in Australia, </w:t>
      </w:r>
      <w:r w:rsidR="00C007A6" w:rsidRPr="002322B7">
        <w:rPr>
          <w:lang w:val="en-AU"/>
        </w:rPr>
        <w:t xml:space="preserve">and </w:t>
      </w:r>
      <w:r w:rsidR="001359E3">
        <w:rPr>
          <w:lang w:val="en-AU"/>
        </w:rPr>
        <w:t xml:space="preserve">demand for </w:t>
      </w:r>
      <w:r w:rsidR="00592288" w:rsidRPr="002322B7">
        <w:rPr>
          <w:lang w:val="en-AU"/>
        </w:rPr>
        <w:t>power</w:t>
      </w:r>
      <w:r w:rsidR="008A2C25" w:rsidRPr="002322B7">
        <w:rPr>
          <w:lang w:val="en-AU"/>
        </w:rPr>
        <w:t>-</w:t>
      </w:r>
      <w:r w:rsidR="009E7878" w:rsidRPr="002322B7">
        <w:rPr>
          <w:lang w:val="en-AU"/>
        </w:rPr>
        <w:t>storage technologies</w:t>
      </w:r>
      <w:r w:rsidR="00127058" w:rsidRPr="002322B7">
        <w:rPr>
          <w:lang w:val="en-AU"/>
        </w:rPr>
        <w:t>.</w:t>
      </w:r>
      <w:r w:rsidR="009E7878" w:rsidRPr="002322B7">
        <w:rPr>
          <w:lang w:val="en-AU"/>
        </w:rPr>
        <w:t xml:space="preserve"> </w:t>
      </w:r>
    </w:p>
    <w:p w14:paraId="5E989DD9" w14:textId="0F983A45" w:rsidR="00FD7AB4" w:rsidRPr="002322B7" w:rsidRDefault="009E7878" w:rsidP="00FD7AB4">
      <w:pPr>
        <w:pStyle w:val="Caption"/>
      </w:pPr>
      <w:bookmarkStart w:id="56" w:name="_Toc164678059"/>
      <w:bookmarkStart w:id="57" w:name="_Toc178256512"/>
      <w:bookmarkEnd w:id="55"/>
      <w:r w:rsidRPr="002322B7">
        <w:t xml:space="preserve">Figure </w:t>
      </w:r>
      <w:r w:rsidR="00CF16FA">
        <w:fldChar w:fldCharType="begin"/>
      </w:r>
      <w:r w:rsidR="00CF16FA">
        <w:instrText xml:space="preserve"> SEQ Figure \* ARABIC </w:instrText>
      </w:r>
      <w:r w:rsidR="00CF16FA">
        <w:fldChar w:fldCharType="separate"/>
      </w:r>
      <w:r w:rsidR="002459CF">
        <w:rPr>
          <w:noProof/>
        </w:rPr>
        <w:t>13</w:t>
      </w:r>
      <w:r w:rsidR="00CF16FA">
        <w:rPr>
          <w:noProof/>
        </w:rPr>
        <w:fldChar w:fldCharType="end"/>
      </w:r>
      <w:r w:rsidR="00FB652B" w:rsidRPr="002322B7">
        <w:t xml:space="preserve"> </w:t>
      </w:r>
      <w:r w:rsidR="00FD7AB4" w:rsidRPr="002322B7">
        <w:t xml:space="preserve">– Solar power potential¹, </w:t>
      </w:r>
      <w:r w:rsidR="00372C38">
        <w:t>t</w:t>
      </w:r>
      <w:r w:rsidR="00FD7AB4" w:rsidRPr="002322B7">
        <w:t>op 20 regions</w:t>
      </w:r>
      <w:bookmarkEnd w:id="56"/>
      <w:bookmarkEnd w:id="57"/>
    </w:p>
    <w:p w14:paraId="1FEC6B6B" w14:textId="316DAB95" w:rsidR="00FD7AB4" w:rsidRPr="002322B7" w:rsidRDefault="00186C1E" w:rsidP="00FD7AB4">
      <w:r>
        <w:rPr>
          <w:noProof/>
        </w:rPr>
        <w:drawing>
          <wp:inline distT="0" distB="0" distL="0" distR="0" wp14:anchorId="1072B3D1" wp14:editId="59CE9E86">
            <wp:extent cx="6336030" cy="4588510"/>
            <wp:effectExtent l="0" t="0" r="7620" b="2540"/>
            <wp:docPr id="484268000" name="Picture 23" descr="The graph plots the solar power potential for the top 20 regions, expressed in terawatts per day. The information, including each country's ranking in brackets, is as follows:&#10;Russia (1) 51 trillion; Australia (2) 44 trillion; Brazil (3) 44 trillion; US (4) 41 trillion; China (5) 39 trillion; Canada (6) 30 trillion; India (7) 15 trillion; Algeria (8) 14 trillion; Argentina (9) 14 trillion; Saudi Arabia (10) 13 trillion; Congo (11) 12 trillion; Mexico (12) 11 trillion; Libya (13) 11 trillion; Kazakhstan (14) 10 trillion; Iran (15) 9 trillion; Indonesia (16) 8 trillion; Niger (17) 8 trillion; Chad (18) 8 trillion; Mali (19) 7 trillion; and Angola (20) 7 tr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8000" name="Picture 23" descr="The graph plots the solar power potential for the top 20 regions, expressed in terawatts per day. The information, including each country's ranking in brackets, is as follows:&#10;Russia (1) 51 trillion; Australia (2) 44 trillion; Brazil (3) 44 trillion; US (4) 41 trillion; China (5) 39 trillion; Canada (6) 30 trillion; India (7) 15 trillion; Algeria (8) 14 trillion; Argentina (9) 14 trillion; Saudi Arabia (10) 13 trillion; Congo (11) 12 trillion; Mexico (12) 11 trillion; Libya (13) 11 trillion; Kazakhstan (14) 10 trillion; Iran (15) 9 trillion; Indonesia (16) 8 trillion; Niger (17) 8 trillion; Chad (18) 8 trillion; Mali (19) 7 trillion; and Angola (20) 7 trillion."/>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6336030" cy="4588510"/>
                    </a:xfrm>
                    <a:prstGeom prst="rect">
                      <a:avLst/>
                    </a:prstGeom>
                    <a:ln>
                      <a:noFill/>
                    </a:ln>
                    <a:extLst>
                      <a:ext uri="{53640926-AAD7-44D8-BBD7-CCE9431645EC}">
                        <a14:shadowObscured xmlns:a14="http://schemas.microsoft.com/office/drawing/2010/main"/>
                      </a:ext>
                    </a:extLst>
                  </pic:spPr>
                </pic:pic>
              </a:graphicData>
            </a:graphic>
          </wp:inline>
        </w:drawing>
      </w:r>
    </w:p>
    <w:p w14:paraId="4BE1BCB1" w14:textId="70C92BCE" w:rsidR="00FD7AB4" w:rsidRPr="002322B7" w:rsidRDefault="00FD7AB4" w:rsidP="00FD7AB4">
      <w:pPr>
        <w:pStyle w:val="Sourcesandnotes"/>
      </w:pPr>
      <w:r w:rsidRPr="002322B7">
        <w:rPr>
          <w:b/>
          <w:bCs/>
        </w:rPr>
        <w:t>Note: 1.</w:t>
      </w:r>
      <w:r w:rsidRPr="002322B7">
        <w:t xml:space="preserve"> Measured by theoretical potential solar photovoltaic power. </w:t>
      </w:r>
    </w:p>
    <w:p w14:paraId="2E109D75" w14:textId="77777777" w:rsidR="00FD7AB4" w:rsidRPr="002322B7" w:rsidRDefault="00FD7AB4" w:rsidP="00FD7AB4">
      <w:pPr>
        <w:pStyle w:val="Sourcesandnotes"/>
      </w:pPr>
      <w:r w:rsidRPr="002322B7">
        <w:rPr>
          <w:b/>
          <w:bCs/>
        </w:rPr>
        <w:t>Sources:</w:t>
      </w:r>
      <w:r w:rsidRPr="002322B7">
        <w:t xml:space="preserve"> The World Bank, 2023, Global photovoltaic power potential by country; Geoscience Australia, 2023, Australia’s solar energy resources and production; US Office of Energy Efficiency and Renewable Energy, 2023, How much power is 1 gigawatt?; Australian Photovoltaic Institute, 2024, Market Analyses (apvi.org.au); Austrade. </w:t>
      </w:r>
    </w:p>
    <w:p w14:paraId="5CE35ABB" w14:textId="77777777" w:rsidR="00A86FFE" w:rsidRPr="002322B7" w:rsidRDefault="00A86FFE" w:rsidP="00A86FFE">
      <w:pPr>
        <w:pStyle w:val="Heading-level2"/>
      </w:pPr>
      <w:bookmarkStart w:id="58" w:name="_Toc164678010"/>
      <w:bookmarkStart w:id="59" w:name="_Toc165471197"/>
      <w:bookmarkStart w:id="60" w:name="_Toc178256561"/>
      <w:r w:rsidRPr="002322B7">
        <w:lastRenderedPageBreak/>
        <w:t>The southern hemisphere’s solar powerhouse</w:t>
      </w:r>
      <w:bookmarkEnd w:id="58"/>
      <w:bookmarkEnd w:id="59"/>
      <w:bookmarkEnd w:id="60"/>
    </w:p>
    <w:p w14:paraId="191CB298" w14:textId="6104572A" w:rsidR="00A86FFE" w:rsidRPr="002322B7" w:rsidRDefault="00A86FFE" w:rsidP="003F1867">
      <w:pPr>
        <w:pStyle w:val="Body-copy"/>
        <w:rPr>
          <w:lang w:val="en-AU"/>
        </w:rPr>
      </w:pPr>
      <w:r w:rsidRPr="4FEBF9DC">
        <w:rPr>
          <w:lang w:val="en-AU"/>
        </w:rPr>
        <w:t xml:space="preserve">Australia </w:t>
      </w:r>
      <w:r w:rsidR="00DB1764" w:rsidRPr="4FEBF9DC">
        <w:rPr>
          <w:lang w:val="en-AU"/>
        </w:rPr>
        <w:t xml:space="preserve">was </w:t>
      </w:r>
      <w:r w:rsidRPr="4FEBF9DC">
        <w:rPr>
          <w:lang w:val="en-AU"/>
        </w:rPr>
        <w:t>ranked the world's 6</w:t>
      </w:r>
      <w:r w:rsidRPr="4FEBF9DC">
        <w:rPr>
          <w:vertAlign w:val="superscript"/>
          <w:lang w:val="en-AU"/>
        </w:rPr>
        <w:t>th</w:t>
      </w:r>
      <w:r w:rsidRPr="4FEBF9DC">
        <w:rPr>
          <w:lang w:val="en-AU"/>
        </w:rPr>
        <w:t xml:space="preserve">-largest producer of solar power in 2022, generating a total of 40 </w:t>
      </w:r>
      <w:r w:rsidR="00854067" w:rsidRPr="4FEBF9DC">
        <w:rPr>
          <w:lang w:val="en-AU"/>
        </w:rPr>
        <w:t>terawatt-hour</w:t>
      </w:r>
      <w:r w:rsidR="005B7402" w:rsidRPr="4FEBF9DC">
        <w:rPr>
          <w:lang w:val="en-AU"/>
        </w:rPr>
        <w:t>s</w:t>
      </w:r>
      <w:r w:rsidRPr="4FEBF9DC">
        <w:rPr>
          <w:lang w:val="en-AU"/>
        </w:rPr>
        <w:t xml:space="preserve">. Australia now produces nearly double the solar power of Mexico and the UK combined. </w:t>
      </w:r>
      <w:r w:rsidR="004F61D6" w:rsidRPr="4FEBF9DC">
        <w:rPr>
          <w:lang w:val="en-AU"/>
        </w:rPr>
        <w:t>In per capita terms, Australia became the world's largest producer of solar electricity in 2022</w:t>
      </w:r>
      <w:r w:rsidR="00AE14F1" w:rsidRPr="4FEBF9DC">
        <w:rPr>
          <w:lang w:val="en-AU"/>
        </w:rPr>
        <w:t xml:space="preserve"> at</w:t>
      </w:r>
      <w:r w:rsidR="005E6528" w:rsidRPr="4FEBF9DC">
        <w:rPr>
          <w:lang w:val="en-AU"/>
        </w:rPr>
        <w:t xml:space="preserve"> </w:t>
      </w:r>
      <w:r w:rsidR="00CF17ED" w:rsidRPr="4FEBF9DC">
        <w:rPr>
          <w:lang w:val="en-AU"/>
        </w:rPr>
        <w:t>1,500</w:t>
      </w:r>
      <w:r w:rsidR="004F61D6" w:rsidRPr="4FEBF9DC">
        <w:rPr>
          <w:lang w:val="en-AU"/>
        </w:rPr>
        <w:t xml:space="preserve"> kilowatt-hours (</w:t>
      </w:r>
      <w:r w:rsidR="00EF0FBD" w:rsidRPr="4FEBF9DC">
        <w:rPr>
          <w:lang w:val="en-AU"/>
        </w:rPr>
        <w:t>k</w:t>
      </w:r>
      <w:r w:rsidR="004F61D6" w:rsidRPr="4FEBF9DC">
        <w:rPr>
          <w:lang w:val="en-AU"/>
        </w:rPr>
        <w:t>Wh) generated per person</w:t>
      </w:r>
      <w:r w:rsidR="00FA6BAC" w:rsidRPr="4FEBF9DC">
        <w:rPr>
          <w:lang w:val="en-AU"/>
        </w:rPr>
        <w:t>. This was</w:t>
      </w:r>
      <w:r w:rsidR="00A33155" w:rsidRPr="4FEBF9DC">
        <w:rPr>
          <w:lang w:val="en-AU"/>
        </w:rPr>
        <w:t xml:space="preserve"> higher than the </w:t>
      </w:r>
      <w:r w:rsidR="00FE7A31" w:rsidRPr="4FEBF9DC">
        <w:rPr>
          <w:lang w:val="en-AU"/>
        </w:rPr>
        <w:t>Netherlands</w:t>
      </w:r>
      <w:r w:rsidR="00A33155" w:rsidRPr="4FEBF9DC">
        <w:rPr>
          <w:lang w:val="en-AU"/>
        </w:rPr>
        <w:t xml:space="preserve"> (</w:t>
      </w:r>
      <w:r w:rsidR="00FE7A31" w:rsidRPr="4FEBF9DC">
        <w:rPr>
          <w:lang w:val="en-AU"/>
        </w:rPr>
        <w:t>997 k</w:t>
      </w:r>
      <w:r w:rsidR="00283A86" w:rsidRPr="4FEBF9DC">
        <w:rPr>
          <w:lang w:val="en-AU"/>
        </w:rPr>
        <w:t>W</w:t>
      </w:r>
      <w:r w:rsidR="00FE7A31" w:rsidRPr="4FEBF9DC">
        <w:rPr>
          <w:lang w:val="en-AU"/>
        </w:rPr>
        <w:t>h</w:t>
      </w:r>
      <w:r w:rsidR="00CF1179" w:rsidRPr="4FEBF9DC">
        <w:rPr>
          <w:lang w:val="en-AU"/>
        </w:rPr>
        <w:t xml:space="preserve"> per person</w:t>
      </w:r>
      <w:r w:rsidR="00FE7A31" w:rsidRPr="4FEBF9DC">
        <w:rPr>
          <w:lang w:val="en-AU"/>
        </w:rPr>
        <w:t>), Japan (</w:t>
      </w:r>
      <w:r w:rsidR="00566BCE" w:rsidRPr="4FEBF9DC">
        <w:rPr>
          <w:lang w:val="en-AU"/>
        </w:rPr>
        <w:t>745 k</w:t>
      </w:r>
      <w:r w:rsidR="00283A86" w:rsidRPr="4FEBF9DC">
        <w:rPr>
          <w:lang w:val="en-AU"/>
        </w:rPr>
        <w:t>W</w:t>
      </w:r>
      <w:r w:rsidR="00566BCE" w:rsidRPr="4FEBF9DC">
        <w:rPr>
          <w:lang w:val="en-AU"/>
        </w:rPr>
        <w:t>h</w:t>
      </w:r>
      <w:r w:rsidR="00CF1179" w:rsidRPr="4FEBF9DC">
        <w:rPr>
          <w:lang w:val="en-AU"/>
        </w:rPr>
        <w:t xml:space="preserve"> per person</w:t>
      </w:r>
      <w:r w:rsidR="00566BCE" w:rsidRPr="4FEBF9DC">
        <w:rPr>
          <w:lang w:val="en-AU"/>
        </w:rPr>
        <w:t xml:space="preserve">) </w:t>
      </w:r>
      <w:r w:rsidR="007B6BA1" w:rsidRPr="4FEBF9DC">
        <w:rPr>
          <w:lang w:val="en-AU"/>
        </w:rPr>
        <w:t>and</w:t>
      </w:r>
      <w:r w:rsidR="00B2508E" w:rsidRPr="4FEBF9DC">
        <w:rPr>
          <w:lang w:val="en-AU"/>
        </w:rPr>
        <w:t xml:space="preserve"> </w:t>
      </w:r>
      <w:r w:rsidR="00555D33" w:rsidRPr="4FEBF9DC">
        <w:rPr>
          <w:lang w:val="en-AU"/>
        </w:rPr>
        <w:t>Germany (</w:t>
      </w:r>
      <w:r w:rsidR="008041AE" w:rsidRPr="4FEBF9DC">
        <w:rPr>
          <w:lang w:val="en-AU"/>
        </w:rPr>
        <w:t>691 k</w:t>
      </w:r>
      <w:r w:rsidR="000E4253" w:rsidRPr="4FEBF9DC">
        <w:rPr>
          <w:lang w:val="en-AU"/>
        </w:rPr>
        <w:t>W</w:t>
      </w:r>
      <w:r w:rsidR="008041AE" w:rsidRPr="4FEBF9DC">
        <w:rPr>
          <w:lang w:val="en-AU"/>
        </w:rPr>
        <w:t>h</w:t>
      </w:r>
      <w:r w:rsidR="00CF1179" w:rsidRPr="4FEBF9DC">
        <w:rPr>
          <w:lang w:val="en-AU"/>
        </w:rPr>
        <w:t xml:space="preserve"> per </w:t>
      </w:r>
      <w:r w:rsidR="00B22A24" w:rsidRPr="4FEBF9DC">
        <w:rPr>
          <w:lang w:val="en-AU"/>
        </w:rPr>
        <w:t>person</w:t>
      </w:r>
      <w:r w:rsidR="008041AE" w:rsidRPr="4FEBF9DC">
        <w:rPr>
          <w:lang w:val="en-AU"/>
        </w:rPr>
        <w:t>)</w:t>
      </w:r>
      <w:r w:rsidR="004F61D6" w:rsidRPr="4FEBF9DC">
        <w:rPr>
          <w:lang w:val="en-AU"/>
        </w:rPr>
        <w:t xml:space="preserve">. </w:t>
      </w:r>
      <w:r w:rsidRPr="4FEBF9DC">
        <w:rPr>
          <w:lang w:val="en-AU"/>
        </w:rPr>
        <w:t>Mega projects include the 26</w:t>
      </w:r>
      <w:r w:rsidR="00D17C74">
        <w:rPr>
          <w:lang w:val="en-AU"/>
        </w:rPr>
        <w:t xml:space="preserve"> </w:t>
      </w:r>
      <w:r w:rsidR="00774EDC" w:rsidRPr="00774EDC">
        <w:rPr>
          <w:lang w:val="en-AU"/>
        </w:rPr>
        <w:t>gigawatt</w:t>
      </w:r>
      <w:r w:rsidRPr="4FEBF9DC">
        <w:rPr>
          <w:lang w:val="en-AU"/>
        </w:rPr>
        <w:t xml:space="preserve"> Australian Renewable Energy Hub (AREH). Located in the Pilbara region of Western Australia, the 6,500 km</w:t>
      </w:r>
      <w:r w:rsidRPr="4FEBF9DC">
        <w:rPr>
          <w:vertAlign w:val="superscript"/>
          <w:lang w:val="en-AU"/>
        </w:rPr>
        <w:t>2</w:t>
      </w:r>
      <w:r w:rsidRPr="4FEBF9DC">
        <w:rPr>
          <w:lang w:val="en-AU"/>
        </w:rPr>
        <w:t xml:space="preserve"> wind and solar AREH project will export green hydrogen. </w:t>
      </w:r>
    </w:p>
    <w:p w14:paraId="7CFC31F4" w14:textId="05B13CEA" w:rsidR="00A86FFE" w:rsidRDefault="00A86FFE" w:rsidP="00A86FFE">
      <w:pPr>
        <w:pStyle w:val="Caption"/>
      </w:pPr>
      <w:bookmarkStart w:id="61" w:name="_Toc178256513"/>
      <w:r w:rsidRPr="002322B7">
        <w:t xml:space="preserve">Figure </w:t>
      </w:r>
      <w:r w:rsidR="00CF16FA">
        <w:fldChar w:fldCharType="begin"/>
      </w:r>
      <w:r w:rsidR="00CF16FA">
        <w:instrText xml:space="preserve"> SEQ Figure \* ARABIC </w:instrText>
      </w:r>
      <w:r w:rsidR="00CF16FA">
        <w:fldChar w:fldCharType="separate"/>
      </w:r>
      <w:r w:rsidR="002459CF">
        <w:rPr>
          <w:noProof/>
        </w:rPr>
        <w:t>14</w:t>
      </w:r>
      <w:r w:rsidR="00CF16FA">
        <w:rPr>
          <w:noProof/>
        </w:rPr>
        <w:fldChar w:fldCharType="end"/>
      </w:r>
      <w:r w:rsidRPr="002322B7">
        <w:rPr>
          <w:noProof/>
        </w:rPr>
        <w:t xml:space="preserve"> </w:t>
      </w:r>
      <w:r w:rsidRPr="002322B7">
        <w:t>– Electricity generated by solar – selected regions</w:t>
      </w:r>
      <w:bookmarkEnd w:id="61"/>
    </w:p>
    <w:p w14:paraId="069DAA56" w14:textId="2DF5FD2A" w:rsidR="00186C1E" w:rsidRPr="00186C1E" w:rsidRDefault="00186C1E" w:rsidP="00186C1E">
      <w:r>
        <w:rPr>
          <w:noProof/>
        </w:rPr>
        <w:drawing>
          <wp:inline distT="0" distB="0" distL="0" distR="0" wp14:anchorId="50FDFBE3" wp14:editId="46A59840">
            <wp:extent cx="6300000" cy="4767372"/>
            <wp:effectExtent l="0" t="0" r="5715" b="0"/>
            <wp:docPr id="1290196062" name="Picture 24" descr="The graph plots the electricity generated by solar energy in 2022, expressed in terawatts-hour per capita. &#10;The information, including each country's ranking in brackets, is as follows: Russia (1) 51 trillion; Australia (2) 44 trillion; Brazil (3) 44 trillion; US (4) 41 trillion; China (5) 39 trillion; Canada (6) 30 trillion; India (7) 15 trillion; Algeria (8) 14 trillion; Argentina (9) 14 trillion; Saudi Arabia (10) 13 trillion; Congo (11) 12 trillion; Mexico (12) 11 trillion; Libya (13) 11 trillion; Kazakhstan (14) 10 trillion; Iran (15) 9 trillion; Indonesia (16) 8 trillion; Niger (17) 8 trillion; Chad (18) 8 trillion; Mali (19) 7 trillion; and Angola (20) 7 tr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96062" name="Picture 24" descr="The graph plots the electricity generated by solar energy in 2022, expressed in terawatts-hour per capita. &#10;The information, including each country's ranking in brackets, is as follows: Russia (1) 51 trillion; Australia (2) 44 trillion; Brazil (3) 44 trillion; US (4) 41 trillion; China (5) 39 trillion; Canada (6) 30 trillion; India (7) 15 trillion; Algeria (8) 14 trillion; Argentina (9) 14 trillion; Saudi Arabia (10) 13 trillion; Congo (11) 12 trillion; Mexico (12) 11 trillion; Libya (13) 11 trillion; Kazakhstan (14) 10 trillion; Iran (15) 9 trillion; Indonesia (16) 8 trillion; Niger (17) 8 trillion; Chad (18) 8 trillion; Mali (19) 7 trillion; and Angola (20) 7 trillion.&#10;"/>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6300000" cy="4767372"/>
                    </a:xfrm>
                    <a:prstGeom prst="rect">
                      <a:avLst/>
                    </a:prstGeom>
                    <a:ln>
                      <a:noFill/>
                    </a:ln>
                    <a:extLst>
                      <a:ext uri="{53640926-AAD7-44D8-BBD7-CCE9431645EC}">
                        <a14:shadowObscured xmlns:a14="http://schemas.microsoft.com/office/drawing/2010/main"/>
                      </a:ext>
                    </a:extLst>
                  </pic:spPr>
                </pic:pic>
              </a:graphicData>
            </a:graphic>
          </wp:inline>
        </w:drawing>
      </w:r>
    </w:p>
    <w:p w14:paraId="3861FD5B" w14:textId="77777777" w:rsidR="00A86FFE" w:rsidRPr="002322B7" w:rsidRDefault="00A86FFE" w:rsidP="00A86FFE">
      <w:pPr>
        <w:pStyle w:val="Sourcesandnotes"/>
      </w:pPr>
      <w:r w:rsidRPr="002322B7">
        <w:rPr>
          <w:b/>
          <w:bCs/>
        </w:rPr>
        <w:t>Note: 1.</w:t>
      </w:r>
      <w:r w:rsidRPr="002322B7">
        <w:t xml:space="preserve"> The number in brackets indicates the economy’s ranking across 210 economies.</w:t>
      </w:r>
    </w:p>
    <w:p w14:paraId="224156EA" w14:textId="77777777" w:rsidR="00A86FFE" w:rsidRPr="002322B7" w:rsidRDefault="00A86FFE" w:rsidP="00A86FFE">
      <w:pPr>
        <w:pStyle w:val="Sourcesandnotes"/>
      </w:pPr>
      <w:r w:rsidRPr="002322B7">
        <w:rPr>
          <w:b/>
          <w:bCs/>
        </w:rPr>
        <w:t>Sources:</w:t>
      </w:r>
      <w:r w:rsidRPr="002322B7">
        <w:t xml:space="preserve"> The World Bank, 2024, The world bank open data; U.S. Energy Information Administration, 2024, Electricity data; Worldometer, 2024, Population by country; all accessed on 19 April 2024, Austrade.</w:t>
      </w:r>
    </w:p>
    <w:p w14:paraId="4E754C19" w14:textId="77777777" w:rsidR="00FD7AB4" w:rsidRPr="002322B7" w:rsidRDefault="00FD7AB4" w:rsidP="00FD7AB4">
      <w:pPr>
        <w:pStyle w:val="Sourcesandnotes"/>
      </w:pPr>
    </w:p>
    <w:p w14:paraId="04F53693" w14:textId="77777777" w:rsidR="00FD7AB4" w:rsidRPr="002322B7" w:rsidRDefault="00FD7AB4" w:rsidP="00FD7AB4">
      <w:pPr>
        <w:pStyle w:val="Heading-level2"/>
      </w:pPr>
      <w:bookmarkStart w:id="62" w:name="_Toc164678014"/>
      <w:bookmarkStart w:id="63" w:name="_Toc165471201"/>
      <w:bookmarkStart w:id="64" w:name="_Toc178256562"/>
      <w:r w:rsidRPr="002322B7">
        <w:lastRenderedPageBreak/>
        <w:t>Efficient solar power generation</w:t>
      </w:r>
      <w:bookmarkEnd w:id="62"/>
      <w:bookmarkEnd w:id="63"/>
      <w:bookmarkEnd w:id="64"/>
    </w:p>
    <w:p w14:paraId="4E3B508F" w14:textId="7F65BDB1" w:rsidR="009E7878" w:rsidRPr="002322B7" w:rsidRDefault="009E7878" w:rsidP="003F1867">
      <w:pPr>
        <w:pStyle w:val="Body-copy"/>
        <w:rPr>
          <w:lang w:val="en-AU"/>
        </w:rPr>
      </w:pPr>
      <w:bookmarkStart w:id="65" w:name="_Hlk164759483"/>
      <w:r w:rsidRPr="4FEBF9DC">
        <w:rPr>
          <w:lang w:val="en-AU"/>
        </w:rPr>
        <w:t xml:space="preserve">Australia’s competitiveness in solar power </w:t>
      </w:r>
      <w:r w:rsidR="00CB0D75" w:rsidRPr="4FEBF9DC">
        <w:rPr>
          <w:lang w:val="en-AU"/>
        </w:rPr>
        <w:t xml:space="preserve">is due to </w:t>
      </w:r>
      <w:r w:rsidR="00D26D52" w:rsidRPr="4FEBF9DC">
        <w:rPr>
          <w:lang w:val="en-AU"/>
        </w:rPr>
        <w:t>its</w:t>
      </w:r>
      <w:r w:rsidRPr="4FEBF9DC">
        <w:rPr>
          <w:lang w:val="en-AU"/>
        </w:rPr>
        <w:t xml:space="preserve"> weather, </w:t>
      </w:r>
      <w:r w:rsidR="00CB0D75" w:rsidRPr="4FEBF9DC">
        <w:rPr>
          <w:lang w:val="en-AU"/>
        </w:rPr>
        <w:t xml:space="preserve">ideal </w:t>
      </w:r>
      <w:r w:rsidRPr="4FEBF9DC">
        <w:rPr>
          <w:lang w:val="en-AU"/>
        </w:rPr>
        <w:t xml:space="preserve">geography, supportive regulation and an efficient market. Our costs </w:t>
      </w:r>
      <w:r w:rsidR="00164039" w:rsidRPr="4FEBF9DC">
        <w:rPr>
          <w:lang w:val="en-AU"/>
        </w:rPr>
        <w:t>for</w:t>
      </w:r>
      <w:r w:rsidRPr="4FEBF9DC">
        <w:rPr>
          <w:lang w:val="en-AU"/>
        </w:rPr>
        <w:t xml:space="preserve"> solar power production fell by 91% from 2010 to 2024</w:t>
      </w:r>
      <w:r w:rsidR="00C15E25" w:rsidRPr="4FEBF9DC">
        <w:rPr>
          <w:lang w:val="en-AU"/>
        </w:rPr>
        <w:t xml:space="preserve"> and </w:t>
      </w:r>
      <w:r w:rsidRPr="4FEBF9DC">
        <w:rPr>
          <w:lang w:val="en-AU"/>
        </w:rPr>
        <w:t>IRE</w:t>
      </w:r>
      <w:r w:rsidR="001A25E8" w:rsidRPr="4FEBF9DC">
        <w:rPr>
          <w:lang w:val="en-AU"/>
        </w:rPr>
        <w:t>N</w:t>
      </w:r>
      <w:r w:rsidRPr="4FEBF9DC">
        <w:rPr>
          <w:lang w:val="en-AU"/>
        </w:rPr>
        <w:t xml:space="preserve">A </w:t>
      </w:r>
      <w:r w:rsidR="0050567B" w:rsidRPr="4FEBF9DC">
        <w:rPr>
          <w:lang w:val="en-AU"/>
        </w:rPr>
        <w:t xml:space="preserve">now </w:t>
      </w:r>
      <w:r w:rsidRPr="4FEBF9DC">
        <w:rPr>
          <w:lang w:val="en-AU"/>
        </w:rPr>
        <w:t>rank</w:t>
      </w:r>
      <w:r w:rsidR="0050567B" w:rsidRPr="4FEBF9DC">
        <w:rPr>
          <w:lang w:val="en-AU"/>
        </w:rPr>
        <w:t>s</w:t>
      </w:r>
      <w:r w:rsidRPr="4FEBF9DC">
        <w:rPr>
          <w:lang w:val="en-AU"/>
        </w:rPr>
        <w:t xml:space="preserve"> Australia</w:t>
      </w:r>
      <w:r w:rsidR="0050567B" w:rsidRPr="4FEBF9DC">
        <w:rPr>
          <w:lang w:val="en-AU"/>
        </w:rPr>
        <w:t xml:space="preserve"> as</w:t>
      </w:r>
      <w:r w:rsidRPr="4FEBF9DC">
        <w:rPr>
          <w:lang w:val="en-AU"/>
        </w:rPr>
        <w:t xml:space="preserve"> the 5</w:t>
      </w:r>
      <w:r w:rsidRPr="4FEBF9DC">
        <w:rPr>
          <w:vertAlign w:val="superscript"/>
          <w:lang w:val="en-AU"/>
        </w:rPr>
        <w:t>th</w:t>
      </w:r>
      <w:r w:rsidRPr="4FEBF9DC">
        <w:rPr>
          <w:lang w:val="en-AU"/>
        </w:rPr>
        <w:t>-most affordable nation for large-scale solar power production in the world. These low generating costs are set to attract further investment in solar power and associated grid infrastructure.</w:t>
      </w:r>
    </w:p>
    <w:p w14:paraId="548E6FC4" w14:textId="0B1C78CA" w:rsidR="00FD7AB4" w:rsidRDefault="00FB652B" w:rsidP="00FD7AB4">
      <w:pPr>
        <w:pStyle w:val="Caption"/>
      </w:pPr>
      <w:bookmarkStart w:id="66" w:name="_Toc164678060"/>
      <w:bookmarkStart w:id="67" w:name="_Toc178256514"/>
      <w:bookmarkEnd w:id="65"/>
      <w:r w:rsidRPr="002322B7">
        <w:t xml:space="preserve">Figure </w:t>
      </w:r>
      <w:r w:rsidR="00CF16FA">
        <w:fldChar w:fldCharType="begin"/>
      </w:r>
      <w:r w:rsidR="00CF16FA">
        <w:instrText xml:space="preserve"> SEQ Figure \* ARABIC </w:instrText>
      </w:r>
      <w:r w:rsidR="00CF16FA">
        <w:fldChar w:fldCharType="separate"/>
      </w:r>
      <w:r w:rsidR="002459CF">
        <w:rPr>
          <w:noProof/>
        </w:rPr>
        <w:t>15</w:t>
      </w:r>
      <w:r w:rsidR="00CF16FA">
        <w:rPr>
          <w:noProof/>
        </w:rPr>
        <w:fldChar w:fldCharType="end"/>
      </w:r>
      <w:r w:rsidRPr="002322B7">
        <w:t xml:space="preserve"> </w:t>
      </w:r>
      <w:r w:rsidR="00FD7AB4" w:rsidRPr="002322B7">
        <w:t>– Cost of solar power generation by region¹, 2022</w:t>
      </w:r>
      <w:bookmarkEnd w:id="66"/>
      <w:bookmarkEnd w:id="67"/>
    </w:p>
    <w:p w14:paraId="580AEA52" w14:textId="485EEA2A" w:rsidR="00083783" w:rsidRPr="00083783" w:rsidRDefault="00083783" w:rsidP="00083783">
      <w:r>
        <w:rPr>
          <w:noProof/>
        </w:rPr>
        <w:drawing>
          <wp:inline distT="0" distB="0" distL="0" distR="0" wp14:anchorId="3038D00A" wp14:editId="1599C19E">
            <wp:extent cx="6336030" cy="4761230"/>
            <wp:effectExtent l="0" t="0" r="7620" b="1270"/>
            <wp:docPr id="1702547878" name="Picture 25" descr="The graph plots the cost of solar power generation by region in 2022, expressed in US dollars per megawatt-hour. The information, including each country's ranking in brackets, is as follows: Japan (19) US$96 per megawatt-hour; Denmark (18) US$93 per megawatt-hour; Netherlands (17) US$90 per megawatt-hour; Germany (16) US$80 per megawatt-hour; Korea (15) US$74 per megawatt-hour; Türkiye (13) US$71 per megawatt-hour; Canada (12) US$67 per megawatt-hour; Mexico (11) US$66 per megawatt-hour; France (10) US$62 per megawatt-hour; US (9) US$58 per megawatt-hour; Brazil (8) US$53 per megawatt-hour; Chile (6) US$42 per megawatt-hour; Australia (5) US$41 per megawatt-hour; India (4) US$37 per megawatt-hour; China (3) US$37 per megawatt-hour; Saudi Arabia (2) US$36 per megawatt-hour; and UAE (1) US$26 per megawatt-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47878" name="Picture 25" descr="The graph plots the cost of solar power generation by region in 2022, expressed in US dollars per megawatt-hour. The information, including each country's ranking in brackets, is as follows: Japan (19) US$96 per megawatt-hour; Denmark (18) US$93 per megawatt-hour; Netherlands (17) US$90 per megawatt-hour; Germany (16) US$80 per megawatt-hour; Korea (15) US$74 per megawatt-hour; Türkiye (13) US$71 per megawatt-hour; Canada (12) US$67 per megawatt-hour; Mexico (11) US$66 per megawatt-hour; France (10) US$62 per megawatt-hour; US (9) US$58 per megawatt-hour; Brazil (8) US$53 per megawatt-hour; Chile (6) US$42 per megawatt-hour; Australia (5) US$41 per megawatt-hour; India (4) US$37 per megawatt-hour; China (3) US$37 per megawatt-hour; Saudi Arabia (2) US$36 per megawatt-hour; and UAE (1) US$26 per megawatt-hour."/>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6336030" cy="4761230"/>
                    </a:xfrm>
                    <a:prstGeom prst="rect">
                      <a:avLst/>
                    </a:prstGeom>
                    <a:ln>
                      <a:noFill/>
                    </a:ln>
                    <a:extLst>
                      <a:ext uri="{53640926-AAD7-44D8-BBD7-CCE9431645EC}">
                        <a14:shadowObscured xmlns:a14="http://schemas.microsoft.com/office/drawing/2010/main"/>
                      </a:ext>
                    </a:extLst>
                  </pic:spPr>
                </pic:pic>
              </a:graphicData>
            </a:graphic>
          </wp:inline>
        </w:drawing>
      </w:r>
    </w:p>
    <w:p w14:paraId="1A21F97E" w14:textId="53C0B4EE" w:rsidR="00FD7AB4" w:rsidRPr="002322B7" w:rsidRDefault="00FD7AB4" w:rsidP="00FD7AB4">
      <w:pPr>
        <w:pStyle w:val="Sourcesandnotes"/>
      </w:pPr>
      <w:bookmarkStart w:id="68" w:name="_Hlk164669664"/>
      <w:r w:rsidRPr="002322B7">
        <w:rPr>
          <w:b/>
          <w:bCs/>
        </w:rPr>
        <w:t>Note: 1.</w:t>
      </w:r>
      <w:r w:rsidRPr="002322B7">
        <w:t xml:space="preserve"> The ranking is based on the average levelised cost of energy (LCOE) from a solar photovoltaic (PV) utility-scale plant across the top 20 producers. The LCOE measures the cost of producing a unit of energy, taking into account the cost of the PV technology, capital expenditure, operation costs, and the discount rate over the typical PV plant lifetime. </w:t>
      </w:r>
    </w:p>
    <w:bookmarkEnd w:id="68"/>
    <w:p w14:paraId="246D0382" w14:textId="4AB24AD8" w:rsidR="00FD7AB4" w:rsidRPr="002322B7" w:rsidRDefault="00FD7AB4" w:rsidP="00FD7AB4">
      <w:pPr>
        <w:pStyle w:val="Sourcesandnotes"/>
      </w:pPr>
      <w:r w:rsidRPr="002322B7">
        <w:rPr>
          <w:b/>
          <w:bCs/>
        </w:rPr>
        <w:t>Source:</w:t>
      </w:r>
      <w:r w:rsidRPr="002322B7">
        <w:t xml:space="preserve"> IRENA, 2023, Renewable Power Generation Costs in 2022, International Renewable Energy Agency, Abu Dhabi; Austrade.</w:t>
      </w:r>
    </w:p>
    <w:p w14:paraId="052C5691" w14:textId="77777777" w:rsidR="00FD7AB4" w:rsidRPr="002322B7" w:rsidRDefault="00FD7AB4" w:rsidP="00BA4330"/>
    <w:p w14:paraId="11019EF8" w14:textId="77777777" w:rsidR="009E7878" w:rsidRPr="002322B7" w:rsidRDefault="009E7878" w:rsidP="009E7878">
      <w:pPr>
        <w:spacing w:before="0" w:after="160" w:line="259" w:lineRule="auto"/>
      </w:pPr>
    </w:p>
    <w:p w14:paraId="61D87B7F" w14:textId="77777777" w:rsidR="00F96AE3" w:rsidRPr="002322B7" w:rsidRDefault="00F96AE3" w:rsidP="00F96AE3">
      <w:pPr>
        <w:pStyle w:val="Sourcesandnotes"/>
      </w:pPr>
    </w:p>
    <w:p w14:paraId="5F226B97" w14:textId="6BDDE390" w:rsidR="00121203" w:rsidRPr="002322B7" w:rsidRDefault="00121203" w:rsidP="00121203">
      <w:pPr>
        <w:pStyle w:val="Heading-level2"/>
      </w:pPr>
      <w:bookmarkStart w:id="69" w:name="_Toc164678012"/>
      <w:bookmarkStart w:id="70" w:name="_Toc165471199"/>
      <w:bookmarkStart w:id="71" w:name="_Toc178256563"/>
      <w:r w:rsidRPr="002322B7">
        <w:lastRenderedPageBreak/>
        <w:t>Investment in industrial-scale hydrogen</w:t>
      </w:r>
      <w:bookmarkEnd w:id="69"/>
      <w:bookmarkEnd w:id="70"/>
      <w:bookmarkEnd w:id="71"/>
    </w:p>
    <w:p w14:paraId="468668AE" w14:textId="0388480D" w:rsidR="00121203" w:rsidRPr="002322B7" w:rsidRDefault="00E303B3" w:rsidP="003F1867">
      <w:pPr>
        <w:pStyle w:val="Body-copy"/>
        <w:rPr>
          <w:lang w:val="en-AU"/>
        </w:rPr>
      </w:pPr>
      <w:r w:rsidRPr="002322B7">
        <w:rPr>
          <w:lang w:val="en-AU"/>
        </w:rPr>
        <w:t xml:space="preserve">Australia is on </w:t>
      </w:r>
      <w:r w:rsidR="002072D4" w:rsidRPr="002322B7">
        <w:rPr>
          <w:lang w:val="en-AU"/>
        </w:rPr>
        <w:t>track</w:t>
      </w:r>
      <w:r w:rsidRPr="002322B7">
        <w:rPr>
          <w:lang w:val="en-AU"/>
        </w:rPr>
        <w:t xml:space="preserve"> to be a</w:t>
      </w:r>
      <w:r w:rsidR="00A4368F" w:rsidRPr="002322B7">
        <w:rPr>
          <w:lang w:val="en-AU"/>
        </w:rPr>
        <w:t xml:space="preserve"> global leader in </w:t>
      </w:r>
      <w:r w:rsidRPr="002322B7">
        <w:rPr>
          <w:lang w:val="en-AU"/>
        </w:rPr>
        <w:t>hydrogen</w:t>
      </w:r>
      <w:r w:rsidR="00121203" w:rsidRPr="002322B7">
        <w:rPr>
          <w:lang w:val="en-AU"/>
        </w:rPr>
        <w:t xml:space="preserve">. </w:t>
      </w:r>
      <w:r w:rsidR="00A4368F" w:rsidRPr="002322B7">
        <w:rPr>
          <w:lang w:val="en-AU"/>
        </w:rPr>
        <w:t>Over</w:t>
      </w:r>
      <w:r w:rsidR="00121203" w:rsidRPr="002322B7">
        <w:rPr>
          <w:lang w:val="en-AU"/>
        </w:rPr>
        <w:t xml:space="preserve"> 100 hydrogen projects are in active development</w:t>
      </w:r>
      <w:r w:rsidR="00634460" w:rsidRPr="002322B7">
        <w:rPr>
          <w:lang w:val="en-AU"/>
        </w:rPr>
        <w:t xml:space="preserve"> with</w:t>
      </w:r>
      <w:r w:rsidR="00751F14" w:rsidRPr="002322B7">
        <w:rPr>
          <w:lang w:val="en-AU"/>
        </w:rPr>
        <w:t xml:space="preserve"> up to </w:t>
      </w:r>
      <w:bookmarkStart w:id="72" w:name="_Hlk168562146"/>
      <w:r w:rsidR="00751F14" w:rsidRPr="002322B7">
        <w:rPr>
          <w:lang w:val="en-AU"/>
        </w:rPr>
        <w:t xml:space="preserve">A$300 billion </w:t>
      </w:r>
      <w:r w:rsidR="00851F2B" w:rsidRPr="002322B7">
        <w:rPr>
          <w:lang w:val="en-AU"/>
        </w:rPr>
        <w:t>in</w:t>
      </w:r>
      <w:r w:rsidR="00751F14" w:rsidRPr="002322B7">
        <w:rPr>
          <w:lang w:val="en-AU"/>
        </w:rPr>
        <w:t xml:space="preserve"> potential hydrogen investments</w:t>
      </w:r>
      <w:bookmarkEnd w:id="72"/>
      <w:r w:rsidR="00121203" w:rsidRPr="002322B7">
        <w:rPr>
          <w:lang w:val="en-AU"/>
        </w:rPr>
        <w:t xml:space="preserve">. Abundant wind and solar power </w:t>
      </w:r>
      <w:r w:rsidR="003C6B70">
        <w:rPr>
          <w:lang w:val="en-AU"/>
        </w:rPr>
        <w:t>are</w:t>
      </w:r>
      <w:r w:rsidR="00121203" w:rsidRPr="002322B7">
        <w:rPr>
          <w:lang w:val="en-AU"/>
        </w:rPr>
        <w:t xml:space="preserve"> supporting a rapid scaling of green hydrogen projects</w:t>
      </w:r>
      <w:r w:rsidR="001E1DEA">
        <w:rPr>
          <w:lang w:val="en-AU"/>
        </w:rPr>
        <w:t xml:space="preserve"> with </w:t>
      </w:r>
      <w:r w:rsidR="00121203" w:rsidRPr="002322B7">
        <w:rPr>
          <w:lang w:val="en-AU"/>
        </w:rPr>
        <w:t>Australia</w:t>
      </w:r>
      <w:r w:rsidR="00B558B6" w:rsidRPr="002322B7">
        <w:rPr>
          <w:lang w:val="en-AU"/>
        </w:rPr>
        <w:t xml:space="preserve"> </w:t>
      </w:r>
      <w:r w:rsidR="00121203" w:rsidRPr="002322B7">
        <w:rPr>
          <w:lang w:val="en-AU"/>
        </w:rPr>
        <w:t>set to become an exporter of green hydrogen to high</w:t>
      </w:r>
      <w:r w:rsidR="004D5087" w:rsidRPr="002322B7">
        <w:rPr>
          <w:lang w:val="en-AU"/>
        </w:rPr>
        <w:t>-</w:t>
      </w:r>
      <w:r w:rsidR="00121203" w:rsidRPr="002322B7">
        <w:rPr>
          <w:lang w:val="en-AU"/>
        </w:rPr>
        <w:t>demand hubs in Asia</w:t>
      </w:r>
      <w:r w:rsidR="00975981">
        <w:rPr>
          <w:lang w:val="en-AU"/>
        </w:rPr>
        <w:t xml:space="preserve"> like</w:t>
      </w:r>
      <w:r w:rsidR="00121203" w:rsidRPr="002322B7">
        <w:rPr>
          <w:lang w:val="en-AU"/>
        </w:rPr>
        <w:t xml:space="preserve"> Japan, Singapore and Korea. </w:t>
      </w:r>
      <w:r w:rsidR="008265E0">
        <w:rPr>
          <w:lang w:val="en-AU"/>
        </w:rPr>
        <w:t>In fact, t</w:t>
      </w:r>
      <w:r w:rsidR="00121203" w:rsidRPr="002322B7">
        <w:rPr>
          <w:lang w:val="en-AU"/>
        </w:rPr>
        <w:t xml:space="preserve">he </w:t>
      </w:r>
      <w:r w:rsidR="00FB2E84" w:rsidRPr="002322B7">
        <w:rPr>
          <w:lang w:val="en-AU"/>
        </w:rPr>
        <w:t>International Energy Agency (</w:t>
      </w:r>
      <w:r w:rsidR="00121203" w:rsidRPr="002322B7">
        <w:rPr>
          <w:lang w:val="en-AU"/>
        </w:rPr>
        <w:t>IEA</w:t>
      </w:r>
      <w:r w:rsidR="00FB2E84" w:rsidRPr="002322B7">
        <w:rPr>
          <w:lang w:val="en-AU"/>
        </w:rPr>
        <w:t>)</w:t>
      </w:r>
      <w:r w:rsidR="00121203" w:rsidRPr="002322B7">
        <w:rPr>
          <w:lang w:val="en-AU"/>
        </w:rPr>
        <w:t xml:space="preserve"> recognises Australia – along with Europe – as a leader in the development of the global hydrogen industry. </w:t>
      </w:r>
    </w:p>
    <w:p w14:paraId="2D6AB979" w14:textId="07C5F18F" w:rsidR="00121203" w:rsidRDefault="006719E7" w:rsidP="00121203">
      <w:pPr>
        <w:pStyle w:val="Caption"/>
      </w:pPr>
      <w:bookmarkStart w:id="73" w:name="_Toc164873539"/>
      <w:bookmarkStart w:id="74" w:name="_Toc178256515"/>
      <w:r w:rsidRPr="002322B7">
        <w:t xml:space="preserve">Figure </w:t>
      </w:r>
      <w:r w:rsidR="00CF16FA">
        <w:fldChar w:fldCharType="begin"/>
      </w:r>
      <w:r w:rsidR="00CF16FA">
        <w:instrText xml:space="preserve"> SEQ Figure \* ARABIC </w:instrText>
      </w:r>
      <w:r w:rsidR="00CF16FA">
        <w:fldChar w:fldCharType="separate"/>
      </w:r>
      <w:r w:rsidR="002459CF">
        <w:rPr>
          <w:noProof/>
        </w:rPr>
        <w:t>16</w:t>
      </w:r>
      <w:r w:rsidR="00CF16FA">
        <w:rPr>
          <w:noProof/>
        </w:rPr>
        <w:fldChar w:fldCharType="end"/>
      </w:r>
      <w:bookmarkEnd w:id="73"/>
      <w:r w:rsidR="00121203" w:rsidRPr="002322B7">
        <w:t xml:space="preserve"> – </w:t>
      </w:r>
      <w:r w:rsidR="0041624E">
        <w:t>A sample of</w:t>
      </w:r>
      <w:r w:rsidR="0041624E" w:rsidRPr="002322B7">
        <w:t xml:space="preserve"> </w:t>
      </w:r>
      <w:r w:rsidR="00121203" w:rsidRPr="002322B7">
        <w:t>hydrogen projects in Australia</w:t>
      </w:r>
      <w:bookmarkEnd w:id="74"/>
    </w:p>
    <w:p w14:paraId="2E9423BF" w14:textId="6C117C6F" w:rsidR="00083783" w:rsidRPr="00083783" w:rsidRDefault="00535382" w:rsidP="00083783">
      <w:r>
        <w:rPr>
          <w:noProof/>
        </w:rPr>
        <w:drawing>
          <wp:inline distT="0" distB="0" distL="0" distR="0" wp14:anchorId="75DFAD53" wp14:editId="267C9CD8">
            <wp:extent cx="6336030" cy="4217670"/>
            <wp:effectExtent l="0" t="0" r="7620" b="0"/>
            <wp:docPr id="127373705" name="Picture 26" descr="The map shows key hydrogen projects in Australia. When available, the expected production weight is shown in megawatts.&#10;The project names by state/territory are:&#10;Queensland: Edify Green Hydrogen Project (1,000); HyNQ (&gt;1,000); Central Queensland Hub (&gt;5,000); and Gibson Island Green Ammonia Feasibility (550).&#10;Western Australia: Australian Renewable Energy Hub (26,000); Western Green Energy Hub (50,000); HyEnergy Project; Murchison Hydrogen Renewables (3,000) ; H2Kwinana (418); and H2Perth (250).&#10;South Australia: Cape Hardy Hub (&gt;10,000); and Hydrogen Jobs Plan Whyalla (200).&#10;Tasmania: Bell Bay Powerfuels (240); H2TAS (300); and HIF Tasmania eFuels (250).&#10;Northern Territory: Green Springs Project (10,000); Darwin Hub (&gt;1,000); and Tiwi H2 (1,400).&#10;New South Wales: Hunter Hub (&gt;2,000); and Illawarra Hub (&gt;1000).&#10;Victoria: Liquefied Hydrogen Supply Chain Commercial Demonstration Project; ad Hydrogen Portland (2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3705" name="Picture 26" descr="The map shows key hydrogen projects in Australia. When available, the expected production weight is shown in megawatts.&#10;The project names by state/territory are:&#10;Queensland: Edify Green Hydrogen Project (1,000); HyNQ (&gt;1,000); Central Queensland Hub (&gt;5,000); and Gibson Island Green Ammonia Feasibility (550).&#10;Western Australia: Australian Renewable Energy Hub (26,000); Western Green Energy Hub (50,000); HyEnergy Project; Murchison Hydrogen Renewables (3,000) ; H2Kwinana (418); and H2Perth (250).&#10;South Australia: Cape Hardy Hub (&gt;10,000); and Hydrogen Jobs Plan Whyalla (200).&#10;Tasmania: Bell Bay Powerfuels (240); H2TAS (300); and HIF Tasmania eFuels (250).&#10;Northern Territory: Green Springs Project (10,000); Darwin Hub (&gt;1,000); and Tiwi H2 (1,400).&#10;New South Wales: Hunter Hub (&gt;2,000); and Illawarra Hub (&gt;1000).&#10;Victoria: Liquefied Hydrogen Supply Chain Commercial Demonstration Project; ad Hydrogen Portland (220). &#10;"/>
                    <pic:cNvPicPr/>
                  </pic:nvPicPr>
                  <pic:blipFill rotWithShape="1">
                    <a:blip r:embed="rId29" cstate="hqprint">
                      <a:extLst>
                        <a:ext uri="{28A0092B-C50C-407E-A947-70E740481C1C}">
                          <a14:useLocalDpi xmlns:a14="http://schemas.microsoft.com/office/drawing/2010/main"/>
                        </a:ext>
                      </a:extLst>
                    </a:blip>
                    <a:srcRect/>
                    <a:stretch/>
                  </pic:blipFill>
                  <pic:spPr bwMode="auto">
                    <a:xfrm>
                      <a:off x="0" y="0"/>
                      <a:ext cx="6336030" cy="4217670"/>
                    </a:xfrm>
                    <a:prstGeom prst="rect">
                      <a:avLst/>
                    </a:prstGeom>
                    <a:ln>
                      <a:noFill/>
                    </a:ln>
                    <a:extLst>
                      <a:ext uri="{53640926-AAD7-44D8-BBD7-CCE9431645EC}">
                        <a14:shadowObscured xmlns:a14="http://schemas.microsoft.com/office/drawing/2010/main"/>
                      </a:ext>
                    </a:extLst>
                  </pic:spPr>
                </pic:pic>
              </a:graphicData>
            </a:graphic>
          </wp:inline>
        </w:drawing>
      </w:r>
    </w:p>
    <w:p w14:paraId="2F0268D2" w14:textId="711C0212" w:rsidR="00121203" w:rsidRPr="002322B7" w:rsidRDefault="00121203" w:rsidP="00121203">
      <w:pPr>
        <w:pStyle w:val="Sourcesandnotes"/>
      </w:pPr>
      <w:r w:rsidRPr="002322B7">
        <w:rPr>
          <w:b/>
          <w:bCs/>
        </w:rPr>
        <w:t>Note</w:t>
      </w:r>
      <w:r w:rsidR="005475BA">
        <w:rPr>
          <w:b/>
          <w:bCs/>
        </w:rPr>
        <w:t>s</w:t>
      </w:r>
      <w:r w:rsidRPr="002322B7">
        <w:rPr>
          <w:b/>
          <w:bCs/>
        </w:rPr>
        <w:t>: 1.</w:t>
      </w:r>
      <w:r w:rsidRPr="002322B7">
        <w:t xml:space="preserve"> The number</w:t>
      </w:r>
      <w:r w:rsidR="00C6484E" w:rsidRPr="002322B7">
        <w:t>s</w:t>
      </w:r>
      <w:r w:rsidRPr="002322B7">
        <w:t xml:space="preserve"> in brackets indicate project</w:t>
      </w:r>
      <w:r w:rsidR="00C6484E" w:rsidRPr="002322B7">
        <w:t>s’</w:t>
      </w:r>
      <w:r w:rsidRPr="002322B7">
        <w:t xml:space="preserve"> potential capacity in </w:t>
      </w:r>
      <w:r w:rsidR="00982891" w:rsidRPr="002322B7">
        <w:t>megawatt</w:t>
      </w:r>
      <w:r w:rsidR="00015821" w:rsidRPr="002322B7">
        <w:t>s</w:t>
      </w:r>
      <w:r w:rsidRPr="002322B7">
        <w:t xml:space="preserve">. </w:t>
      </w:r>
      <w:r w:rsidR="00A71BCE" w:rsidRPr="002322B7">
        <w:rPr>
          <w:b/>
          <w:bCs/>
        </w:rPr>
        <w:t>2.</w:t>
      </w:r>
      <w:r w:rsidR="00A71BCE" w:rsidRPr="002322B7">
        <w:t xml:space="preserve"> </w:t>
      </w:r>
      <w:r w:rsidR="004064CC" w:rsidRPr="002322B7">
        <w:t xml:space="preserve">Not all </w:t>
      </w:r>
      <w:r w:rsidR="00BF34A9" w:rsidRPr="002322B7">
        <w:t>k</w:t>
      </w:r>
      <w:r w:rsidR="00B3127D" w:rsidRPr="002322B7">
        <w:t xml:space="preserve">ey </w:t>
      </w:r>
      <w:r w:rsidR="00BF34A9" w:rsidRPr="002322B7">
        <w:t xml:space="preserve">hydrogen </w:t>
      </w:r>
      <w:r w:rsidR="00B3127D" w:rsidRPr="002322B7">
        <w:t>pro</w:t>
      </w:r>
      <w:r w:rsidR="00BF34A9" w:rsidRPr="002322B7">
        <w:t>ject</w:t>
      </w:r>
      <w:r w:rsidR="00EC00C4" w:rsidRPr="002322B7">
        <w:t>s</w:t>
      </w:r>
      <w:r w:rsidR="00BF34A9" w:rsidRPr="002322B7">
        <w:t xml:space="preserve"> </w:t>
      </w:r>
      <w:r w:rsidR="00EC00C4" w:rsidRPr="002322B7">
        <w:t>we</w:t>
      </w:r>
      <w:r w:rsidR="00BF34A9" w:rsidRPr="002322B7">
        <w:t xml:space="preserve">re included in the figure. </w:t>
      </w:r>
      <w:r w:rsidR="00A33866">
        <w:t>Please</w:t>
      </w:r>
      <w:r w:rsidR="00BF34A9">
        <w:t xml:space="preserve"> refer to </w:t>
      </w:r>
      <w:hyperlink r:id="rId30">
        <w:r w:rsidR="007B2074" w:rsidRPr="3097D46A">
          <w:rPr>
            <w:rStyle w:val="Hyperlink"/>
          </w:rPr>
          <w:t>https://www.csiro.au/en/maps/hydrogen-projects/</w:t>
        </w:r>
      </w:hyperlink>
      <w:r w:rsidR="007B2074">
        <w:t xml:space="preserve"> for a more comprehensive list.</w:t>
      </w:r>
    </w:p>
    <w:p w14:paraId="0A7BFC16" w14:textId="7097DAF0" w:rsidR="00121203" w:rsidRPr="002322B7" w:rsidRDefault="00121203" w:rsidP="00121203">
      <w:pPr>
        <w:pStyle w:val="Sourcesandnotes"/>
      </w:pPr>
      <w:r w:rsidRPr="002322B7">
        <w:rPr>
          <w:b/>
          <w:bCs/>
        </w:rPr>
        <w:t>Sources:</w:t>
      </w:r>
      <w:r w:rsidRPr="002322B7">
        <w:t xml:space="preserve"> Reuters, 2022, World’s first hydrogen tanker to ship test cargo to Japan from Australia; International Energy Agency, 2022, Global hydrogen review 2022; CSIRO, 2023, Hydrogen map; Geoscience Australia, 2022, Australian Hydrogen Projects dataset, September 2022; Government of South Australia, 2023, Port Bonython Hydrogen Hub; Goyder Renewables Zone, 2023, Renewable energy for South Australia; </w:t>
      </w:r>
      <w:r w:rsidR="00757FF5" w:rsidRPr="002322B7">
        <w:t xml:space="preserve">Department of Climate Change, Energy, the Environment and Water, 2024, Australia’s National Hydrogen Strategy; </w:t>
      </w:r>
      <w:r w:rsidRPr="002322B7">
        <w:t xml:space="preserve">Austrade. </w:t>
      </w:r>
    </w:p>
    <w:p w14:paraId="51828985" w14:textId="77777777" w:rsidR="00121203" w:rsidRPr="002322B7" w:rsidRDefault="00121203" w:rsidP="00121203">
      <w:pPr>
        <w:pStyle w:val="Sourcesandnotes"/>
      </w:pPr>
    </w:p>
    <w:p w14:paraId="1E2B259A" w14:textId="6791F0ED" w:rsidR="00564417" w:rsidRPr="002322B7" w:rsidRDefault="00564417" w:rsidP="00564417">
      <w:pPr>
        <w:pStyle w:val="Heading-level1"/>
      </w:pPr>
      <w:bookmarkStart w:id="75" w:name="_Toc165471176"/>
      <w:bookmarkStart w:id="76" w:name="_Toc178256564"/>
      <w:r w:rsidRPr="002322B7">
        <w:lastRenderedPageBreak/>
        <w:t>Chapter 3 – Our skills and innovation</w:t>
      </w:r>
      <w:bookmarkEnd w:id="75"/>
      <w:bookmarkEnd w:id="76"/>
    </w:p>
    <w:p w14:paraId="784E55DD" w14:textId="5D2B2454" w:rsidR="00564417" w:rsidRPr="002322B7" w:rsidRDefault="00564417" w:rsidP="00564417">
      <w:pPr>
        <w:pStyle w:val="Heading-level3"/>
      </w:pPr>
      <w:bookmarkStart w:id="77" w:name="_Toc165471177"/>
      <w:bookmarkStart w:id="78" w:name="_Toc170769056"/>
      <w:bookmarkStart w:id="79" w:name="_Toc178256565"/>
      <w:r w:rsidRPr="002322B7">
        <w:t>Top performers: from</w:t>
      </w:r>
      <w:r w:rsidR="002F3437">
        <w:t xml:space="preserve"> </w:t>
      </w:r>
      <w:r w:rsidR="001743FE">
        <w:t>academia to</w:t>
      </w:r>
      <w:r w:rsidR="002F3437">
        <w:t xml:space="preserve"> </w:t>
      </w:r>
      <w:r w:rsidR="009B6369">
        <w:t>quantum</w:t>
      </w:r>
      <w:bookmarkEnd w:id="77"/>
      <w:r w:rsidRPr="002322B7">
        <w:t xml:space="preserve"> </w:t>
      </w:r>
      <w:r w:rsidR="00663388">
        <w:t xml:space="preserve">and </w:t>
      </w:r>
      <w:r w:rsidR="00E00C89">
        <w:t>beyond</w:t>
      </w:r>
      <w:bookmarkEnd w:id="78"/>
      <w:bookmarkEnd w:id="79"/>
    </w:p>
    <w:p w14:paraId="70410614" w14:textId="26C6819D" w:rsidR="00564417" w:rsidRPr="002322B7" w:rsidRDefault="00564417" w:rsidP="00F03186">
      <w:pPr>
        <w:pStyle w:val="Body-copy"/>
        <w:rPr>
          <w:lang w:val="en-AU"/>
        </w:rPr>
      </w:pPr>
      <w:r w:rsidRPr="002322B7">
        <w:rPr>
          <w:lang w:val="en-AU"/>
        </w:rPr>
        <w:t>Australia is a highly</w:t>
      </w:r>
      <w:r w:rsidR="00686FE6">
        <w:rPr>
          <w:lang w:val="en-AU"/>
        </w:rPr>
        <w:t>-</w:t>
      </w:r>
      <w:r w:rsidRPr="002322B7">
        <w:rPr>
          <w:lang w:val="en-AU"/>
        </w:rPr>
        <w:t xml:space="preserve">skilled nation. </w:t>
      </w:r>
      <w:r w:rsidR="002D23FD" w:rsidRPr="002322B7">
        <w:rPr>
          <w:lang w:val="en-AU"/>
        </w:rPr>
        <w:t>Our</w:t>
      </w:r>
      <w:r w:rsidRPr="002322B7">
        <w:rPr>
          <w:lang w:val="en-AU"/>
        </w:rPr>
        <w:t xml:space="preserve"> technical colleges develop the skills needed by local industry, including agriculture and mining</w:t>
      </w:r>
      <w:r w:rsidR="002D23FD" w:rsidRPr="002322B7">
        <w:rPr>
          <w:lang w:val="en-AU"/>
        </w:rPr>
        <w:t>. Meanwhile,</w:t>
      </w:r>
      <w:r w:rsidRPr="002322B7">
        <w:rPr>
          <w:lang w:val="en-AU"/>
        </w:rPr>
        <w:t xml:space="preserve"> our universities create a highly capable professional workforce and entrepreneurs that power innovation in everything from med</w:t>
      </w:r>
      <w:r w:rsidR="000D1A36">
        <w:rPr>
          <w:lang w:val="en-AU"/>
        </w:rPr>
        <w:t xml:space="preserve">ical </w:t>
      </w:r>
      <w:r w:rsidRPr="002322B7">
        <w:rPr>
          <w:lang w:val="en-AU"/>
        </w:rPr>
        <w:t>tech</w:t>
      </w:r>
      <w:r w:rsidR="000D1A36">
        <w:rPr>
          <w:lang w:val="en-AU"/>
        </w:rPr>
        <w:t>nology</w:t>
      </w:r>
      <w:r w:rsidRPr="002322B7">
        <w:rPr>
          <w:lang w:val="en-AU"/>
        </w:rPr>
        <w:t xml:space="preserve"> to renewable energy.</w:t>
      </w:r>
    </w:p>
    <w:p w14:paraId="6CF6B557" w14:textId="43332234" w:rsidR="00564417" w:rsidRPr="002322B7" w:rsidRDefault="00663388" w:rsidP="00F03186">
      <w:pPr>
        <w:pStyle w:val="Body-copy"/>
        <w:rPr>
          <w:lang w:val="en-AU"/>
        </w:rPr>
      </w:pPr>
      <w:r w:rsidRPr="4FEBF9DC">
        <w:rPr>
          <w:lang w:val="en-AU"/>
        </w:rPr>
        <w:t>Australia is the 7</w:t>
      </w:r>
      <w:r w:rsidRPr="4FEBF9DC">
        <w:rPr>
          <w:vertAlign w:val="superscript"/>
          <w:lang w:val="en-AU"/>
        </w:rPr>
        <w:t>th</w:t>
      </w:r>
      <w:r w:rsidRPr="4FEBF9DC">
        <w:rPr>
          <w:lang w:val="en-AU"/>
        </w:rPr>
        <w:t>-largest spender on education in the world</w:t>
      </w:r>
      <w:r w:rsidR="004C78E3" w:rsidRPr="4FEBF9DC">
        <w:rPr>
          <w:lang w:val="en-AU"/>
        </w:rPr>
        <w:t>. T</w:t>
      </w:r>
      <w:r w:rsidRPr="4FEBF9DC">
        <w:rPr>
          <w:lang w:val="en-AU"/>
        </w:rPr>
        <w:t xml:space="preserve">his investment helps to generate the skills we need for our dynamic and advanced economy. </w:t>
      </w:r>
      <w:r w:rsidR="00763EFF" w:rsidRPr="4FEBF9DC">
        <w:rPr>
          <w:lang w:val="en-AU"/>
        </w:rPr>
        <w:t>E</w:t>
      </w:r>
      <w:r w:rsidR="00564417" w:rsidRPr="4FEBF9DC">
        <w:rPr>
          <w:lang w:val="en-AU"/>
        </w:rPr>
        <w:t>xpenditure</w:t>
      </w:r>
      <w:r w:rsidR="00763EFF" w:rsidRPr="4FEBF9DC">
        <w:rPr>
          <w:lang w:val="en-AU"/>
        </w:rPr>
        <w:t xml:space="preserve"> on formal education</w:t>
      </w:r>
      <w:r w:rsidR="00564417" w:rsidRPr="4FEBF9DC">
        <w:rPr>
          <w:lang w:val="en-AU"/>
        </w:rPr>
        <w:t xml:space="preserve"> in Australia </w:t>
      </w:r>
      <w:r w:rsidR="00763EFF" w:rsidRPr="4FEBF9DC">
        <w:rPr>
          <w:lang w:val="en-AU"/>
        </w:rPr>
        <w:t>is</w:t>
      </w:r>
      <w:r w:rsidR="00564417" w:rsidRPr="4FEBF9DC">
        <w:rPr>
          <w:lang w:val="en-AU"/>
        </w:rPr>
        <w:t xml:space="preserve"> equivalent to 6.2% of our GDP.</w:t>
      </w:r>
      <w:r w:rsidR="00DB3150" w:rsidRPr="4FEBF9DC">
        <w:rPr>
          <w:lang w:val="en-AU"/>
        </w:rPr>
        <w:t xml:space="preserve"> </w:t>
      </w:r>
      <w:r w:rsidR="00994C87" w:rsidRPr="4FEBF9DC">
        <w:rPr>
          <w:lang w:val="en-AU"/>
        </w:rPr>
        <w:t xml:space="preserve">As a result, </w:t>
      </w:r>
      <w:r w:rsidR="00DB3150" w:rsidRPr="4FEBF9DC">
        <w:rPr>
          <w:lang w:val="en-AU"/>
        </w:rPr>
        <w:t xml:space="preserve">Australia’s </w:t>
      </w:r>
      <w:r w:rsidR="00564417" w:rsidRPr="4FEBF9DC">
        <w:rPr>
          <w:lang w:val="en-AU"/>
        </w:rPr>
        <w:t xml:space="preserve">workforce </w:t>
      </w:r>
      <w:r w:rsidR="00DB3150" w:rsidRPr="4FEBF9DC">
        <w:rPr>
          <w:lang w:val="en-AU"/>
        </w:rPr>
        <w:t xml:space="preserve">is </w:t>
      </w:r>
      <w:r w:rsidR="00564417" w:rsidRPr="4FEBF9DC">
        <w:rPr>
          <w:lang w:val="en-AU"/>
        </w:rPr>
        <w:t>highly qualified</w:t>
      </w:r>
      <w:r w:rsidR="005C3AEB" w:rsidRPr="4FEBF9DC">
        <w:rPr>
          <w:lang w:val="en-AU"/>
        </w:rPr>
        <w:t xml:space="preserve"> </w:t>
      </w:r>
      <w:r w:rsidR="004078DA" w:rsidRPr="4FEBF9DC">
        <w:rPr>
          <w:lang w:val="en-AU"/>
        </w:rPr>
        <w:t>as</w:t>
      </w:r>
      <w:r w:rsidR="005C3AEB" w:rsidRPr="4FEBF9DC">
        <w:rPr>
          <w:lang w:val="en-AU"/>
        </w:rPr>
        <w:t xml:space="preserve"> a</w:t>
      </w:r>
      <w:r w:rsidR="00564417" w:rsidRPr="4FEBF9DC">
        <w:rPr>
          <w:lang w:val="en-AU"/>
        </w:rPr>
        <w:t xml:space="preserve">lmost half of our workers hold a tertiary </w:t>
      </w:r>
      <w:r w:rsidR="00BA09A3" w:rsidRPr="4FEBF9DC">
        <w:rPr>
          <w:lang w:val="en-AU"/>
        </w:rPr>
        <w:t>qualification</w:t>
      </w:r>
      <w:r w:rsidR="0063632E" w:rsidRPr="4FEBF9DC">
        <w:rPr>
          <w:lang w:val="en-AU"/>
        </w:rPr>
        <w:t xml:space="preserve">. Our workforce is also </w:t>
      </w:r>
      <w:r w:rsidR="00866232" w:rsidRPr="4FEBF9DC">
        <w:rPr>
          <w:lang w:val="en-AU"/>
        </w:rPr>
        <w:t>adaptive to change</w:t>
      </w:r>
      <w:r w:rsidR="004078DA" w:rsidRPr="4FEBF9DC">
        <w:rPr>
          <w:lang w:val="en-AU"/>
        </w:rPr>
        <w:t xml:space="preserve"> with </w:t>
      </w:r>
      <w:r w:rsidR="007107D3" w:rsidRPr="4FEBF9DC">
        <w:rPr>
          <w:lang w:val="en-AU"/>
        </w:rPr>
        <w:t>Australia</w:t>
      </w:r>
      <w:r w:rsidR="00866232" w:rsidRPr="4FEBF9DC">
        <w:rPr>
          <w:lang w:val="en-AU"/>
        </w:rPr>
        <w:t xml:space="preserve"> ranked </w:t>
      </w:r>
      <w:r w:rsidR="00AE23E5" w:rsidRPr="4FEBF9DC">
        <w:rPr>
          <w:lang w:val="en-AU"/>
        </w:rPr>
        <w:t>1</w:t>
      </w:r>
      <w:r w:rsidR="00AE23E5" w:rsidRPr="4FEBF9DC">
        <w:rPr>
          <w:vertAlign w:val="superscript"/>
          <w:lang w:val="en-AU"/>
        </w:rPr>
        <w:t>st</w:t>
      </w:r>
      <w:r w:rsidR="00564417" w:rsidRPr="4FEBF9DC">
        <w:rPr>
          <w:lang w:val="en-AU"/>
        </w:rPr>
        <w:t xml:space="preserve"> in the world for our </w:t>
      </w:r>
      <w:r w:rsidR="00B338F6" w:rsidRPr="00B338F6">
        <w:rPr>
          <w:lang w:val="en-AU"/>
        </w:rPr>
        <w:t>skills in using, adapting and adopting emerging technologies</w:t>
      </w:r>
      <w:r w:rsidR="00564417" w:rsidRPr="4FEBF9DC">
        <w:rPr>
          <w:lang w:val="en-AU"/>
        </w:rPr>
        <w:t xml:space="preserve">. </w:t>
      </w:r>
    </w:p>
    <w:p w14:paraId="7BCD499C" w14:textId="1F3078FB" w:rsidR="00922117" w:rsidRPr="002322B7" w:rsidRDefault="00922117" w:rsidP="00922117">
      <w:pPr>
        <w:pStyle w:val="Body-copy"/>
        <w:rPr>
          <w:lang w:val="en-AU"/>
        </w:rPr>
      </w:pPr>
      <w:r w:rsidRPr="002322B7">
        <w:rPr>
          <w:lang w:val="en-AU"/>
        </w:rPr>
        <w:t xml:space="preserve">We are also a top performer in the provision of higher education. Australia has more universities in the world’s top 100 than any other country outside of the US, China and the UK. Our scientific publications are highly ranked globally in terms of their impact in 19 separate academic fields, which include space science, clinical medicine, engineering and microbiology. </w:t>
      </w:r>
      <w:r w:rsidR="00581A8C">
        <w:rPr>
          <w:lang w:val="en-AU"/>
        </w:rPr>
        <w:t>A</w:t>
      </w:r>
      <w:r w:rsidRPr="002322B7">
        <w:rPr>
          <w:lang w:val="en-AU"/>
        </w:rPr>
        <w:t xml:space="preserve"> tradition of collaboration helps transform innovative research into functional solutions and new products. </w:t>
      </w:r>
    </w:p>
    <w:p w14:paraId="4F97BCA5" w14:textId="3B5F0877" w:rsidR="00564417" w:rsidRPr="002322B7" w:rsidRDefault="00564417" w:rsidP="00F03186">
      <w:pPr>
        <w:pStyle w:val="Body-copy"/>
        <w:rPr>
          <w:lang w:val="en-AU"/>
        </w:rPr>
      </w:pPr>
      <w:r w:rsidRPr="002322B7">
        <w:rPr>
          <w:lang w:val="en-AU"/>
        </w:rPr>
        <w:t>Australians have established a global reputation for creating new technologies in niche industries where we have a competitive advantage</w:t>
      </w:r>
      <w:r w:rsidR="00434544" w:rsidRPr="002322B7">
        <w:rPr>
          <w:lang w:val="en-AU"/>
        </w:rPr>
        <w:t>. These include</w:t>
      </w:r>
      <w:r w:rsidRPr="002322B7">
        <w:rPr>
          <w:lang w:val="en-AU"/>
        </w:rPr>
        <w:t xml:space="preserve"> </w:t>
      </w:r>
      <w:r w:rsidR="00987555">
        <w:rPr>
          <w:lang w:val="en-AU"/>
        </w:rPr>
        <w:t xml:space="preserve">mining and </w:t>
      </w:r>
      <w:r w:rsidRPr="002322B7">
        <w:rPr>
          <w:lang w:val="en-AU"/>
        </w:rPr>
        <w:t xml:space="preserve">resources, </w:t>
      </w:r>
      <w:r w:rsidR="007A56A3" w:rsidRPr="002322B7">
        <w:rPr>
          <w:lang w:val="en-AU"/>
        </w:rPr>
        <w:t xml:space="preserve">renewable energy, </w:t>
      </w:r>
      <w:r w:rsidR="00987555">
        <w:rPr>
          <w:lang w:val="en-AU"/>
        </w:rPr>
        <w:t>agriculture,</w:t>
      </w:r>
      <w:r w:rsidR="007A56A3" w:rsidRPr="002322B7">
        <w:rPr>
          <w:lang w:val="en-AU"/>
        </w:rPr>
        <w:t xml:space="preserve"> </w:t>
      </w:r>
      <w:r w:rsidRPr="002322B7">
        <w:rPr>
          <w:lang w:val="en-AU"/>
        </w:rPr>
        <w:t xml:space="preserve">finance, health and education. </w:t>
      </w:r>
      <w:r w:rsidR="00922117">
        <w:rPr>
          <w:lang w:val="en-AU"/>
        </w:rPr>
        <w:t>O</w:t>
      </w:r>
      <w:r w:rsidR="00922117" w:rsidRPr="002322B7">
        <w:rPr>
          <w:lang w:val="en-AU"/>
        </w:rPr>
        <w:t>ur organisations outperform our peers in the adoption of quantum computing, artificial intelligence (AI) and robotics.</w:t>
      </w:r>
    </w:p>
    <w:p w14:paraId="7913CA5B" w14:textId="3C0CF790" w:rsidR="00564417" w:rsidRPr="002322B7" w:rsidRDefault="00126735" w:rsidP="00D40B8A">
      <w:pPr>
        <w:pStyle w:val="Body-copy"/>
      </w:pPr>
      <w:r w:rsidRPr="00126735">
        <w:rPr>
          <w:lang w:val="en-AU"/>
        </w:rPr>
        <w:t>Australia has long supported businesses with favourable tax incentives</w:t>
      </w:r>
      <w:r>
        <w:rPr>
          <w:lang w:val="en-AU"/>
        </w:rPr>
        <w:t xml:space="preserve">, like </w:t>
      </w:r>
      <w:hyperlink r:id="rId31" w:history="1">
        <w:r w:rsidRPr="00BD45FA">
          <w:rPr>
            <w:rStyle w:val="Hyperlink"/>
            <w:lang w:val="en-AU"/>
          </w:rPr>
          <w:t>R&amp;D</w:t>
        </w:r>
        <w:r w:rsidR="00BD45FA" w:rsidRPr="00BD45FA">
          <w:rPr>
            <w:rStyle w:val="Hyperlink"/>
            <w:lang w:val="en-AU"/>
          </w:rPr>
          <w:t xml:space="preserve"> tax incentives</w:t>
        </w:r>
      </w:hyperlink>
      <w:r w:rsidRPr="00126735">
        <w:rPr>
          <w:lang w:val="en-AU"/>
        </w:rPr>
        <w:t xml:space="preserve"> and </w:t>
      </w:r>
      <w:hyperlink r:id="rId32" w:history="1">
        <w:r w:rsidRPr="009F07B5">
          <w:rPr>
            <w:rStyle w:val="Hyperlink"/>
            <w:lang w:val="en-AU"/>
          </w:rPr>
          <w:t>Venture Capital Limited Partnerships</w:t>
        </w:r>
      </w:hyperlink>
      <w:r w:rsidRPr="00126735">
        <w:rPr>
          <w:lang w:val="en-AU"/>
        </w:rPr>
        <w:t xml:space="preserve">. These efforts </w:t>
      </w:r>
      <w:r w:rsidR="00E57F56">
        <w:rPr>
          <w:lang w:val="en-AU"/>
        </w:rPr>
        <w:t xml:space="preserve">have </w:t>
      </w:r>
      <w:r w:rsidRPr="00126735">
        <w:rPr>
          <w:lang w:val="en-AU"/>
        </w:rPr>
        <w:t>help</w:t>
      </w:r>
      <w:r w:rsidR="00E57F56">
        <w:rPr>
          <w:lang w:val="en-AU"/>
        </w:rPr>
        <w:t>ed</w:t>
      </w:r>
      <w:r w:rsidRPr="00126735">
        <w:rPr>
          <w:lang w:val="en-AU"/>
        </w:rPr>
        <w:t xml:space="preserve"> drive innovation and commerciali</w:t>
      </w:r>
      <w:r w:rsidR="00CA02B7">
        <w:rPr>
          <w:lang w:val="en-AU"/>
        </w:rPr>
        <w:t>s</w:t>
      </w:r>
      <w:r w:rsidRPr="00126735">
        <w:rPr>
          <w:lang w:val="en-AU"/>
        </w:rPr>
        <w:t xml:space="preserve">ation across various sectors. </w:t>
      </w:r>
      <w:r w:rsidR="007A3E87">
        <w:rPr>
          <w:lang w:val="en-AU"/>
        </w:rPr>
        <w:t>Our</w:t>
      </w:r>
      <w:r w:rsidRPr="00126735">
        <w:rPr>
          <w:lang w:val="en-AU"/>
        </w:rPr>
        <w:t xml:space="preserve"> ongoing industry and technology strategies also demonstrate a strong commitment to groundbreaking technologies like quantum computing, AI, and robotics. </w:t>
      </w:r>
      <w:r w:rsidR="009D3183">
        <w:rPr>
          <w:lang w:val="en-AU"/>
        </w:rPr>
        <w:t>I</w:t>
      </w:r>
      <w:r w:rsidRPr="00126735">
        <w:rPr>
          <w:lang w:val="en-AU"/>
        </w:rPr>
        <w:t>nvesting in people is a key part of Australia's approach to developing skills and fostering innovation. This includes consistent efforts to promote diversity in science, technology, engineering, and mathematics (STEM).</w:t>
      </w:r>
    </w:p>
    <w:p w14:paraId="07470411" w14:textId="77777777" w:rsidR="00564417" w:rsidRPr="002322B7" w:rsidRDefault="00564417" w:rsidP="00564417">
      <w:pPr>
        <w:pStyle w:val="Heading-level2"/>
      </w:pPr>
      <w:bookmarkStart w:id="80" w:name="_Toc165471178"/>
      <w:bookmarkStart w:id="81" w:name="_Toc178256566"/>
      <w:r w:rsidRPr="002322B7">
        <w:lastRenderedPageBreak/>
        <w:t>Australia’s smart tech sectors</w:t>
      </w:r>
      <w:bookmarkEnd w:id="80"/>
      <w:bookmarkEnd w:id="81"/>
    </w:p>
    <w:p w14:paraId="4A73AF28" w14:textId="5BBEC23A" w:rsidR="00564417" w:rsidRPr="002322B7" w:rsidRDefault="00564417" w:rsidP="00F03186">
      <w:pPr>
        <w:pStyle w:val="Body-copy"/>
        <w:rPr>
          <w:lang w:val="en-AU"/>
        </w:rPr>
      </w:pPr>
      <w:r w:rsidRPr="002322B7">
        <w:rPr>
          <w:lang w:val="en-AU"/>
        </w:rPr>
        <w:t xml:space="preserve">Australia is a magnet for tech developers, </w:t>
      </w:r>
      <w:r w:rsidR="000F69F1" w:rsidRPr="002322B7">
        <w:rPr>
          <w:lang w:val="en-AU"/>
        </w:rPr>
        <w:t>spurred on by</w:t>
      </w:r>
      <w:r w:rsidRPr="002322B7">
        <w:rPr>
          <w:lang w:val="en-AU"/>
        </w:rPr>
        <w:t xml:space="preserve"> an environment where scholars and entrepreneurs work together. Our innovators have used blockchain to revolutionise parts of the financial services industry, championed immersive simulation in education, transformed medical procedures using robotics, and modernised agriculture using Internet of Things </w:t>
      </w:r>
      <w:r w:rsidR="00F64D4B" w:rsidRPr="002322B7">
        <w:rPr>
          <w:lang w:val="en-AU"/>
        </w:rPr>
        <w:t xml:space="preserve">(IoT) </w:t>
      </w:r>
      <w:r w:rsidRPr="002322B7">
        <w:rPr>
          <w:lang w:val="en-AU"/>
        </w:rPr>
        <w:t xml:space="preserve">designs. Today, Australia has a reputation for being a pioneer in silicon-based quantum computing research. Our ability to problem-solve using new technologies draws investors and entrepreneurs from around the world. </w:t>
      </w:r>
    </w:p>
    <w:p w14:paraId="53136719" w14:textId="679414B0" w:rsidR="00564417" w:rsidRDefault="006719E7" w:rsidP="00564417">
      <w:pPr>
        <w:pStyle w:val="Caption"/>
      </w:pPr>
      <w:bookmarkStart w:id="82" w:name="_Toc178256516"/>
      <w:r w:rsidRPr="002322B7">
        <w:t xml:space="preserve">Figure </w:t>
      </w:r>
      <w:r w:rsidR="00CF16FA">
        <w:fldChar w:fldCharType="begin"/>
      </w:r>
      <w:r w:rsidR="00CF16FA">
        <w:instrText xml:space="preserve"> SEQ Figure \* ARABIC </w:instrText>
      </w:r>
      <w:r w:rsidR="00CF16FA">
        <w:fldChar w:fldCharType="separate"/>
      </w:r>
      <w:r w:rsidR="002459CF">
        <w:rPr>
          <w:noProof/>
        </w:rPr>
        <w:t>17</w:t>
      </w:r>
      <w:r w:rsidR="00CF16FA">
        <w:rPr>
          <w:noProof/>
        </w:rPr>
        <w:fldChar w:fldCharType="end"/>
      </w:r>
      <w:r w:rsidR="00564417" w:rsidRPr="002322B7">
        <w:t xml:space="preserve"> – Australia’s tech credentials</w:t>
      </w:r>
      <w:bookmarkEnd w:id="82"/>
    </w:p>
    <w:p w14:paraId="09873081" w14:textId="33A175B3" w:rsidR="00FF20A5" w:rsidRPr="00FF20A5" w:rsidRDefault="005E0AAA" w:rsidP="00FF20A5">
      <w:r>
        <w:rPr>
          <w:noProof/>
        </w:rPr>
        <w:drawing>
          <wp:inline distT="0" distB="0" distL="0" distR="0" wp14:anchorId="2F66DB80" wp14:editId="58C603AD">
            <wp:extent cx="6300000" cy="3130991"/>
            <wp:effectExtent l="0" t="0" r="5715" b="0"/>
            <wp:docPr id="564379212" name="Picture 1" descr="The infographic shows the following information:&#10;A$45 billion fintech industry¹&#10;Ranked 6th in the world2 &#10;Over 800 fintech companies in 2023¹&#10;46% of fintechs raised over A$10 million each in 20233&#10;+$200 billion per year boost from AI utilisation8&#10;150,000 additional jobs from AI⁸&#10;Over 650 AI companies in 2024⁹&#10;#5 for healthcare innovation4&#10;Around 700 biotech and medtech companies5&#10;US$6.6 billion medical device market in 20236&#10;US$192 billion spent on health in 2023. This places Australia as the 5th-highest in the world for health expenditure per capita.7&#10;A$6 billion quantum industry by 2045¹⁰&#10;28 quantum-focussed companies in Australia ¹¹&#10;#13 in number of quantum startup companies¹²&#10;A$1 billion investment in one quantum computer ¹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79212" name="Picture 1" descr="The infographic shows the following information:&#10;A$45 billion fintech industry¹&#10;Ranked 6th in the world2 &#10;Over 800 fintech companies in 2023¹&#10;46% of fintechs raised over A$10 million each in 20233&#10;+$200 billion per year boost from AI utilisation8&#10;150,000 additional jobs from AI⁸&#10;Over 650 AI companies in 2024⁹&#10;#5 for healthcare innovation4&#10;Around 700 biotech and medtech companies5&#10;US$6.6 billion medical device market in 20236&#10;US$192 billion spent on health in 2023. This places Australia as the 5th-highest in the world for health expenditure per capita.7&#10;A$6 billion quantum industry by 2045¹⁰&#10;28 quantum-focussed companies in Australia ¹¹&#10;#13 in number of quantum startup companies¹²&#10;A$1 billion investment in one quantum computer ¹³&#10;"/>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300000" cy="3130991"/>
                    </a:xfrm>
                    <a:prstGeom prst="rect">
                      <a:avLst/>
                    </a:prstGeom>
                    <a:ln>
                      <a:noFill/>
                    </a:ln>
                    <a:extLst>
                      <a:ext uri="{53640926-AAD7-44D8-BBD7-CCE9431645EC}">
                        <a14:shadowObscured xmlns:a14="http://schemas.microsoft.com/office/drawing/2010/main"/>
                      </a:ext>
                    </a:extLst>
                  </pic:spPr>
                </pic:pic>
              </a:graphicData>
            </a:graphic>
          </wp:inline>
        </w:drawing>
      </w:r>
    </w:p>
    <w:p w14:paraId="7B8B2929" w14:textId="4B2A0528" w:rsidR="00A747A8" w:rsidRPr="00A747A8" w:rsidRDefault="00A747A8" w:rsidP="00A747A8"/>
    <w:p w14:paraId="48616E64" w14:textId="46092765" w:rsidR="00564417" w:rsidRPr="002322B7" w:rsidRDefault="00564417" w:rsidP="005B4E97">
      <w:pPr>
        <w:pStyle w:val="Sourcesandnotes"/>
      </w:pPr>
      <w:r w:rsidRPr="002322B7">
        <w:rPr>
          <w:b/>
          <w:bCs/>
        </w:rPr>
        <w:t>Sources: 1.</w:t>
      </w:r>
      <w:r w:rsidRPr="002322B7">
        <w:t xml:space="preserve"> Fintech Australia, 2024, What is fintech? </w:t>
      </w:r>
      <w:r w:rsidRPr="002322B7">
        <w:rPr>
          <w:b/>
          <w:bCs/>
        </w:rPr>
        <w:t>2.</w:t>
      </w:r>
      <w:r w:rsidRPr="002322B7">
        <w:t xml:space="preserve"> Findexable, 2021, Global Fintech Rankings Report, accessed April 2024. </w:t>
      </w:r>
      <w:r w:rsidRPr="002322B7">
        <w:rPr>
          <w:b/>
          <w:bCs/>
        </w:rPr>
        <w:t>3.</w:t>
      </w:r>
      <w:r w:rsidRPr="002322B7">
        <w:t xml:space="preserve"> EY, 2024, FinTech Australia Census 2023, accessed April 2024. </w:t>
      </w:r>
      <w:r w:rsidRPr="002322B7">
        <w:rPr>
          <w:b/>
          <w:bCs/>
        </w:rPr>
        <w:t>4.</w:t>
      </w:r>
      <w:r w:rsidRPr="002322B7">
        <w:t xml:space="preserve"> Foundation for Research on Equal Opportunity, 2024, Australia: #5 in the 2022 World Index of Healthcare Innovation. </w:t>
      </w:r>
      <w:r w:rsidRPr="002322B7">
        <w:rPr>
          <w:b/>
          <w:bCs/>
        </w:rPr>
        <w:t>5.</w:t>
      </w:r>
      <w:r w:rsidRPr="002322B7">
        <w:t xml:space="preserve"> AusBiotech, 2024, Biotech Sector Fast Facts</w:t>
      </w:r>
      <w:r w:rsidRPr="002322B7" w:rsidDel="0034523C">
        <w:t xml:space="preserve"> </w:t>
      </w:r>
      <w:r w:rsidRPr="002322B7">
        <w:rPr>
          <w:b/>
          <w:bCs/>
        </w:rPr>
        <w:t>6.</w:t>
      </w:r>
      <w:r w:rsidRPr="002322B7">
        <w:t xml:space="preserve"> Fitch Solutions, 2024, Australia Medical Devices Report Q2 2024. </w:t>
      </w:r>
      <w:r w:rsidRPr="002322B7">
        <w:rPr>
          <w:b/>
          <w:bCs/>
        </w:rPr>
        <w:t>7.</w:t>
      </w:r>
      <w:r w:rsidRPr="002322B7">
        <w:t xml:space="preserve"> Fitch Solutions, 2024, Worldwide Medical Devices Market Factbook. </w:t>
      </w:r>
      <w:r w:rsidRPr="002322B7">
        <w:rPr>
          <w:b/>
          <w:bCs/>
        </w:rPr>
        <w:t>8.</w:t>
      </w:r>
      <w:r w:rsidRPr="002322B7">
        <w:t xml:space="preserve"> </w:t>
      </w:r>
      <w:r w:rsidR="00E30CF4" w:rsidRPr="00E30CF4">
        <w:t>Mangan, J., 2024, Australia’s AI Imperative: The economic impact of artificial intelligence and what’s needed to further its growth.</w:t>
      </w:r>
      <w:r w:rsidRPr="002322B7">
        <w:t xml:space="preserve"> </w:t>
      </w:r>
      <w:r w:rsidRPr="002322B7">
        <w:rPr>
          <w:b/>
          <w:bCs/>
        </w:rPr>
        <w:t>9.</w:t>
      </w:r>
      <w:r w:rsidR="0050653D">
        <w:rPr>
          <w:b/>
          <w:bCs/>
        </w:rPr>
        <w:t xml:space="preserve"> </w:t>
      </w:r>
      <w:r w:rsidR="00ED5779" w:rsidRPr="000853F3">
        <w:t>Crunchbase, 2024, Build Query: Hubs</w:t>
      </w:r>
      <w:r w:rsidR="00DE7D0D">
        <w:t xml:space="preserve">. </w:t>
      </w:r>
      <w:r w:rsidR="00DE7D0D" w:rsidRPr="000853F3">
        <w:rPr>
          <w:b/>
          <w:bCs/>
        </w:rPr>
        <w:t>10.</w:t>
      </w:r>
      <w:r w:rsidR="00DE7D0D">
        <w:rPr>
          <w:b/>
          <w:bCs/>
        </w:rPr>
        <w:t xml:space="preserve"> </w:t>
      </w:r>
      <w:r w:rsidR="00893A59" w:rsidRPr="006F76CF">
        <w:t>CSIRO</w:t>
      </w:r>
      <w:r w:rsidR="006F76CF" w:rsidRPr="006F76CF">
        <w:t>, 202</w:t>
      </w:r>
      <w:r w:rsidR="00160A3B">
        <w:t>2</w:t>
      </w:r>
      <w:r w:rsidR="006F76CF" w:rsidRPr="006F76CF">
        <w:t>,</w:t>
      </w:r>
      <w:r w:rsidR="006F76CF">
        <w:t xml:space="preserve"> </w:t>
      </w:r>
      <w:r w:rsidR="00893A59" w:rsidRPr="00893A59">
        <w:t>Growing Australia's Quantum Technology Industry</w:t>
      </w:r>
      <w:r w:rsidR="0050653D">
        <w:rPr>
          <w:b/>
          <w:bCs/>
        </w:rPr>
        <w:t xml:space="preserve"> 1</w:t>
      </w:r>
      <w:r w:rsidR="00DE7D0D">
        <w:rPr>
          <w:b/>
          <w:bCs/>
        </w:rPr>
        <w:t>1</w:t>
      </w:r>
      <w:r w:rsidR="00EC452A">
        <w:rPr>
          <w:b/>
          <w:bCs/>
        </w:rPr>
        <w:t>.</w:t>
      </w:r>
      <w:r w:rsidR="001F1A7D" w:rsidRPr="001F1A7D">
        <w:t xml:space="preserve"> </w:t>
      </w:r>
      <w:r w:rsidR="001F1A7D">
        <w:t xml:space="preserve">Australia’s Chief Scientist, 2023, </w:t>
      </w:r>
      <w:r w:rsidR="001F1A7D" w:rsidRPr="001F1A7D">
        <w:t>Australia's expertise and offering in quantum</w:t>
      </w:r>
      <w:r w:rsidR="00EC452A">
        <w:rPr>
          <w:b/>
          <w:bCs/>
        </w:rPr>
        <w:t xml:space="preserve"> 1</w:t>
      </w:r>
      <w:r w:rsidR="00DE7D0D">
        <w:rPr>
          <w:b/>
          <w:bCs/>
        </w:rPr>
        <w:t>2</w:t>
      </w:r>
      <w:r w:rsidR="0050653D">
        <w:rPr>
          <w:b/>
          <w:bCs/>
        </w:rPr>
        <w:t>.</w:t>
      </w:r>
      <w:r w:rsidR="00EC452A">
        <w:t xml:space="preserve"> </w:t>
      </w:r>
      <w:r w:rsidR="00826D77" w:rsidRPr="00826D77">
        <w:t>Office of the NSW Chief Scientist &amp; Engineer</w:t>
      </w:r>
      <w:r w:rsidR="005B4E97">
        <w:t>, 2024, Quantum Algorithms and Applications.</w:t>
      </w:r>
      <w:r w:rsidR="00826D77">
        <w:t xml:space="preserve"> </w:t>
      </w:r>
      <w:r w:rsidR="00EC452A">
        <w:rPr>
          <w:b/>
          <w:bCs/>
        </w:rPr>
        <w:t>1</w:t>
      </w:r>
      <w:r w:rsidR="00603F3E">
        <w:rPr>
          <w:b/>
          <w:bCs/>
        </w:rPr>
        <w:t>3</w:t>
      </w:r>
      <w:r w:rsidR="00EC452A">
        <w:rPr>
          <w:b/>
          <w:bCs/>
        </w:rPr>
        <w:t>.</w:t>
      </w:r>
      <w:r w:rsidR="00800F46" w:rsidRPr="00800F46">
        <w:t xml:space="preserve"> </w:t>
      </w:r>
      <w:r w:rsidR="00800F46" w:rsidRPr="002322B7">
        <w:t>Department of Industry, Science and Resources, 2024, Leading quantum company chooses Australia as site for its groundbreaking utility scale quantum computer</w:t>
      </w:r>
      <w:r w:rsidR="005B4E97">
        <w:t>; Austrade.</w:t>
      </w:r>
    </w:p>
    <w:p w14:paraId="5CD4D635" w14:textId="77777777" w:rsidR="00564417" w:rsidRPr="002322B7" w:rsidRDefault="00564417" w:rsidP="00564417">
      <w:pPr>
        <w:pStyle w:val="Heading-level2"/>
      </w:pPr>
      <w:bookmarkStart w:id="83" w:name="_Toc165471179"/>
      <w:bookmarkStart w:id="84" w:name="_Toc178256567"/>
      <w:r w:rsidRPr="002322B7">
        <w:lastRenderedPageBreak/>
        <w:t>#1 for new tech skills</w:t>
      </w:r>
      <w:bookmarkEnd w:id="83"/>
      <w:bookmarkEnd w:id="84"/>
    </w:p>
    <w:p w14:paraId="6C2A8DF6" w14:textId="4AD909BD" w:rsidR="00564417" w:rsidRPr="002322B7" w:rsidRDefault="00803CE8" w:rsidP="003F1867">
      <w:pPr>
        <w:pStyle w:val="Body-copy"/>
        <w:rPr>
          <w:lang w:val="en-AU"/>
        </w:rPr>
      </w:pPr>
      <w:r w:rsidRPr="002322B7">
        <w:rPr>
          <w:lang w:val="en-AU"/>
        </w:rPr>
        <w:t>Australia scores a</w:t>
      </w:r>
      <w:r w:rsidR="00564417" w:rsidRPr="002322B7">
        <w:rPr>
          <w:lang w:val="en-AU"/>
        </w:rPr>
        <w:t xml:space="preserve"> top ranking for skills in using, adapting and adopting emerging technologies</w:t>
      </w:r>
      <w:r w:rsidRPr="002322B7">
        <w:rPr>
          <w:lang w:val="en-AU"/>
        </w:rPr>
        <w:t>. This</w:t>
      </w:r>
      <w:r w:rsidR="00564417" w:rsidRPr="002322B7">
        <w:rPr>
          <w:lang w:val="en-AU"/>
        </w:rPr>
        <w:t xml:space="preserve"> makes </w:t>
      </w:r>
      <w:r w:rsidRPr="002322B7">
        <w:rPr>
          <w:lang w:val="en-AU"/>
        </w:rPr>
        <w:t xml:space="preserve">us </w:t>
      </w:r>
      <w:r w:rsidR="00564417" w:rsidRPr="002322B7">
        <w:rPr>
          <w:lang w:val="en-AU"/>
        </w:rPr>
        <w:t xml:space="preserve">a standout for international investors. Oxford Insights ranks Australia as one of the top </w:t>
      </w:r>
      <w:r w:rsidR="00B531FF">
        <w:rPr>
          <w:lang w:val="en-AU"/>
        </w:rPr>
        <w:t>eight</w:t>
      </w:r>
      <w:r w:rsidR="00564417" w:rsidRPr="002322B7">
        <w:rPr>
          <w:lang w:val="en-AU"/>
        </w:rPr>
        <w:t xml:space="preserve"> </w:t>
      </w:r>
      <w:r w:rsidR="00990CC7">
        <w:rPr>
          <w:lang w:val="en-AU"/>
        </w:rPr>
        <w:t>governments</w:t>
      </w:r>
      <w:r w:rsidR="00025352" w:rsidRPr="002322B7">
        <w:rPr>
          <w:lang w:val="en-AU"/>
        </w:rPr>
        <w:t xml:space="preserve"> </w:t>
      </w:r>
      <w:r w:rsidR="00121472" w:rsidRPr="002322B7">
        <w:rPr>
          <w:lang w:val="en-AU"/>
        </w:rPr>
        <w:t>in the world in terms of capacity to b</w:t>
      </w:r>
      <w:r w:rsidR="00564417" w:rsidRPr="002322B7">
        <w:rPr>
          <w:lang w:val="en-AU"/>
        </w:rPr>
        <w:t xml:space="preserve">enefit from </w:t>
      </w:r>
      <w:r w:rsidR="00D721D7">
        <w:rPr>
          <w:lang w:val="en-AU"/>
        </w:rPr>
        <w:t>AI</w:t>
      </w:r>
      <w:r w:rsidR="00564417" w:rsidRPr="002322B7">
        <w:rPr>
          <w:lang w:val="en-AU"/>
        </w:rPr>
        <w:t>. They also rank us 3</w:t>
      </w:r>
      <w:r w:rsidR="00564417" w:rsidRPr="002322B7">
        <w:rPr>
          <w:vertAlign w:val="superscript"/>
          <w:lang w:val="en-AU"/>
        </w:rPr>
        <w:t>rd</w:t>
      </w:r>
      <w:r w:rsidR="00564417" w:rsidRPr="002322B7">
        <w:rPr>
          <w:lang w:val="en-AU"/>
        </w:rPr>
        <w:t xml:space="preserve"> for data infrastructure and support. Great Australian inventions include the electronic pacemaker, polymer bank notes, the inflatable aircraft escape slide, the human papilloma virus vaccine, Google Maps, Wi-Fi and the cochlear implant. </w:t>
      </w:r>
    </w:p>
    <w:p w14:paraId="379506FC" w14:textId="31C091D1" w:rsidR="00564417" w:rsidRDefault="006719E7" w:rsidP="00564417">
      <w:pPr>
        <w:pStyle w:val="Caption"/>
      </w:pPr>
      <w:bookmarkStart w:id="85" w:name="_Toc178256517"/>
      <w:r w:rsidRPr="002322B7">
        <w:t xml:space="preserve">Figure </w:t>
      </w:r>
      <w:r w:rsidR="00CF16FA">
        <w:fldChar w:fldCharType="begin"/>
      </w:r>
      <w:r w:rsidR="00CF16FA">
        <w:instrText xml:space="preserve"> SEQ Figure \* ARABIC </w:instrText>
      </w:r>
      <w:r w:rsidR="00CF16FA">
        <w:fldChar w:fldCharType="separate"/>
      </w:r>
      <w:r w:rsidR="002459CF">
        <w:rPr>
          <w:noProof/>
        </w:rPr>
        <w:t>18</w:t>
      </w:r>
      <w:r w:rsidR="00CF16FA">
        <w:rPr>
          <w:noProof/>
        </w:rPr>
        <w:fldChar w:fldCharType="end"/>
      </w:r>
      <w:r w:rsidR="00564417" w:rsidRPr="002322B7">
        <w:t xml:space="preserve"> – Skills for using, adopting and adapting frontier technologies¹, 2021</w:t>
      </w:r>
      <w:bookmarkEnd w:id="85"/>
    </w:p>
    <w:p w14:paraId="67CAED49" w14:textId="72BBFEAB" w:rsidR="00A747A8" w:rsidRPr="00A747A8" w:rsidRDefault="00A747A8" w:rsidP="00A747A8">
      <w:r>
        <w:rPr>
          <w:noProof/>
        </w:rPr>
        <w:drawing>
          <wp:inline distT="0" distB="0" distL="0" distR="0" wp14:anchorId="3125E187" wp14:editId="7A680907">
            <wp:extent cx="6336030" cy="4577715"/>
            <wp:effectExtent l="0" t="0" r="7620" b="0"/>
            <wp:docPr id="1414926279" name="Picture 29" descr="The bar chart shows an index measuring an economy (country)’s skills for using, adopting and adapting frontier technologies in 2021.The content behind the graph is:&#10;Australia (ranked #1) index value 100; Sweden (ranked #2) index value 95; Finland (ranked #5) index value 90; Norway (ranked #6) index value 89; Singapore (ranked #8) index value 88; Netherlands (ranked #9) index value 86; New Zealand (ranked #10) index value 86; UK (ranked #12) index value 83; Germany (ranked #17) index value 78; US (ranked #18) index value 77; Canada (ranked #21) index value 74; Hong Kong SAR (ranked #22) index value 73; France (ranked #24) index value 73; Korea (ranked #26) index value 72; Saudi Arabia (ranked #44) index value 60; Japan (ranked #51) index value 56; China (ranked #92) index value 43; Indonesia (ranked #107) index value 36; India (ranked #109) index value 36; and Vietnam (ranked #116) index valu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26279" name="Picture 29" descr="The bar chart shows an index measuring an economy (country)’s skills for using, adopting and adapting frontier technologies in 2021.The content behind the graph is:&#10;Australia (ranked #1) index value 100; Sweden (ranked #2) index value 95; Finland (ranked #5) index value 90; Norway (ranked #6) index value 89; Singapore (ranked #8) index value 88; Netherlands (ranked #9) index value 86; New Zealand (ranked #10) index value 86; UK (ranked #12) index value 83; Germany (ranked #17) index value 78; US (ranked #18) index value 77; Canada (ranked #21) index value 74; Hong Kong SAR (ranked #22) index value 73; France (ranked #24) index value 73; Korea (ranked #26) index value 72; Saudi Arabia (ranked #44) index value 60; Japan (ranked #51) index value 56; China (ranked #92) index value 43; Indonesia (ranked #107) index value 36; India (ranked #109) index value 36; and Vietnam (ranked #116) index value 33.&#10;"/>
                    <pic:cNvPicPr/>
                  </pic:nvPicPr>
                  <pic:blipFill rotWithShape="1">
                    <a:blip r:embed="rId34" cstate="hqprint">
                      <a:extLst>
                        <a:ext uri="{28A0092B-C50C-407E-A947-70E740481C1C}">
                          <a14:useLocalDpi xmlns:a14="http://schemas.microsoft.com/office/drawing/2010/main"/>
                        </a:ext>
                      </a:extLst>
                    </a:blip>
                    <a:srcRect/>
                    <a:stretch/>
                  </pic:blipFill>
                  <pic:spPr bwMode="auto">
                    <a:xfrm>
                      <a:off x="0" y="0"/>
                      <a:ext cx="6336030" cy="4577715"/>
                    </a:xfrm>
                    <a:prstGeom prst="rect">
                      <a:avLst/>
                    </a:prstGeom>
                    <a:ln>
                      <a:noFill/>
                    </a:ln>
                    <a:extLst>
                      <a:ext uri="{53640926-AAD7-44D8-BBD7-CCE9431645EC}">
                        <a14:shadowObscured xmlns:a14="http://schemas.microsoft.com/office/drawing/2010/main"/>
                      </a:ext>
                    </a:extLst>
                  </pic:spPr>
                </pic:pic>
              </a:graphicData>
            </a:graphic>
          </wp:inline>
        </w:drawing>
      </w:r>
    </w:p>
    <w:p w14:paraId="2347E61F" w14:textId="77777777" w:rsidR="00564417" w:rsidRPr="002322B7" w:rsidRDefault="00564417" w:rsidP="00564417">
      <w:pPr>
        <w:pStyle w:val="Sourcesandnotes"/>
      </w:pPr>
      <w:r w:rsidRPr="002322B7">
        <w:rPr>
          <w:b/>
          <w:bCs/>
        </w:rPr>
        <w:t>Note: 1.</w:t>
      </w:r>
      <w:r w:rsidRPr="002322B7">
        <w:t xml:space="preserve"> The number in brackets indicates the economy’s ranking across 158 economies. 2021 is the latest year available as of April 2024. </w:t>
      </w:r>
    </w:p>
    <w:p w14:paraId="1853FC52" w14:textId="77777777" w:rsidR="00564417" w:rsidRPr="002322B7" w:rsidRDefault="00564417" w:rsidP="00564417">
      <w:pPr>
        <w:pStyle w:val="Sourcesandnotes"/>
      </w:pPr>
      <w:r w:rsidRPr="002322B7">
        <w:rPr>
          <w:b/>
          <w:bCs/>
        </w:rPr>
        <w:t xml:space="preserve">Sources: </w:t>
      </w:r>
      <w:r w:rsidRPr="002322B7">
        <w:t xml:space="preserve">United Nations Conference on Trade and Development, 2024, Frontier technology readiness index, accessed during April 2024; Oxford Insights, 2024, AI readiness index 2023; Austrade. </w:t>
      </w:r>
    </w:p>
    <w:p w14:paraId="46374907" w14:textId="77777777" w:rsidR="00057CDC" w:rsidRPr="002322B7" w:rsidRDefault="00057CDC" w:rsidP="00057CDC">
      <w:pPr>
        <w:pStyle w:val="Heading-level2"/>
      </w:pPr>
      <w:bookmarkStart w:id="86" w:name="_Toc165471171"/>
      <w:bookmarkStart w:id="87" w:name="_Toc178256568"/>
      <w:r w:rsidRPr="002322B7">
        <w:lastRenderedPageBreak/>
        <w:t>A leader in digital government</w:t>
      </w:r>
      <w:bookmarkEnd w:id="86"/>
      <w:bookmarkEnd w:id="87"/>
    </w:p>
    <w:p w14:paraId="39FFCF42" w14:textId="0042C68E" w:rsidR="00A11686" w:rsidRPr="002322B7" w:rsidRDefault="00057CDC" w:rsidP="0047352C">
      <w:pPr>
        <w:pStyle w:val="Body-copy"/>
        <w:rPr>
          <w:lang w:val="en-AU"/>
        </w:rPr>
      </w:pPr>
      <w:bookmarkStart w:id="88" w:name="_Hlk164834235"/>
      <w:r w:rsidRPr="002322B7">
        <w:rPr>
          <w:lang w:val="en-AU"/>
        </w:rPr>
        <w:t>The Australian Government is an early adopter</w:t>
      </w:r>
      <w:bookmarkEnd w:id="88"/>
      <w:r w:rsidR="00DD26E5" w:rsidRPr="002322B7">
        <w:rPr>
          <w:lang w:val="en-AU"/>
        </w:rPr>
        <w:t>.</w:t>
      </w:r>
      <w:r w:rsidR="00A410B1" w:rsidRPr="002322B7">
        <w:rPr>
          <w:lang w:val="en-AU"/>
        </w:rPr>
        <w:t xml:space="preserve"> In 2022, we</w:t>
      </w:r>
      <w:r w:rsidR="003C1ED7" w:rsidRPr="002322B7">
        <w:rPr>
          <w:lang w:val="en-AU"/>
        </w:rPr>
        <w:t xml:space="preserve"> </w:t>
      </w:r>
      <w:r w:rsidRPr="002322B7">
        <w:rPr>
          <w:lang w:val="en-AU"/>
        </w:rPr>
        <w:t>rank</w:t>
      </w:r>
      <w:r w:rsidR="00DE5A13" w:rsidRPr="002322B7">
        <w:rPr>
          <w:lang w:val="en-AU"/>
        </w:rPr>
        <w:t>ed</w:t>
      </w:r>
      <w:r w:rsidRPr="002322B7">
        <w:rPr>
          <w:lang w:val="en-AU"/>
        </w:rPr>
        <w:t xml:space="preserve"> 7</w:t>
      </w:r>
      <w:r w:rsidRPr="002322B7">
        <w:rPr>
          <w:vertAlign w:val="superscript"/>
          <w:lang w:val="en-AU"/>
        </w:rPr>
        <w:t>th</w:t>
      </w:r>
      <w:r w:rsidRPr="002322B7">
        <w:rPr>
          <w:lang w:val="en-AU"/>
        </w:rPr>
        <w:t xml:space="preserve"> among 193 governments </w:t>
      </w:r>
      <w:r w:rsidR="006917D2" w:rsidRPr="002322B7">
        <w:rPr>
          <w:lang w:val="en-AU"/>
        </w:rPr>
        <w:t>in the</w:t>
      </w:r>
      <w:r w:rsidRPr="002322B7">
        <w:rPr>
          <w:lang w:val="en-AU"/>
        </w:rPr>
        <w:t xml:space="preserve"> United Nations E-Government Development Index (EGDI).² The transition to online services enhances the efficiency of official communications</w:t>
      </w:r>
      <w:r w:rsidR="003D221B">
        <w:rPr>
          <w:lang w:val="en-AU"/>
        </w:rPr>
        <w:t>,</w:t>
      </w:r>
      <w:r w:rsidR="00CE0CD0">
        <w:rPr>
          <w:lang w:val="en-AU"/>
        </w:rPr>
        <w:t xml:space="preserve"> with </w:t>
      </w:r>
      <w:r w:rsidR="00517024" w:rsidRPr="002322B7">
        <w:rPr>
          <w:lang w:val="en-AU"/>
        </w:rPr>
        <w:t xml:space="preserve">Australia’s </w:t>
      </w:r>
      <w:r w:rsidR="00517024" w:rsidRPr="002322B7">
        <w:rPr>
          <w:i/>
          <w:iCs/>
          <w:lang w:val="en-AU"/>
        </w:rPr>
        <w:t>myGov</w:t>
      </w:r>
      <w:r w:rsidR="00517024" w:rsidRPr="002322B7">
        <w:rPr>
          <w:lang w:val="en-AU"/>
        </w:rPr>
        <w:t xml:space="preserve"> </w:t>
      </w:r>
      <w:r w:rsidR="00CE0CD0">
        <w:rPr>
          <w:lang w:val="en-AU"/>
        </w:rPr>
        <w:t>being</w:t>
      </w:r>
      <w:r w:rsidR="00517024" w:rsidRPr="002322B7">
        <w:rPr>
          <w:lang w:val="en-AU"/>
        </w:rPr>
        <w:t xml:space="preserve"> a</w:t>
      </w:r>
      <w:r w:rsidRPr="002322B7">
        <w:rPr>
          <w:lang w:val="en-AU"/>
        </w:rPr>
        <w:t xml:space="preserve"> prime example. This is Australia’s centralised portal for health, tax and welfare services. </w:t>
      </w:r>
      <w:r w:rsidR="00C179E4" w:rsidRPr="002322B7">
        <w:rPr>
          <w:lang w:val="en-AU"/>
        </w:rPr>
        <w:t xml:space="preserve">Advanced digital services </w:t>
      </w:r>
      <w:r w:rsidR="005B659F" w:rsidRPr="002322B7">
        <w:rPr>
          <w:lang w:val="en-AU"/>
        </w:rPr>
        <w:t xml:space="preserve">also </w:t>
      </w:r>
      <w:r w:rsidR="00C179E4" w:rsidRPr="002322B7">
        <w:rPr>
          <w:lang w:val="en-AU"/>
        </w:rPr>
        <w:t xml:space="preserve">make it relatively straightforward to set up </w:t>
      </w:r>
      <w:r w:rsidR="000C6931" w:rsidRPr="002322B7">
        <w:rPr>
          <w:lang w:val="en-AU"/>
        </w:rPr>
        <w:t>a business in Australia.</w:t>
      </w:r>
      <w:r w:rsidR="006F3590" w:rsidRPr="002322B7">
        <w:rPr>
          <w:lang w:val="en-AU"/>
        </w:rPr>
        <w:t xml:space="preserve"> Firstly, an </w:t>
      </w:r>
      <w:r w:rsidR="00BC27F5" w:rsidRPr="002322B7">
        <w:rPr>
          <w:lang w:val="en-AU"/>
        </w:rPr>
        <w:t xml:space="preserve">Australian Business Number </w:t>
      </w:r>
      <w:r w:rsidR="00D01948" w:rsidRPr="002322B7">
        <w:rPr>
          <w:lang w:val="en-AU"/>
        </w:rPr>
        <w:t xml:space="preserve">is </w:t>
      </w:r>
      <w:r w:rsidR="00BD67AE" w:rsidRPr="002322B7">
        <w:rPr>
          <w:lang w:val="en-AU"/>
        </w:rPr>
        <w:t>needed</w:t>
      </w:r>
      <w:r w:rsidR="00D01948" w:rsidRPr="002322B7">
        <w:rPr>
          <w:lang w:val="en-AU"/>
        </w:rPr>
        <w:t xml:space="preserve"> </w:t>
      </w:r>
      <w:r w:rsidR="006F3590" w:rsidRPr="002322B7">
        <w:rPr>
          <w:lang w:val="en-AU"/>
        </w:rPr>
        <w:t xml:space="preserve">to operate </w:t>
      </w:r>
      <w:r w:rsidR="00BD67AE" w:rsidRPr="002322B7">
        <w:rPr>
          <w:lang w:val="en-AU"/>
        </w:rPr>
        <w:t>a</w:t>
      </w:r>
      <w:r w:rsidR="006F3590" w:rsidRPr="002322B7">
        <w:rPr>
          <w:lang w:val="en-AU"/>
        </w:rPr>
        <w:t xml:space="preserve"> business</w:t>
      </w:r>
      <w:r w:rsidR="00750822" w:rsidRPr="002322B7">
        <w:rPr>
          <w:lang w:val="en-AU"/>
        </w:rPr>
        <w:t>, which</w:t>
      </w:r>
      <w:r w:rsidR="006F3590" w:rsidRPr="002322B7">
        <w:rPr>
          <w:lang w:val="en-AU"/>
        </w:rPr>
        <w:t xml:space="preserve"> can be</w:t>
      </w:r>
      <w:r w:rsidR="000D47F6">
        <w:rPr>
          <w:lang w:val="en-AU"/>
        </w:rPr>
        <w:t xml:space="preserve"> registered</w:t>
      </w:r>
      <w:r w:rsidR="006F3590" w:rsidRPr="002322B7">
        <w:rPr>
          <w:lang w:val="en-AU"/>
        </w:rPr>
        <w:t xml:space="preserve"> online</w:t>
      </w:r>
      <w:r w:rsidR="00FB6217" w:rsidRPr="002322B7">
        <w:rPr>
          <w:lang w:val="en-AU"/>
        </w:rPr>
        <w:t>.</w:t>
      </w:r>
      <w:r w:rsidR="007779FB" w:rsidRPr="002322B7">
        <w:rPr>
          <w:lang w:val="en-AU"/>
        </w:rPr>
        <w:t xml:space="preserve"> Depending on the business type, registration for </w:t>
      </w:r>
      <w:r w:rsidR="001078E7" w:rsidRPr="002322B7">
        <w:rPr>
          <w:lang w:val="en-AU"/>
        </w:rPr>
        <w:t xml:space="preserve">various taxes may also </w:t>
      </w:r>
      <w:r w:rsidR="008D4E6D" w:rsidRPr="002322B7">
        <w:rPr>
          <w:lang w:val="en-AU"/>
        </w:rPr>
        <w:t xml:space="preserve">be needed like </w:t>
      </w:r>
      <w:r w:rsidR="003F6F31" w:rsidRPr="002322B7">
        <w:rPr>
          <w:lang w:val="en-AU"/>
        </w:rPr>
        <w:t xml:space="preserve">the </w:t>
      </w:r>
      <w:r w:rsidR="007779FB" w:rsidRPr="002322B7">
        <w:rPr>
          <w:lang w:val="en-AU"/>
        </w:rPr>
        <w:t xml:space="preserve">Goods and Services Tax (GST) </w:t>
      </w:r>
      <w:r w:rsidR="0006479D" w:rsidRPr="002322B7">
        <w:rPr>
          <w:lang w:val="en-AU"/>
        </w:rPr>
        <w:t>and</w:t>
      </w:r>
      <w:r w:rsidR="007779FB" w:rsidRPr="002322B7">
        <w:rPr>
          <w:lang w:val="en-AU"/>
        </w:rPr>
        <w:t xml:space="preserve"> Pay As You Go (PAYG).</w:t>
      </w:r>
      <w:r w:rsidR="00B262C2" w:rsidRPr="002322B7">
        <w:rPr>
          <w:lang w:val="en-AU"/>
        </w:rPr>
        <w:t xml:space="preserve"> For more details, visit</w:t>
      </w:r>
      <w:r w:rsidR="002C1F13" w:rsidRPr="002322B7">
        <w:rPr>
          <w:lang w:val="en-AU"/>
        </w:rPr>
        <w:t xml:space="preserve"> Australia’s </w:t>
      </w:r>
      <w:hyperlink r:id="rId35" w:history="1">
        <w:r w:rsidR="002C1F13" w:rsidRPr="002322B7">
          <w:rPr>
            <w:rStyle w:val="Hyperlink"/>
            <w:lang w:val="en-AU"/>
          </w:rPr>
          <w:t>Business Registration Service</w:t>
        </w:r>
      </w:hyperlink>
      <w:r w:rsidR="002C1F13" w:rsidRPr="002322B7">
        <w:rPr>
          <w:lang w:val="en-AU"/>
        </w:rPr>
        <w:t xml:space="preserve">. </w:t>
      </w:r>
      <w:r w:rsidR="00B262C2" w:rsidRPr="002322B7">
        <w:rPr>
          <w:lang w:val="en-AU"/>
        </w:rPr>
        <w:t xml:space="preserve"> </w:t>
      </w:r>
    </w:p>
    <w:p w14:paraId="67BEEA1A" w14:textId="774DFA44" w:rsidR="00057CDC" w:rsidRDefault="00057CDC" w:rsidP="00057CDC">
      <w:pPr>
        <w:pStyle w:val="Caption"/>
      </w:pPr>
      <w:bookmarkStart w:id="89" w:name="_Toc178256518"/>
      <w:r w:rsidRPr="002322B7">
        <w:t xml:space="preserve">Figure </w:t>
      </w:r>
      <w:bookmarkStart w:id="90" w:name="_Toc165079554"/>
      <w:bookmarkStart w:id="91" w:name="_Toc165017481"/>
      <w:r w:rsidR="006719E7" w:rsidRPr="002322B7">
        <w:fldChar w:fldCharType="begin"/>
      </w:r>
      <w:r w:rsidR="006719E7" w:rsidRPr="002322B7">
        <w:instrText xml:space="preserve"> SEQ Figure \* ARABIC </w:instrText>
      </w:r>
      <w:r w:rsidR="006719E7" w:rsidRPr="002322B7">
        <w:fldChar w:fldCharType="separate"/>
      </w:r>
      <w:r w:rsidR="002459CF">
        <w:rPr>
          <w:noProof/>
        </w:rPr>
        <w:t>19</w:t>
      </w:r>
      <w:r w:rsidR="006719E7" w:rsidRPr="002322B7">
        <w:rPr>
          <w:noProof/>
        </w:rPr>
        <w:fldChar w:fldCharType="end"/>
      </w:r>
      <w:r w:rsidRPr="002322B7">
        <w:t xml:space="preserve"> – E-Government index by region, selected regions¹</w:t>
      </w:r>
      <w:bookmarkEnd w:id="89"/>
    </w:p>
    <w:p w14:paraId="01776AD4" w14:textId="761EEE44" w:rsidR="00A747A8" w:rsidRDefault="00A747A8" w:rsidP="00A747A8">
      <w:r>
        <w:rPr>
          <w:noProof/>
        </w:rPr>
        <w:drawing>
          <wp:inline distT="0" distB="0" distL="0" distR="0" wp14:anchorId="1BA79320" wp14:editId="2F9175FC">
            <wp:extent cx="6336030" cy="4483100"/>
            <wp:effectExtent l="0" t="0" r="7620" b="0"/>
            <wp:docPr id="1312298095" name="Picture 30" descr="The graph shows the E-Government index by region in 2022. The information presented is as follows:&#10;Denmark ( ranked #1): Online Service  0.33 Telecommunications-Infrastructure 0.33  Human Capital 0.32 Total 0.97 - Finland ( ranked #2): Online Service  0.33 Telecommunications-Infrastructure 0.33  Human Capital 0.32 Total 0.95 - Korea ( ranked #3): Online Service  0.33 Telecommunications-Infrastructure 0.33  Human Capital 0.30 Total 0.95 - New Zealand ( ranked #4): Online Service  0.32 Telecommunications-Infrastructure 0.32  Human Capital 0.33 Total 0.94 - Sweden ( ranked #5): Online Service  0.30 Telecommunications-Infrastructure 0.30  Human Capital 0.32 Total 0.94 - Iceland  ( ranked #5): Online Service  0.30 Telecommunications-Infrastructure 0.30  Human Capital 0.32 Total 0.94 - Australia ( ranked #7): Online Service  0.31 Telecommunications-Infrastructure 0.31  Human Capital 0.33 Total 0.94 - Netherlands  ( ranked #9): Online Service  0.30 Telecommunications-Infrastructure 0.30  Human Capital 0.32 Total 0.94 - USA ( ranked #10): Online Service  0.31 Telecommunications-Infrastructure 0.31  Human Capital 0.31 Total 0.92 - UK ( ranked #11): Online Service  0.30 Telecommunications-Infrastructure 0.30  Human Capital 0.31 Total 0.91 - Singapore ( ranked #12): Online Service  0.32 Telecommunications-Infrastructure 0.32  Human Capital 0.30 Total 0.91 - Japan ( ranked #14): Online Service  0.30 Telecommunications-Infrastructure 0.30  Human Capital 0.29 Total 0.90 - Norway  ( ranked #17): Online Service  0.27 Telecommunications-Infrastructure 0.27  Human Capital 0.32 Total 0.89 - Canada ( ranked #32): Online Service  0.28 Telecommunications-Infrastructure 0.28  Human Capital 0.31 Total 0.85 - Europe ( ranked #na): Online Service  0.26 Telecommunications-Infrastructure 0.26  Human Capital 0.29 Total 0.83 - China ( ranked #43): Online Service  0.30 Telecommunications-Infrastructure 0.30  Human Capital 0.25 Total 0.81 - Mexico ( ranked #62): Online Service  0.27 Telecommunications-Infrastructure 0.27  Human Capital 0.26 Total 0.75 - Indonesia ( ranked #77): Online Service  0.25 Telecommunications-Infrastructure 0.25  Human Capital 0.25 Total 0.72 - Vietnam ( ranked #86): Online Service  0.22 Telecommunications-Infrastructure 0.22  Human Capital 0.23 Total 0.68 - Asia ( ranked #na): Online Service  0.20 Telecommunications-Infrastructure 0.20  Human Capital 0.24 Total 0.65 - World ( ranked #na): Online Service  0.19 Telecommunications-Infrastructure 0.19  Human Capital 0.23 Total 0.61 - India ( ranked #105): Online Service  0.26 Telecommunications-Infrastructure 0.26  Human Capital 0.19 Total 0.59 - Africa ( ranked #na): Online Service  0.12 Telecommunications-Infrastructure 0.12  Human Capital 0.16 Total 0.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98095" name="Picture 30" descr="The graph shows the E-Government index by region in 2022. The information presented is as follows:&#10;Denmark ( ranked #1): Online Service  0.33 Telecommunications-Infrastructure 0.33  Human Capital 0.32 Total 0.97 - Finland ( ranked #2): Online Service  0.33 Telecommunications-Infrastructure 0.33  Human Capital 0.32 Total 0.95 - Korea ( ranked #3): Online Service  0.33 Telecommunications-Infrastructure 0.33  Human Capital 0.30 Total 0.95 - New Zealand ( ranked #4): Online Service  0.32 Telecommunications-Infrastructure 0.32  Human Capital 0.33 Total 0.94 - Sweden ( ranked #5): Online Service  0.30 Telecommunications-Infrastructure 0.30  Human Capital 0.32 Total 0.94 - Iceland  ( ranked #5): Online Service  0.30 Telecommunications-Infrastructure 0.30  Human Capital 0.32 Total 0.94 - Australia ( ranked #7): Online Service  0.31 Telecommunications-Infrastructure 0.31  Human Capital 0.33 Total 0.94 - Netherlands  ( ranked #9): Online Service  0.30 Telecommunications-Infrastructure 0.30  Human Capital 0.32 Total 0.94 - USA ( ranked #10): Online Service  0.31 Telecommunications-Infrastructure 0.31  Human Capital 0.31 Total 0.92 - UK ( ranked #11): Online Service  0.30 Telecommunications-Infrastructure 0.30  Human Capital 0.31 Total 0.91 - Singapore ( ranked #12): Online Service  0.32 Telecommunications-Infrastructure 0.32  Human Capital 0.30 Total 0.91 - Japan ( ranked #14): Online Service  0.30 Telecommunications-Infrastructure 0.30  Human Capital 0.29 Total 0.90 - Norway  ( ranked #17): Online Service  0.27 Telecommunications-Infrastructure 0.27  Human Capital 0.32 Total 0.89 - Canada ( ranked #32): Online Service  0.28 Telecommunications-Infrastructure 0.28  Human Capital 0.31 Total 0.85 - Europe ( ranked #na): Online Service  0.26 Telecommunications-Infrastructure 0.26  Human Capital 0.29 Total 0.83 - China ( ranked #43): Online Service  0.30 Telecommunications-Infrastructure 0.30  Human Capital 0.25 Total 0.81 - Mexico ( ranked #62): Online Service  0.27 Telecommunications-Infrastructure 0.27  Human Capital 0.26 Total 0.75 - Indonesia ( ranked #77): Online Service  0.25 Telecommunications-Infrastructure 0.25  Human Capital 0.25 Total 0.72 - Vietnam ( ranked #86): Online Service  0.22 Telecommunications-Infrastructure 0.22  Human Capital 0.23 Total 0.68 - Asia ( ranked #na): Online Service  0.20 Telecommunications-Infrastructure 0.20  Human Capital 0.24 Total 0.65 - World ( ranked #na): Online Service  0.19 Telecommunications-Infrastructure 0.19  Human Capital 0.23 Total 0.61 - India ( ranked #105): Online Service  0.26 Telecommunications-Infrastructure 0.26  Human Capital 0.19 Total 0.59 - Africa ( ranked #na): Online Service  0.12 Telecommunications-Infrastructure 0.12  Human Capital 0.16 Total 0.41.&#10;"/>
                    <pic:cNvPicPr/>
                  </pic:nvPicPr>
                  <pic:blipFill rotWithShape="1">
                    <a:blip r:embed="rId36" cstate="hqprint">
                      <a:extLst>
                        <a:ext uri="{28A0092B-C50C-407E-A947-70E740481C1C}">
                          <a14:useLocalDpi xmlns:a14="http://schemas.microsoft.com/office/drawing/2010/main"/>
                        </a:ext>
                      </a:extLst>
                    </a:blip>
                    <a:srcRect/>
                    <a:stretch/>
                  </pic:blipFill>
                  <pic:spPr bwMode="auto">
                    <a:xfrm>
                      <a:off x="0" y="0"/>
                      <a:ext cx="6336030" cy="4483100"/>
                    </a:xfrm>
                    <a:prstGeom prst="rect">
                      <a:avLst/>
                    </a:prstGeom>
                    <a:ln>
                      <a:noFill/>
                    </a:ln>
                    <a:extLst>
                      <a:ext uri="{53640926-AAD7-44D8-BBD7-CCE9431645EC}">
                        <a14:shadowObscured xmlns:a14="http://schemas.microsoft.com/office/drawing/2010/main"/>
                      </a:ext>
                    </a:extLst>
                  </pic:spPr>
                </pic:pic>
              </a:graphicData>
            </a:graphic>
          </wp:inline>
        </w:drawing>
      </w:r>
    </w:p>
    <w:p w14:paraId="6B0F151A" w14:textId="77777777" w:rsidR="00057CDC" w:rsidRPr="002322B7" w:rsidRDefault="00057CDC" w:rsidP="00057CDC">
      <w:pPr>
        <w:pStyle w:val="Sourcesandnotes"/>
      </w:pPr>
      <w:r w:rsidRPr="002322B7">
        <w:rPr>
          <w:b/>
          <w:bCs/>
        </w:rPr>
        <w:t>Notes: 1.</w:t>
      </w:r>
      <w:r w:rsidRPr="002322B7">
        <w:t xml:space="preserve"> The number in brackets indicates the country’s ranking across 193 countries. </w:t>
      </w:r>
      <w:r w:rsidRPr="002322B7">
        <w:rPr>
          <w:b/>
          <w:bCs/>
        </w:rPr>
        <w:t>2.</w:t>
      </w:r>
      <w:r w:rsidRPr="002322B7">
        <w:t xml:space="preserve"> The E-Government Development Index (EGDI) measures the degree of digitalisation by the public service. The EDGI is based on the weighted average of three indices: the telecommunications infrastructure index, the online service index and the human capital index. </w:t>
      </w:r>
    </w:p>
    <w:p w14:paraId="3CA977AA" w14:textId="0AA1CF5B" w:rsidR="00057CDC" w:rsidRPr="002322B7" w:rsidRDefault="00057CDC" w:rsidP="00057CDC">
      <w:pPr>
        <w:pStyle w:val="Sourcesandnotes"/>
      </w:pPr>
      <w:r w:rsidRPr="002322B7">
        <w:rPr>
          <w:b/>
          <w:bCs/>
        </w:rPr>
        <w:t>Sources:</w:t>
      </w:r>
      <w:r w:rsidRPr="002322B7">
        <w:t xml:space="preserve"> United Nations Department of Economic and Social Affairs, 2024, E-Government Survey 2022; Austrade</w:t>
      </w:r>
      <w:r w:rsidR="000408F7" w:rsidRPr="002322B7">
        <w:t>.</w:t>
      </w:r>
    </w:p>
    <w:p w14:paraId="69038D15" w14:textId="77777777" w:rsidR="00564417" w:rsidRPr="002322B7" w:rsidRDefault="00564417" w:rsidP="00564417">
      <w:pPr>
        <w:pStyle w:val="Sourcesandnotes"/>
      </w:pPr>
    </w:p>
    <w:p w14:paraId="0E0D31B5" w14:textId="77777777" w:rsidR="00622134" w:rsidRPr="002322B7" w:rsidRDefault="00622134" w:rsidP="00622134">
      <w:pPr>
        <w:pStyle w:val="Heading-level2"/>
      </w:pPr>
      <w:bookmarkStart w:id="92" w:name="_Toc164678008"/>
      <w:bookmarkStart w:id="93" w:name="_Toc165471194"/>
      <w:bookmarkStart w:id="94" w:name="_Toc178256569"/>
      <w:r w:rsidRPr="002322B7">
        <w:lastRenderedPageBreak/>
        <w:t xml:space="preserve">A pioneer in renewables </w:t>
      </w:r>
      <w:bookmarkEnd w:id="92"/>
      <w:r w:rsidRPr="002322B7">
        <w:t>R&amp;D</w:t>
      </w:r>
      <w:bookmarkEnd w:id="93"/>
      <w:bookmarkEnd w:id="94"/>
    </w:p>
    <w:bookmarkEnd w:id="90"/>
    <w:p w14:paraId="5A93EFD9" w14:textId="68044402" w:rsidR="004A0E4C" w:rsidRPr="002322B7" w:rsidRDefault="00622134" w:rsidP="00CA731D">
      <w:pPr>
        <w:pStyle w:val="Body-copy"/>
        <w:rPr>
          <w:lang w:val="en-AU"/>
        </w:rPr>
      </w:pPr>
      <w:r w:rsidRPr="002322B7">
        <w:rPr>
          <w:lang w:val="en-AU"/>
        </w:rPr>
        <w:t>Australia is a significant contributor to R&amp;D in renewable energy. Patent registration in Australia is exceptionally high with Australians registering 10,700 patents in solar technologies and 4,000 patents in wind energy between 2000 and 202</w:t>
      </w:r>
      <w:r w:rsidR="00827B8B" w:rsidRPr="002322B7">
        <w:rPr>
          <w:lang w:val="en-AU"/>
        </w:rPr>
        <w:t>2</w:t>
      </w:r>
      <w:r w:rsidRPr="002322B7">
        <w:rPr>
          <w:lang w:val="en-AU"/>
        </w:rPr>
        <w:t>. In terms of total renewable energy patents per person, Australia ranks 7</w:t>
      </w:r>
      <w:r w:rsidRPr="002322B7">
        <w:rPr>
          <w:vertAlign w:val="superscript"/>
          <w:lang w:val="en-AU"/>
        </w:rPr>
        <w:t>th</w:t>
      </w:r>
      <w:r w:rsidRPr="002322B7">
        <w:rPr>
          <w:lang w:val="en-AU"/>
        </w:rPr>
        <w:t xml:space="preserve"> in the world</w:t>
      </w:r>
      <w:r w:rsidR="002801A0">
        <w:rPr>
          <w:lang w:val="en-AU"/>
        </w:rPr>
        <w:t xml:space="preserve">, which </w:t>
      </w:r>
      <w:r w:rsidRPr="002322B7">
        <w:rPr>
          <w:lang w:val="en-AU"/>
        </w:rPr>
        <w:t>is just behind Germany and ahead of the US. High patent registrations demonstrate that Australia’s business and research sector</w:t>
      </w:r>
      <w:r w:rsidR="0003078C" w:rsidRPr="002322B7">
        <w:rPr>
          <w:lang w:val="en-AU"/>
        </w:rPr>
        <w:t>s</w:t>
      </w:r>
      <w:r w:rsidRPr="002322B7">
        <w:rPr>
          <w:lang w:val="en-AU"/>
        </w:rPr>
        <w:t xml:space="preserve"> are developing innovative and practical ways to address the challenges</w:t>
      </w:r>
      <w:r w:rsidR="0003078C" w:rsidRPr="002322B7">
        <w:rPr>
          <w:lang w:val="en-AU"/>
        </w:rPr>
        <w:t xml:space="preserve"> related to</w:t>
      </w:r>
      <w:r w:rsidRPr="002322B7">
        <w:rPr>
          <w:lang w:val="en-AU"/>
        </w:rPr>
        <w:t xml:space="preserve"> renewable energy. </w:t>
      </w:r>
    </w:p>
    <w:p w14:paraId="36D22452" w14:textId="00341DDC" w:rsidR="00622134" w:rsidRDefault="006719E7" w:rsidP="00622134">
      <w:pPr>
        <w:pStyle w:val="Caption"/>
      </w:pPr>
      <w:bookmarkStart w:id="95" w:name="_Toc178256519"/>
      <w:bookmarkStart w:id="96" w:name="_Toc165079555"/>
      <w:bookmarkStart w:id="97" w:name="_Toc165017482"/>
      <w:bookmarkEnd w:id="91"/>
      <w:r w:rsidRPr="002322B7">
        <w:t xml:space="preserve">Figure </w:t>
      </w:r>
      <w:r w:rsidR="00CF16FA">
        <w:fldChar w:fldCharType="begin"/>
      </w:r>
      <w:r w:rsidR="00CF16FA">
        <w:instrText xml:space="preserve"> SEQ Figure \* ARABIC </w:instrText>
      </w:r>
      <w:r w:rsidR="00CF16FA">
        <w:fldChar w:fldCharType="separate"/>
      </w:r>
      <w:r w:rsidR="002459CF">
        <w:rPr>
          <w:noProof/>
        </w:rPr>
        <w:t>20</w:t>
      </w:r>
      <w:r w:rsidR="00CF16FA">
        <w:rPr>
          <w:noProof/>
        </w:rPr>
        <w:fldChar w:fldCharType="end"/>
      </w:r>
      <w:r w:rsidR="00622134" w:rsidRPr="002322B7">
        <w:t xml:space="preserve"> – Renewable energy patents by economy</w:t>
      </w:r>
      <w:bookmarkEnd w:id="95"/>
    </w:p>
    <w:p w14:paraId="3E84C0D4" w14:textId="284C557D" w:rsidR="00305C05" w:rsidRDefault="00305C05" w:rsidP="00305C05">
      <w:r>
        <w:rPr>
          <w:noProof/>
        </w:rPr>
        <w:drawing>
          <wp:inline distT="0" distB="0" distL="0" distR="0" wp14:anchorId="137874FA" wp14:editId="2C64BC1D">
            <wp:extent cx="6336030" cy="4514850"/>
            <wp:effectExtent l="0" t="0" r="7620" b="0"/>
            <wp:docPr id="127718269" name="Picture 31" descr="The graph plots the number of renewable energy patents per million persons in different economies from 2000 to 2022.&#10;The information, including each region's ranking in brackets, is as follows: Korea (1) 5110; Japan (2) 3689; Denmark (3) 2368; San Marino (4) 2228; Taiwan (5) 2151; Germany (6) 1910; Australia (7) 1723; US (8) 1517; Canada (9) 1454; Austria (10) 1314; Singapore (11) 1139; China (12) 1090; New Zealand (14) 740; Hong Kong SAR (16) 632; Norway (17) 629; France (22) 432; UK (24) 359; Sweden (29) 238; Netherlands (33) 183; and Italy (40) 1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8269" name="Picture 31" descr="The graph plots the number of renewable energy patents per million persons in different economies from 2000 to 2022.&#10;The information, including each region's ranking in brackets, is as follows: Korea (1) 5110; Japan (2) 3689; Denmark (3) 2368; San Marino (4) 2228; Taiwan (5) 2151; Germany (6) 1910; Australia (7) 1723; US (8) 1517; Canada (9) 1454; Austria (10) 1314; Singapore (11) 1139; China (12) 1090; New Zealand (14) 740; Hong Kong SAR (16) 632; Norway (17) 629; France (22) 432; UK (24) 359; Sweden (29) 238; Netherlands (33) 183; and Italy (40) 115. "/>
                    <pic:cNvPicPr/>
                  </pic:nvPicPr>
                  <pic:blipFill rotWithShape="1">
                    <a:blip r:embed="rId37" cstate="hqprint">
                      <a:extLst>
                        <a:ext uri="{28A0092B-C50C-407E-A947-70E740481C1C}">
                          <a14:useLocalDpi xmlns:a14="http://schemas.microsoft.com/office/drawing/2010/main"/>
                        </a:ext>
                      </a:extLst>
                    </a:blip>
                    <a:srcRect/>
                    <a:stretch/>
                  </pic:blipFill>
                  <pic:spPr bwMode="auto">
                    <a:xfrm>
                      <a:off x="0" y="0"/>
                      <a:ext cx="6336030" cy="4514850"/>
                    </a:xfrm>
                    <a:prstGeom prst="rect">
                      <a:avLst/>
                    </a:prstGeom>
                    <a:ln>
                      <a:noFill/>
                    </a:ln>
                    <a:extLst>
                      <a:ext uri="{53640926-AAD7-44D8-BBD7-CCE9431645EC}">
                        <a14:shadowObscured xmlns:a14="http://schemas.microsoft.com/office/drawing/2010/main"/>
                      </a:ext>
                    </a:extLst>
                  </pic:spPr>
                </pic:pic>
              </a:graphicData>
            </a:graphic>
          </wp:inline>
        </w:drawing>
      </w:r>
    </w:p>
    <w:p w14:paraId="3A1F0C41" w14:textId="112C9477" w:rsidR="00622134" w:rsidRPr="002322B7" w:rsidRDefault="00622134" w:rsidP="00622134">
      <w:pPr>
        <w:pStyle w:val="Sourcesandnotes"/>
      </w:pPr>
      <w:r w:rsidRPr="002322B7">
        <w:rPr>
          <w:b/>
          <w:bCs/>
        </w:rPr>
        <w:t xml:space="preserve">Notes: 1. </w:t>
      </w:r>
      <w:r w:rsidRPr="002322B7">
        <w:t xml:space="preserve">This includes diverse sources of energy such as biofuels, waste-derived fuel, geothermal energy, heat pumps, hydropower, marine energy, PV-thermal hybrid, solar photovoltaic, solar thermal and wind energy. It also covers 'enable technologies,' as defined by IRENA. </w:t>
      </w:r>
      <w:r w:rsidRPr="002322B7">
        <w:rPr>
          <w:b/>
          <w:bCs/>
        </w:rPr>
        <w:t xml:space="preserve">2. </w:t>
      </w:r>
      <w:r w:rsidRPr="002322B7">
        <w:t>There is a delay between the submission of data and its official publication as patents. For this reason, data from recent year is not presented in the charts.</w:t>
      </w:r>
    </w:p>
    <w:p w14:paraId="50554B2A" w14:textId="5F1617F0" w:rsidR="00622134" w:rsidRPr="002322B7" w:rsidRDefault="00622134" w:rsidP="00CA731D">
      <w:pPr>
        <w:pStyle w:val="Sourcesandnotes"/>
      </w:pPr>
      <w:r w:rsidRPr="002322B7">
        <w:rPr>
          <w:b/>
          <w:bCs/>
        </w:rPr>
        <w:t xml:space="preserve">Sources: </w:t>
      </w:r>
      <w:r w:rsidRPr="002322B7">
        <w:t>The World Bank,</w:t>
      </w:r>
      <w:r w:rsidR="004C2179" w:rsidRPr="002322B7">
        <w:t xml:space="preserve"> </w:t>
      </w:r>
      <w:r w:rsidRPr="002322B7">
        <w:t>2024, Population; IRENA, 2024, INSPIRE, Data provided by the Innovation for the Energy Transition Division of IRENA; Austrade.</w:t>
      </w:r>
    </w:p>
    <w:p w14:paraId="733163B8" w14:textId="77777777" w:rsidR="00622134" w:rsidRPr="002322B7" w:rsidRDefault="00622134" w:rsidP="00622134">
      <w:pPr>
        <w:pStyle w:val="Heading-level2"/>
      </w:pPr>
      <w:bookmarkStart w:id="98" w:name="_Toc165471195"/>
      <w:bookmarkStart w:id="99" w:name="_Toc178256570"/>
      <w:r w:rsidRPr="002322B7">
        <w:lastRenderedPageBreak/>
        <w:t>Advanced research in hydrogen</w:t>
      </w:r>
      <w:bookmarkEnd w:id="98"/>
      <w:bookmarkEnd w:id="99"/>
    </w:p>
    <w:p w14:paraId="48CB8566" w14:textId="32DB3953" w:rsidR="00622134" w:rsidRPr="002322B7" w:rsidRDefault="00622134" w:rsidP="003F1867">
      <w:pPr>
        <w:pStyle w:val="Body-copy"/>
        <w:rPr>
          <w:lang w:val="en-AU"/>
        </w:rPr>
      </w:pPr>
      <w:r w:rsidRPr="002322B7">
        <w:rPr>
          <w:lang w:val="en-AU"/>
        </w:rPr>
        <w:t>Australian researchers are pioneering new technologies in solar power, renewable hydroge</w:t>
      </w:r>
      <w:r w:rsidR="003F1125" w:rsidRPr="002322B7">
        <w:rPr>
          <w:lang w:val="en-AU"/>
        </w:rPr>
        <w:t>n</w:t>
      </w:r>
      <w:r w:rsidRPr="002322B7">
        <w:rPr>
          <w:lang w:val="en-AU"/>
        </w:rPr>
        <w:t xml:space="preserve"> and battery storage. For example, Australia’s lead science agency, the CSIRO is leading efforts to create a commercially sustainable hydrogen industry in Australia. </w:t>
      </w:r>
      <w:r w:rsidR="008B2AC3">
        <w:rPr>
          <w:lang w:val="en-AU"/>
        </w:rPr>
        <w:t>The International Energy Agency (</w:t>
      </w:r>
      <w:r w:rsidRPr="002322B7">
        <w:rPr>
          <w:lang w:val="en-AU"/>
        </w:rPr>
        <w:t>IEA</w:t>
      </w:r>
      <w:r w:rsidR="008B2AC3">
        <w:rPr>
          <w:lang w:val="en-AU"/>
        </w:rPr>
        <w:t>)</w:t>
      </w:r>
      <w:r w:rsidRPr="002322B7">
        <w:rPr>
          <w:lang w:val="en-AU"/>
        </w:rPr>
        <w:t xml:space="preserve"> ranks Australia among the top </w:t>
      </w:r>
      <w:r w:rsidR="00B531FF">
        <w:rPr>
          <w:lang w:val="en-AU"/>
        </w:rPr>
        <w:t>three</w:t>
      </w:r>
      <w:r w:rsidRPr="002322B7">
        <w:rPr>
          <w:lang w:val="en-AU"/>
        </w:rPr>
        <w:t xml:space="preserve"> countries </w:t>
      </w:r>
      <w:r w:rsidR="003F1125" w:rsidRPr="002322B7">
        <w:rPr>
          <w:lang w:val="en-AU"/>
        </w:rPr>
        <w:t xml:space="preserve">in the world </w:t>
      </w:r>
      <w:r w:rsidRPr="002322B7">
        <w:rPr>
          <w:lang w:val="en-AU"/>
        </w:rPr>
        <w:t>for per</w:t>
      </w:r>
      <w:r w:rsidR="003F1125" w:rsidRPr="002322B7">
        <w:rPr>
          <w:lang w:val="en-AU"/>
        </w:rPr>
        <w:t>-</w:t>
      </w:r>
      <w:r w:rsidRPr="002322B7">
        <w:rPr>
          <w:lang w:val="en-AU"/>
        </w:rPr>
        <w:t xml:space="preserve">capita public spending on R&amp;D in hydrogen and fuel cell technologies. </w:t>
      </w:r>
    </w:p>
    <w:p w14:paraId="42C98820" w14:textId="1203A359" w:rsidR="00622134" w:rsidRDefault="00622134" w:rsidP="00622134">
      <w:pPr>
        <w:pStyle w:val="Caption"/>
      </w:pPr>
      <w:bookmarkStart w:id="100" w:name="_Toc178256520"/>
      <w:bookmarkEnd w:id="96"/>
      <w:r w:rsidRPr="002322B7">
        <w:t xml:space="preserve">Figure </w:t>
      </w:r>
      <w:bookmarkStart w:id="101" w:name="_Toc165079556"/>
      <w:bookmarkStart w:id="102" w:name="_Toc165017483"/>
      <w:bookmarkEnd w:id="97"/>
      <w:r w:rsidR="006719E7" w:rsidRPr="002322B7">
        <w:fldChar w:fldCharType="begin"/>
      </w:r>
      <w:r w:rsidR="006719E7" w:rsidRPr="002322B7">
        <w:instrText xml:space="preserve"> SEQ Figure \* ARABIC </w:instrText>
      </w:r>
      <w:r w:rsidR="006719E7" w:rsidRPr="002322B7">
        <w:fldChar w:fldCharType="separate"/>
      </w:r>
      <w:r w:rsidR="002459CF">
        <w:rPr>
          <w:noProof/>
        </w:rPr>
        <w:t>21</w:t>
      </w:r>
      <w:r w:rsidR="006719E7" w:rsidRPr="002322B7">
        <w:rPr>
          <w:noProof/>
        </w:rPr>
        <w:fldChar w:fldCharType="end"/>
      </w:r>
      <w:r w:rsidRPr="002322B7">
        <w:t xml:space="preserve"> – Public spending on R&amp;D for hydrogen and fuel cells</w:t>
      </w:r>
      <w:bookmarkEnd w:id="100"/>
    </w:p>
    <w:p w14:paraId="7EF2D546" w14:textId="5150B09C" w:rsidR="00305C05" w:rsidRDefault="00305C05" w:rsidP="00305C05">
      <w:r>
        <w:rPr>
          <w:noProof/>
        </w:rPr>
        <w:drawing>
          <wp:inline distT="0" distB="0" distL="0" distR="0" wp14:anchorId="1F94203F" wp14:editId="1F7A2832">
            <wp:extent cx="6336030" cy="4347845"/>
            <wp:effectExtent l="0" t="0" r="7620" b="0"/>
            <wp:docPr id="141648395" name="Picture 32" descr="The graph shows the Public spending on research and development for hydrogen and fuel cells by country. The information is as follows: Sweden (ranked #18) value 0.4; Denmark (ranked #14) value 0.9; US (ranked #13) value 0.9; Belgium (ranked #12) value 1.0; UK (ranked #11) value 1.0; Japan (ranked #10) value 1.3; Netherlands (ranked #9) value 2.1; Canada (ranked #8) value 2.2; Korea (ranked #7) value 2.2; Switzerland (ranked #6) value 2.2; Austria (ranked #5) value 3.5; Germany (ranked #4) value 3.9; Australia (ranked #3) value 4.1; Norway (ranked #2) value 6.3; and France (ranked #1) valu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8395" name="Picture 32" descr="The graph shows the Public spending on research and development for hydrogen and fuel cells by country. The information is as follows: Sweden (ranked #18) value 0.4; Denmark (ranked #14) value 0.9; US (ranked #13) value 0.9; Belgium (ranked #12) value 1.0; UK (ranked #11) value 1.0; Japan (ranked #10) value 1.3; Netherlands (ranked #9) value 2.1; Canada (ranked #8) value 2.2; Korea (ranked #7) value 2.2; Switzerland (ranked #6) value 2.2; Austria (ranked #5) value 3.5; Germany (ranked #4) value 3.9; Australia (ranked #3) value 4.1; Norway (ranked #2) value 6.3; and France (ranked #1) value 23.7."/>
                    <pic:cNvPicPr/>
                  </pic:nvPicPr>
                  <pic:blipFill rotWithShape="1">
                    <a:blip r:embed="rId38" cstate="hqprint">
                      <a:extLst>
                        <a:ext uri="{28A0092B-C50C-407E-A947-70E740481C1C}">
                          <a14:useLocalDpi xmlns:a14="http://schemas.microsoft.com/office/drawing/2010/main"/>
                        </a:ext>
                      </a:extLst>
                    </a:blip>
                    <a:srcRect/>
                    <a:stretch/>
                  </pic:blipFill>
                  <pic:spPr bwMode="auto">
                    <a:xfrm>
                      <a:off x="0" y="0"/>
                      <a:ext cx="6336030" cy="4347845"/>
                    </a:xfrm>
                    <a:prstGeom prst="rect">
                      <a:avLst/>
                    </a:prstGeom>
                    <a:ln>
                      <a:noFill/>
                    </a:ln>
                    <a:extLst>
                      <a:ext uri="{53640926-AAD7-44D8-BBD7-CCE9431645EC}">
                        <a14:shadowObscured xmlns:a14="http://schemas.microsoft.com/office/drawing/2010/main"/>
                      </a:ext>
                    </a:extLst>
                  </pic:spPr>
                </pic:pic>
              </a:graphicData>
            </a:graphic>
          </wp:inline>
        </w:drawing>
      </w:r>
    </w:p>
    <w:p w14:paraId="3FAF4B27" w14:textId="1C7AAFA4" w:rsidR="00622134" w:rsidRPr="002322B7" w:rsidRDefault="00622134" w:rsidP="00622134">
      <w:pPr>
        <w:pStyle w:val="Sourcesandnotes"/>
      </w:pPr>
      <w:r w:rsidRPr="002322B7">
        <w:rPr>
          <w:b/>
          <w:bCs/>
        </w:rPr>
        <w:t>Note: 1.</w:t>
      </w:r>
      <w:r w:rsidRPr="002322B7">
        <w:t xml:space="preserve"> The number in brackets indicates the economy’s ranking across 33 IEA members and associate countries. </w:t>
      </w:r>
    </w:p>
    <w:p w14:paraId="42E2FDD2" w14:textId="544DD18A" w:rsidR="00622134" w:rsidRPr="002322B7" w:rsidRDefault="00622134" w:rsidP="00622134">
      <w:pPr>
        <w:pStyle w:val="Sourcesandnotes"/>
      </w:pPr>
      <w:r w:rsidRPr="002322B7">
        <w:rPr>
          <w:b/>
          <w:bCs/>
        </w:rPr>
        <w:t>Sources:</w:t>
      </w:r>
      <w:r w:rsidRPr="002322B7">
        <w:t xml:space="preserve"> The World Bank,</w:t>
      </w:r>
      <w:r w:rsidR="002E4452" w:rsidRPr="002322B7">
        <w:t xml:space="preserve"> </w:t>
      </w:r>
      <w:r w:rsidRPr="002322B7">
        <w:t>2024, Population; Worldometer, 2022 Population by country; IRENA, 2022, Patents evolution; accessed December 2022; International Energy Agency, 2024, Energy Technology R&amp;D Budgets; Austrade.</w:t>
      </w:r>
    </w:p>
    <w:p w14:paraId="00437AB2" w14:textId="5D58BEAE" w:rsidR="00A70A86" w:rsidRPr="002322B7" w:rsidRDefault="00A70A86" w:rsidP="00A70A86">
      <w:pPr>
        <w:pStyle w:val="Heading-level2"/>
      </w:pPr>
      <w:bookmarkStart w:id="103" w:name="_Toc165471184"/>
      <w:bookmarkStart w:id="104" w:name="_Toc178256571"/>
      <w:r w:rsidRPr="002322B7">
        <w:lastRenderedPageBreak/>
        <w:t>Academic excellence — fro</w:t>
      </w:r>
      <w:r w:rsidR="006F4394" w:rsidRPr="002322B7">
        <w:t>m</w:t>
      </w:r>
      <w:r w:rsidRPr="002322B7">
        <w:t xml:space="preserve"> neuroscience</w:t>
      </w:r>
      <w:bookmarkEnd w:id="103"/>
      <w:r w:rsidR="006F4394" w:rsidRPr="002322B7">
        <w:t xml:space="preserve"> to space</w:t>
      </w:r>
      <w:bookmarkEnd w:id="104"/>
    </w:p>
    <w:p w14:paraId="37C6A58D" w14:textId="1B28509A" w:rsidR="00A70A86" w:rsidRPr="002322B7" w:rsidRDefault="00A70A86" w:rsidP="003F1867">
      <w:pPr>
        <w:pStyle w:val="Body-copy"/>
        <w:rPr>
          <w:lang w:val="en-AU"/>
        </w:rPr>
      </w:pPr>
      <w:r w:rsidRPr="002322B7">
        <w:rPr>
          <w:lang w:val="en-AU"/>
        </w:rPr>
        <w:t>Australian scientific publications are highly ranked globally in terms of their impact in 19 academic fields. Our expertise is broad</w:t>
      </w:r>
      <w:r w:rsidR="00AE5DA0">
        <w:rPr>
          <w:lang w:val="en-AU"/>
        </w:rPr>
        <w:t xml:space="preserve"> </w:t>
      </w:r>
      <w:r w:rsidRPr="002322B7">
        <w:rPr>
          <w:lang w:val="en-AU"/>
        </w:rPr>
        <w:t xml:space="preserve">based, ranking </w:t>
      </w:r>
      <w:r w:rsidR="006F4394" w:rsidRPr="002322B7">
        <w:rPr>
          <w:lang w:val="en-AU"/>
        </w:rPr>
        <w:t>‘</w:t>
      </w:r>
      <w:r w:rsidRPr="002322B7">
        <w:rPr>
          <w:lang w:val="en-AU"/>
        </w:rPr>
        <w:t>very high</w:t>
      </w:r>
      <w:r w:rsidR="006F4394" w:rsidRPr="002322B7">
        <w:rPr>
          <w:lang w:val="en-AU"/>
        </w:rPr>
        <w:t>’</w:t>
      </w:r>
      <w:r w:rsidRPr="002322B7">
        <w:rPr>
          <w:lang w:val="en-AU"/>
        </w:rPr>
        <w:t xml:space="preserve"> in computer science, space science, clinical medicine, molecular biology and genetics, physics, materials science, and engineering. We also ranked </w:t>
      </w:r>
      <w:r w:rsidR="006F4394" w:rsidRPr="002322B7">
        <w:rPr>
          <w:lang w:val="en-AU"/>
        </w:rPr>
        <w:t xml:space="preserve">‘high’ </w:t>
      </w:r>
      <w:r w:rsidRPr="002322B7">
        <w:rPr>
          <w:lang w:val="en-AU"/>
        </w:rPr>
        <w:t xml:space="preserve">in fields like chemistry, geosciences, microbiology, neuroscience and behaviour, and immunology. </w:t>
      </w:r>
      <w:r w:rsidR="00463175" w:rsidRPr="002322B7">
        <w:rPr>
          <w:lang w:val="en-AU"/>
        </w:rPr>
        <w:t xml:space="preserve">Many </w:t>
      </w:r>
      <w:r w:rsidRPr="002322B7">
        <w:rPr>
          <w:lang w:val="en-AU"/>
        </w:rPr>
        <w:t xml:space="preserve">Australian scientific research publications consistently perform at least 20% </w:t>
      </w:r>
      <w:r w:rsidR="00CC2C7C">
        <w:rPr>
          <w:lang w:val="en-AU"/>
        </w:rPr>
        <w:t>better</w:t>
      </w:r>
      <w:r w:rsidRPr="002322B7">
        <w:rPr>
          <w:lang w:val="en-AU"/>
        </w:rPr>
        <w:t xml:space="preserve"> than the worldwide average in terms of impact. </w:t>
      </w:r>
    </w:p>
    <w:p w14:paraId="5AC9F67A" w14:textId="435FFBA9" w:rsidR="00A70A86" w:rsidRPr="002322B7" w:rsidRDefault="00A70A86" w:rsidP="00A70A86">
      <w:pPr>
        <w:pStyle w:val="Caption"/>
      </w:pPr>
      <w:bookmarkStart w:id="105" w:name="_Toc165471233"/>
      <w:bookmarkStart w:id="106" w:name="_Toc178256521"/>
      <w:r w:rsidRPr="002322B7">
        <w:t xml:space="preserve">Figure </w:t>
      </w:r>
      <w:r w:rsidR="00CF16FA">
        <w:fldChar w:fldCharType="begin"/>
      </w:r>
      <w:r w:rsidR="00CF16FA">
        <w:instrText xml:space="preserve"> SEQ Figure \* ARABIC </w:instrText>
      </w:r>
      <w:r w:rsidR="00CF16FA">
        <w:fldChar w:fldCharType="separate"/>
      </w:r>
      <w:r w:rsidR="002459CF">
        <w:rPr>
          <w:noProof/>
        </w:rPr>
        <w:t>22</w:t>
      </w:r>
      <w:r w:rsidR="00CF16FA">
        <w:rPr>
          <w:noProof/>
        </w:rPr>
        <w:fldChar w:fldCharType="end"/>
      </w:r>
      <w:r w:rsidRPr="002322B7">
        <w:t xml:space="preserve"> – Relative impacts of Australian scientific publications by research field, 2018–22</w:t>
      </w:r>
      <w:bookmarkEnd w:id="105"/>
      <w:bookmarkEnd w:id="106"/>
    </w:p>
    <w:p w14:paraId="11018FE6" w14:textId="2EF8FD96" w:rsidR="00A70A86" w:rsidRPr="002322B7" w:rsidRDefault="00162589" w:rsidP="00A70A86">
      <w:r>
        <w:rPr>
          <w:noProof/>
        </w:rPr>
        <w:drawing>
          <wp:inline distT="0" distB="0" distL="0" distR="0" wp14:anchorId="21251F4A" wp14:editId="259D52B1">
            <wp:extent cx="6300000" cy="4355806"/>
            <wp:effectExtent l="0" t="0" r="5715" b="6985"/>
            <wp:docPr id="1379896316" name="Picture 33" descr="The bar chart shows the index of relative impacts of Australian scientific publications by research field from 2018 to 2022.&#10;The very highly ranked Australian fields are: Engineering (1.52); Multidisciplinary (1.54); Materials science (1.56); Physics (1.61); Molecular biology &amp; genetics (1.61); Clinical medicine (1.63); Space science (1.69); and Computer science (1.74).&#10;The highly ranked Australian fields are: Psychiatry/psychology (1.25); Social sciences, general (1.27); Immunology (1.29); Plant &amp; animal science (1.3); Environment/ecology (1.34); Neuroscience &amp; behaviour (1.36); Biology &amp; biochemistry (1.37); Microbiology (1.37); Geosciences (1.37); and Chemistry (1.43).&#10;Other not highly ranked Australian fields are: Agricultural sciences (1.15); Economics &amp; business (1.18); Pharmacology &amp; toxicology (1.18); and Mathematics (1.21).&#10;The global average 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96316" name="Picture 33" descr="The bar chart shows the index of relative impacts of Australian scientific publications by research field from 2018 to 2022.&#10;The very highly ranked Australian fields are: Engineering (1.52); Multidisciplinary (1.54); Materials science (1.56); Physics (1.61); Molecular biology &amp; genetics (1.61); Clinical medicine (1.63); Space science (1.69); and Computer science (1.74).&#10;The highly ranked Australian fields are: Psychiatry/psychology (1.25); Social sciences, general (1.27); Immunology (1.29); Plant &amp; animal science (1.3); Environment/ecology (1.34); Neuroscience &amp; behaviour (1.36); Biology &amp; biochemistry (1.37); Microbiology (1.37); Geosciences (1.37); and Chemistry (1.43).&#10;Other not highly ranked Australian fields are: Agricultural sciences (1.15); Economics &amp; business (1.18); Pharmacology &amp; toxicology (1.18); and Mathematics (1.21).&#10;The global average is 1.0."/>
                    <pic:cNvPicPr/>
                  </pic:nvPicPr>
                  <pic:blipFill rotWithShape="1">
                    <a:blip r:embed="rId39" cstate="hqprint">
                      <a:extLst>
                        <a:ext uri="{28A0092B-C50C-407E-A947-70E740481C1C}">
                          <a14:useLocalDpi xmlns:a14="http://schemas.microsoft.com/office/drawing/2010/main"/>
                        </a:ext>
                      </a:extLst>
                    </a:blip>
                    <a:srcRect/>
                    <a:stretch/>
                  </pic:blipFill>
                  <pic:spPr bwMode="auto">
                    <a:xfrm>
                      <a:off x="0" y="0"/>
                      <a:ext cx="6300000" cy="4355806"/>
                    </a:xfrm>
                    <a:prstGeom prst="rect">
                      <a:avLst/>
                    </a:prstGeom>
                    <a:ln>
                      <a:noFill/>
                    </a:ln>
                    <a:extLst>
                      <a:ext uri="{53640926-AAD7-44D8-BBD7-CCE9431645EC}">
                        <a14:shadowObscured xmlns:a14="http://schemas.microsoft.com/office/drawing/2010/main"/>
                      </a:ext>
                    </a:extLst>
                  </pic:spPr>
                </pic:pic>
              </a:graphicData>
            </a:graphic>
          </wp:inline>
        </w:drawing>
      </w:r>
    </w:p>
    <w:p w14:paraId="03FA1B69" w14:textId="77777777" w:rsidR="00A70A86" w:rsidRPr="002322B7" w:rsidRDefault="00A70A86" w:rsidP="00A70A86">
      <w:pPr>
        <w:pStyle w:val="Sourcesandnotes"/>
      </w:pPr>
      <w:r w:rsidRPr="002322B7">
        <w:rPr>
          <w:b/>
          <w:bCs/>
        </w:rPr>
        <w:t xml:space="preserve">Sources: </w:t>
      </w:r>
      <w:r w:rsidRPr="002322B7">
        <w:t xml:space="preserve"> InCites™, Clarivate Analytics, 2022, InCities dataset, accessed 26 March 2024; Austrade.</w:t>
      </w:r>
    </w:p>
    <w:p w14:paraId="2CFA4F1B" w14:textId="77777777" w:rsidR="00A70A86" w:rsidRPr="002322B7" w:rsidRDefault="00A70A86" w:rsidP="00A70A86">
      <w:pPr>
        <w:pStyle w:val="Sourcesandnotes"/>
      </w:pPr>
    </w:p>
    <w:p w14:paraId="403565D0" w14:textId="77777777" w:rsidR="00A70A86" w:rsidRPr="002322B7" w:rsidRDefault="00A70A86" w:rsidP="00622134">
      <w:pPr>
        <w:pStyle w:val="Sourcesandnotes"/>
      </w:pPr>
    </w:p>
    <w:p w14:paraId="41F9841A" w14:textId="77777777" w:rsidR="00C23FEE" w:rsidRPr="002322B7" w:rsidRDefault="00C23FEE" w:rsidP="00C23FEE">
      <w:pPr>
        <w:pStyle w:val="Heading-level2"/>
      </w:pPr>
      <w:bookmarkStart w:id="107" w:name="_Toc165471181"/>
      <w:bookmarkStart w:id="108" w:name="_Toc178256572"/>
      <w:r w:rsidRPr="002322B7">
        <w:lastRenderedPageBreak/>
        <w:t>Skilled workforce and innovation indicators</w:t>
      </w:r>
      <w:bookmarkEnd w:id="107"/>
      <w:bookmarkEnd w:id="108"/>
    </w:p>
    <w:p w14:paraId="1C4DA965" w14:textId="22B1BE53" w:rsidR="00C23FEE" w:rsidRPr="002322B7" w:rsidRDefault="00C23FEE" w:rsidP="00D93F01">
      <w:pPr>
        <w:pStyle w:val="Body-copy"/>
        <w:rPr>
          <w:lang w:val="en-AU"/>
        </w:rPr>
      </w:pPr>
      <w:r w:rsidRPr="002322B7">
        <w:rPr>
          <w:lang w:val="en-AU"/>
        </w:rPr>
        <w:t>Australia’s strength in skills and innovation rests on multiple foundations that include excellent schooling, openness to migration, mobility and a diverse workforce. We benefit from a combination of regulatory standards that ensure qualifications are world-class</w:t>
      </w:r>
      <w:r w:rsidR="002B018C">
        <w:rPr>
          <w:lang w:val="en-AU"/>
        </w:rPr>
        <w:t xml:space="preserve"> </w:t>
      </w:r>
      <w:r w:rsidRPr="002322B7">
        <w:rPr>
          <w:lang w:val="en-AU"/>
        </w:rPr>
        <w:t xml:space="preserve">and a culture of continuous learning. This is supported by a network of tertiary education </w:t>
      </w:r>
      <w:r w:rsidR="00950E13">
        <w:rPr>
          <w:lang w:val="en-AU"/>
        </w:rPr>
        <w:t>institutions</w:t>
      </w:r>
      <w:r w:rsidRPr="002322B7">
        <w:rPr>
          <w:lang w:val="en-AU"/>
        </w:rPr>
        <w:t xml:space="preserve"> </w:t>
      </w:r>
      <w:r w:rsidR="00277FBC" w:rsidRPr="002322B7">
        <w:rPr>
          <w:lang w:val="en-AU"/>
        </w:rPr>
        <w:t>that</w:t>
      </w:r>
      <w:r w:rsidRPr="002322B7">
        <w:rPr>
          <w:lang w:val="en-AU"/>
        </w:rPr>
        <w:t xml:space="preserve"> work closely with local industry</w:t>
      </w:r>
      <w:r w:rsidR="008A3D08">
        <w:rPr>
          <w:lang w:val="en-AU"/>
        </w:rPr>
        <w:t xml:space="preserve"> to produce meaningful research, </w:t>
      </w:r>
      <w:r w:rsidR="00F60D3C">
        <w:rPr>
          <w:lang w:val="en-AU"/>
        </w:rPr>
        <w:t>innovation</w:t>
      </w:r>
      <w:r w:rsidR="00337841">
        <w:rPr>
          <w:lang w:val="en-AU"/>
        </w:rPr>
        <w:t>s</w:t>
      </w:r>
      <w:r w:rsidR="005527B6">
        <w:rPr>
          <w:lang w:val="en-AU"/>
        </w:rPr>
        <w:t>,</w:t>
      </w:r>
      <w:r w:rsidR="00F60D3C">
        <w:rPr>
          <w:lang w:val="en-AU"/>
        </w:rPr>
        <w:t xml:space="preserve"> and </w:t>
      </w:r>
      <w:r w:rsidR="00CB2C8A">
        <w:rPr>
          <w:lang w:val="en-AU"/>
        </w:rPr>
        <w:t xml:space="preserve">skills </w:t>
      </w:r>
      <w:r w:rsidR="005527B6">
        <w:rPr>
          <w:lang w:val="en-AU"/>
        </w:rPr>
        <w:t xml:space="preserve">that are </w:t>
      </w:r>
      <w:r w:rsidR="00CB2C8A">
        <w:rPr>
          <w:lang w:val="en-AU"/>
        </w:rPr>
        <w:t>in high demand</w:t>
      </w:r>
      <w:r w:rsidR="003F64E8" w:rsidRPr="002322B7">
        <w:rPr>
          <w:lang w:val="en-AU"/>
        </w:rPr>
        <w:t xml:space="preserve">. </w:t>
      </w:r>
    </w:p>
    <w:p w14:paraId="6A685A43" w14:textId="44F82800" w:rsidR="00C23FEE" w:rsidRDefault="00C23FEE" w:rsidP="00C23FEE">
      <w:pPr>
        <w:pStyle w:val="Caption"/>
      </w:pPr>
      <w:bookmarkStart w:id="109" w:name="_Toc165471230"/>
      <w:bookmarkStart w:id="110" w:name="_Toc178256522"/>
      <w:r w:rsidRPr="002322B7">
        <w:t xml:space="preserve">Figure </w:t>
      </w:r>
      <w:r w:rsidR="00CF16FA">
        <w:fldChar w:fldCharType="begin"/>
      </w:r>
      <w:r w:rsidR="00CF16FA">
        <w:instrText xml:space="preserve"> SEQ Figure \* ARABIC </w:instrText>
      </w:r>
      <w:r w:rsidR="00CF16FA">
        <w:fldChar w:fldCharType="separate"/>
      </w:r>
      <w:r w:rsidR="002459CF">
        <w:rPr>
          <w:noProof/>
        </w:rPr>
        <w:t>23</w:t>
      </w:r>
      <w:r w:rsidR="00CF16FA">
        <w:rPr>
          <w:noProof/>
        </w:rPr>
        <w:fldChar w:fldCharType="end"/>
      </w:r>
      <w:r w:rsidRPr="002322B7">
        <w:t xml:space="preserve"> – Skilled workforce and innovation indicators – Global rankings</w:t>
      </w:r>
      <w:bookmarkEnd w:id="109"/>
      <w:bookmarkEnd w:id="110"/>
    </w:p>
    <w:p w14:paraId="4914378F" w14:textId="63F0909F" w:rsidR="003D2F29" w:rsidRDefault="003D2F29" w:rsidP="003D2F29">
      <w:r>
        <w:rPr>
          <w:noProof/>
        </w:rPr>
        <w:drawing>
          <wp:inline distT="0" distB="0" distL="0" distR="0" wp14:anchorId="1EE91761" wp14:editId="7DA1072D">
            <wp:extent cx="6300000" cy="4211924"/>
            <wp:effectExtent l="0" t="0" r="5715" b="0"/>
            <wp:docPr id="1874124711" name="Picture 34" descr="The table shows global rankings for different skilled workforce and innovation indicators. &#10;The content in the table is:&#10;The Global Innovation Index 2023 Ranking in:  School life expectancy, years -Australia rank 1; US rank 31; UK rank 16; France rank 41; Germany rank 20; Japan rank 48; Korea rank 26;  and Switzerland rank 23.  E-participation¹ -Australia rank 2; US rank 10; UK rank 6; France rank 37; Germany rank 32; Japan rank 1; Korea rank 9; Switzerland rank 41.  Regulatory quality -Australia rank 4; US rank 18; UK rank 17; France rank 24; Germany rank 11; Japan rank 19; Korea rank 28; Switzerland rank 9.  Females employed with advanced degrees -Australia rank 6; US rank 9; UK rank 22; France rank 19; Germany rank 48; Japan rank 25; Korea rank 28; Switzerland rank 31.  &#10;IMD World Competitiveness Yearbook 2023 Ranking in:  Student mobility² -Australia rank 2; US rank 30; UK rank 8; France rank 27; Germany rank 20; Japan rank 43; Korea rank 40; Switzerland rank 10.  Adaptive attitudes³ -Australia rank 4; US rank 2; UK rank 7; France rank 43; Germany rank 28; Japan rank 22; Korea rank 1; Switzerland rank 16.  Nobel prizes -Australia rank 10; US rank 1; UK rank 2; France rank 4; Germany rank 3; Japan rank 5; Korea rank 29; Switzerland rank 6.  &#10;The Global Talent Competitiveness Index 2023 Ranking in:  High-level skills, global knowledge -Australia rank 2; US rank 3; UK rank 8; France rank 25; Germany rank 32; Japan rank 38; Korea rank 16; Switzerland rank 1.  Tertiary enrolment⁴ -Australia rank 3; US rank 13; UK rank 37; France rank 40; Germany rank 28; Japan rank 47; Korea rank 4; Switzerland rank 46.  Scientific journal articles -Australia rank 4; US rank 24; UK rank 15; France rank 32; Germany rank 25; Japan rank 36; Korea rank 22; Switzerland rank 1.  University ranking⁵ -Australia rank 5; US rank 1; UK rank 2; France rank 8; Germany rank 10; Japan rank 7; Korea rank 9; Switzerland rank 4.  Tolerance of immigrants -Australia rank 6; US rank 11; UK rank 24; France rank 60; Germany rank 34; Japan rank 72; Korea rank 66; Switzerland rank 29.  Startups⁶ -Australia rank 6; US rank na; UK rank 1; France rank 28; Germany rank 75; Japan rank 101; Korea rank na; Switzerland rank 31.  &#10;United Nations Human Development Report 2023-24 Ranking in:  Human Development Index⁷ -Australia rank 10; US rank 20; UK rank 15; France rank 28; Germany rank 7; Japan rank 24; Korea rank 19; Switzerland ran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24711" name="Picture 34" descr="The table shows global rankings for different skilled workforce and innovation indicators. &#10;The content in the table is:&#10;The Global Innovation Index 2023 Ranking in:  School life expectancy, years -Australia rank 1; US rank 31; UK rank 16; France rank 41; Germany rank 20; Japan rank 48; Korea rank 26;  and Switzerland rank 23.  E-participation¹ -Australia rank 2; US rank 10; UK rank 6; France rank 37; Germany rank 32; Japan rank 1; Korea rank 9; Switzerland rank 41.  Regulatory quality -Australia rank 4; US rank 18; UK rank 17; France rank 24; Germany rank 11; Japan rank 19; Korea rank 28; Switzerland rank 9.  Females employed with advanced degrees -Australia rank 6; US rank 9; UK rank 22; France rank 19; Germany rank 48; Japan rank 25; Korea rank 28; Switzerland rank 31.  &#10;IMD World Competitiveness Yearbook 2023 Ranking in:  Student mobility² -Australia rank 2; US rank 30; UK rank 8; France rank 27; Germany rank 20; Japan rank 43; Korea rank 40; Switzerland rank 10.  Adaptive attitudes³ -Australia rank 4; US rank 2; UK rank 7; France rank 43; Germany rank 28; Japan rank 22; Korea rank 1; Switzerland rank 16.  Nobel prizes -Australia rank 10; US rank 1; UK rank 2; France rank 4; Germany rank 3; Japan rank 5; Korea rank 29; Switzerland rank 6.  &#10;The Global Talent Competitiveness Index 2023 Ranking in:  High-level skills, global knowledge -Australia rank 2; US rank 3; UK rank 8; France rank 25; Germany rank 32; Japan rank 38; Korea rank 16; Switzerland rank 1.  Tertiary enrolment⁴ -Australia rank 3; US rank 13; UK rank 37; France rank 40; Germany rank 28; Japan rank 47; Korea rank 4; Switzerland rank 46.  Scientific journal articles -Australia rank 4; US rank 24; UK rank 15; France rank 32; Germany rank 25; Japan rank 36; Korea rank 22; Switzerland rank 1.  University ranking⁵ -Australia rank 5; US rank 1; UK rank 2; France rank 8; Germany rank 10; Japan rank 7; Korea rank 9; Switzerland rank 4.  Tolerance of immigrants -Australia rank 6; US rank 11; UK rank 24; France rank 60; Germany rank 34; Japan rank 72; Korea rank 66; Switzerland rank 29.  Startups⁶ -Australia rank 6; US rank na; UK rank 1; France rank 28; Germany rank 75; Japan rank 101; Korea rank na; Switzerland rank 31.  &#10;United Nations Human Development Report 2023-24 Ranking in:  Human Development Index⁷ -Australia rank 10; US rank 20; UK rank 15; France rank 28; Germany rank 7; Japan rank 24; Korea rank 19; Switzerland rank 1.&#10;"/>
                    <pic:cNvPicPr/>
                  </pic:nvPicPr>
                  <pic:blipFill rotWithShape="1">
                    <a:blip r:embed="rId40" cstate="hqprint">
                      <a:extLst>
                        <a:ext uri="{28A0092B-C50C-407E-A947-70E740481C1C}">
                          <a14:useLocalDpi xmlns:a14="http://schemas.microsoft.com/office/drawing/2010/main"/>
                        </a:ext>
                      </a:extLst>
                    </a:blip>
                    <a:srcRect/>
                    <a:stretch/>
                  </pic:blipFill>
                  <pic:spPr bwMode="auto">
                    <a:xfrm>
                      <a:off x="0" y="0"/>
                      <a:ext cx="6300000" cy="4211924"/>
                    </a:xfrm>
                    <a:prstGeom prst="rect">
                      <a:avLst/>
                    </a:prstGeom>
                    <a:ln>
                      <a:noFill/>
                    </a:ln>
                    <a:extLst>
                      <a:ext uri="{53640926-AAD7-44D8-BBD7-CCE9431645EC}">
                        <a14:shadowObscured xmlns:a14="http://schemas.microsoft.com/office/drawing/2010/main"/>
                      </a:ext>
                    </a:extLst>
                  </pic:spPr>
                </pic:pic>
              </a:graphicData>
            </a:graphic>
          </wp:inline>
        </w:drawing>
      </w:r>
    </w:p>
    <w:p w14:paraId="15946943" w14:textId="497346C6" w:rsidR="00C23FEE" w:rsidRPr="002322B7" w:rsidRDefault="00C23FEE" w:rsidP="00C23FEE">
      <w:pPr>
        <w:pStyle w:val="Sourcesandnotes"/>
      </w:pPr>
      <w:r w:rsidRPr="002322B7">
        <w:rPr>
          <w:b/>
          <w:bCs/>
        </w:rPr>
        <w:t>Notes: 1.</w:t>
      </w:r>
      <w:r w:rsidRPr="002322B7">
        <w:t xml:space="preserve"> A measure of citizen engagement in public policymaking. </w:t>
      </w:r>
      <w:r w:rsidRPr="002322B7">
        <w:rPr>
          <w:b/>
          <w:bCs/>
        </w:rPr>
        <w:t>2.</w:t>
      </w:r>
      <w:r w:rsidRPr="002322B7">
        <w:t xml:space="preserve"> Foreign tertiary–level students per thousand inhabitants. </w:t>
      </w:r>
      <w:r w:rsidRPr="002322B7">
        <w:rPr>
          <w:b/>
          <w:bCs/>
        </w:rPr>
        <w:t>3.</w:t>
      </w:r>
      <w:r w:rsidRPr="002322B7">
        <w:t xml:space="preserve"> This index illustrates how the public perceives globalisation, as well as their use of online services that facilitate public interaction with government. It also evaluates how accessible technology is to the general public. </w:t>
      </w:r>
      <w:r w:rsidRPr="002322B7">
        <w:rPr>
          <w:b/>
          <w:bCs/>
        </w:rPr>
        <w:t>4.</w:t>
      </w:r>
      <w:r w:rsidRPr="002322B7">
        <w:t xml:space="preserve"> Index composed </w:t>
      </w:r>
      <w:r w:rsidR="00E91660" w:rsidRPr="002322B7">
        <w:t>of</w:t>
      </w:r>
      <w:r w:rsidRPr="002322B7">
        <w:t xml:space="preserve"> the ratio of total tertiary enrolment to the corresponded population. </w:t>
      </w:r>
      <w:r w:rsidRPr="002322B7">
        <w:rPr>
          <w:b/>
          <w:bCs/>
        </w:rPr>
        <w:t>5.</w:t>
      </w:r>
      <w:r w:rsidRPr="002322B7">
        <w:t xml:space="preserve"> Based upon QS World University rankings. </w:t>
      </w:r>
      <w:r w:rsidRPr="002322B7">
        <w:rPr>
          <w:b/>
          <w:bCs/>
        </w:rPr>
        <w:t>6.</w:t>
      </w:r>
      <w:r w:rsidRPr="002322B7">
        <w:t xml:space="preserve"> The number of newly registered firms per working-age persons. </w:t>
      </w:r>
      <w:r w:rsidRPr="002322B7">
        <w:rPr>
          <w:b/>
          <w:bCs/>
        </w:rPr>
        <w:t>7.</w:t>
      </w:r>
      <w:r w:rsidRPr="002322B7">
        <w:t xml:space="preserve"> Index combines economic, social and educational indicators.  </w:t>
      </w:r>
    </w:p>
    <w:p w14:paraId="7996FF96" w14:textId="77777777" w:rsidR="00C23FEE" w:rsidRPr="002322B7" w:rsidRDefault="00C23FEE" w:rsidP="00C23FEE">
      <w:pPr>
        <w:pStyle w:val="Sourcesandnotes"/>
      </w:pPr>
      <w:r w:rsidRPr="002322B7">
        <w:rPr>
          <w:b/>
          <w:bCs/>
        </w:rPr>
        <w:t>Sources:</w:t>
      </w:r>
      <w:r w:rsidRPr="002322B7">
        <w:t xml:space="preserve"> World Intellectual Property Organization, 2023, Global Innovation Index 2023; International Institute for Management Development, 2023, IMD World Competitiveness Yearbook 2023; INSEAD, 2023, The Global Talent Competitiveness Index 2023; United Nations, 2024, Human Development Report 2023-24; Austrade. </w:t>
      </w:r>
    </w:p>
    <w:p w14:paraId="30D80BF0" w14:textId="77777777" w:rsidR="00C23FEE" w:rsidRPr="002322B7" w:rsidRDefault="00C23FEE" w:rsidP="00C23FEE">
      <w:pPr>
        <w:pStyle w:val="Heading-level2"/>
      </w:pPr>
      <w:bookmarkStart w:id="111" w:name="_Toc165471182"/>
      <w:bookmarkStart w:id="112" w:name="_Toc178256573"/>
      <w:r w:rsidRPr="002322B7">
        <w:lastRenderedPageBreak/>
        <w:t>Australia's highly educated workforce</w:t>
      </w:r>
      <w:bookmarkEnd w:id="111"/>
      <w:bookmarkEnd w:id="112"/>
    </w:p>
    <w:p w14:paraId="6B4EC622" w14:textId="5529663C" w:rsidR="00C23FEE" w:rsidRPr="002322B7" w:rsidRDefault="00C23FEE" w:rsidP="003F1867">
      <w:pPr>
        <w:pStyle w:val="Body-copy"/>
        <w:rPr>
          <w:lang w:val="en-AU"/>
        </w:rPr>
      </w:pPr>
      <w:r w:rsidRPr="002322B7">
        <w:rPr>
          <w:lang w:val="en-AU"/>
        </w:rPr>
        <w:t>Australian colleges and universities produce high-calibre workers. Almost half of the employed population</w:t>
      </w:r>
      <w:r w:rsidR="003D2D30" w:rsidRPr="002322B7">
        <w:rPr>
          <w:lang w:val="en-AU"/>
        </w:rPr>
        <w:t xml:space="preserve"> in 2023</w:t>
      </w:r>
      <w:r w:rsidRPr="002322B7">
        <w:rPr>
          <w:lang w:val="en-AU"/>
        </w:rPr>
        <w:t xml:space="preserve"> – around 48% – ha</w:t>
      </w:r>
      <w:r w:rsidR="00C402E2" w:rsidRPr="002322B7">
        <w:rPr>
          <w:lang w:val="en-AU"/>
        </w:rPr>
        <w:t>d</w:t>
      </w:r>
      <w:r w:rsidRPr="002322B7">
        <w:rPr>
          <w:lang w:val="en-AU"/>
        </w:rPr>
        <w:t xml:space="preserve"> a tertiary education</w:t>
      </w:r>
      <w:r w:rsidR="00E95E74" w:rsidRPr="002322B7">
        <w:rPr>
          <w:lang w:val="en-AU"/>
        </w:rPr>
        <w:t>.</w:t>
      </w:r>
      <w:r w:rsidRPr="002322B7">
        <w:rPr>
          <w:lang w:val="en-AU"/>
        </w:rPr>
        <w:t xml:space="preserve"> </w:t>
      </w:r>
      <w:r w:rsidR="005A0811" w:rsidRPr="002322B7">
        <w:rPr>
          <w:lang w:val="en-AU"/>
        </w:rPr>
        <w:t xml:space="preserve">This </w:t>
      </w:r>
      <w:r w:rsidRPr="002322B7">
        <w:rPr>
          <w:lang w:val="en-AU"/>
        </w:rPr>
        <w:t>is much higher than</w:t>
      </w:r>
      <w:r w:rsidR="004361D7" w:rsidRPr="002322B7">
        <w:rPr>
          <w:lang w:val="en-AU"/>
        </w:rPr>
        <w:t xml:space="preserve"> the 39% who had a tertiary education a decade ago.</w:t>
      </w:r>
      <w:r w:rsidR="00444ACD">
        <w:rPr>
          <w:lang w:val="en-AU"/>
        </w:rPr>
        <w:t xml:space="preserve"> </w:t>
      </w:r>
      <w:r w:rsidR="00D12546">
        <w:rPr>
          <w:lang w:val="en-AU"/>
        </w:rPr>
        <w:t>S</w:t>
      </w:r>
      <w:r w:rsidRPr="002322B7">
        <w:rPr>
          <w:lang w:val="en-AU"/>
        </w:rPr>
        <w:t xml:space="preserve">ectors </w:t>
      </w:r>
      <w:r w:rsidR="00444ACD">
        <w:rPr>
          <w:lang w:val="en-AU"/>
        </w:rPr>
        <w:t>with a</w:t>
      </w:r>
      <w:r w:rsidR="00444ACD" w:rsidRPr="002322B7">
        <w:rPr>
          <w:lang w:val="en-AU"/>
        </w:rPr>
        <w:t xml:space="preserve">round 70% </w:t>
      </w:r>
      <w:r w:rsidR="00444ACD">
        <w:rPr>
          <w:lang w:val="en-AU"/>
        </w:rPr>
        <w:t xml:space="preserve">or more </w:t>
      </w:r>
      <w:r w:rsidR="00444ACD" w:rsidRPr="002322B7">
        <w:rPr>
          <w:lang w:val="en-AU"/>
        </w:rPr>
        <w:t xml:space="preserve">of </w:t>
      </w:r>
      <w:r w:rsidR="002D6D73">
        <w:rPr>
          <w:lang w:val="en-AU"/>
        </w:rPr>
        <w:t xml:space="preserve">their </w:t>
      </w:r>
      <w:r w:rsidR="00444ACD" w:rsidRPr="002322B7">
        <w:rPr>
          <w:lang w:val="en-AU"/>
        </w:rPr>
        <w:t xml:space="preserve">workers </w:t>
      </w:r>
      <w:r w:rsidR="00DD4F7F">
        <w:rPr>
          <w:lang w:val="en-AU"/>
        </w:rPr>
        <w:t>holding</w:t>
      </w:r>
      <w:r w:rsidR="00444ACD" w:rsidRPr="002322B7">
        <w:rPr>
          <w:lang w:val="en-AU"/>
        </w:rPr>
        <w:t xml:space="preserve"> a tertiary qualification</w:t>
      </w:r>
      <w:r w:rsidR="00444ACD">
        <w:rPr>
          <w:lang w:val="en-AU"/>
        </w:rPr>
        <w:t xml:space="preserve"> </w:t>
      </w:r>
      <w:r w:rsidR="006B5CB7">
        <w:rPr>
          <w:lang w:val="en-AU"/>
        </w:rPr>
        <w:t>are</w:t>
      </w:r>
      <w:r w:rsidRPr="002322B7">
        <w:rPr>
          <w:lang w:val="en-AU"/>
        </w:rPr>
        <w:t xml:space="preserve"> professional and scientific services, financial and insurance services, and education and training</w:t>
      </w:r>
      <w:r w:rsidR="00854B70" w:rsidRPr="002322B7">
        <w:rPr>
          <w:lang w:val="en-AU"/>
        </w:rPr>
        <w:t>.</w:t>
      </w:r>
    </w:p>
    <w:p w14:paraId="4813FF49" w14:textId="5B9A487C" w:rsidR="00C23FEE" w:rsidRDefault="00C23FEE" w:rsidP="00C23FEE">
      <w:pPr>
        <w:pStyle w:val="Caption"/>
      </w:pPr>
      <w:bookmarkStart w:id="113" w:name="_Toc165471231"/>
      <w:bookmarkStart w:id="114" w:name="_Toc178256523"/>
      <w:r w:rsidRPr="002322B7">
        <w:t xml:space="preserve">Figure </w:t>
      </w:r>
      <w:r w:rsidR="00CF16FA">
        <w:fldChar w:fldCharType="begin"/>
      </w:r>
      <w:r w:rsidR="00CF16FA">
        <w:instrText xml:space="preserve"> SEQ Figure \* ARABIC </w:instrText>
      </w:r>
      <w:r w:rsidR="00CF16FA">
        <w:fldChar w:fldCharType="separate"/>
      </w:r>
      <w:r w:rsidR="002459CF">
        <w:rPr>
          <w:noProof/>
        </w:rPr>
        <w:t>24</w:t>
      </w:r>
      <w:r w:rsidR="00CF16FA">
        <w:rPr>
          <w:noProof/>
        </w:rPr>
        <w:fldChar w:fldCharType="end"/>
      </w:r>
      <w:r w:rsidRPr="002322B7">
        <w:t xml:space="preserve"> – Percentage of employed persons with tertiary education by industry¹ </w:t>
      </w:r>
      <w:r w:rsidRPr="002322B7">
        <w:rPr>
          <w:rFonts w:ascii="Calibri" w:hAnsi="Calibri" w:cs="Calibri"/>
        </w:rPr>
        <w:t>―</w:t>
      </w:r>
      <w:r w:rsidRPr="002322B7">
        <w:t xml:space="preserve"> 2023</w:t>
      </w:r>
      <w:bookmarkEnd w:id="113"/>
      <w:bookmarkEnd w:id="114"/>
    </w:p>
    <w:p w14:paraId="6EFDF151" w14:textId="6FB33E60" w:rsidR="00867266" w:rsidRDefault="00867266" w:rsidP="00867266">
      <w:r>
        <w:rPr>
          <w:noProof/>
        </w:rPr>
        <w:drawing>
          <wp:inline distT="0" distB="0" distL="0" distR="0" wp14:anchorId="4A6CE58E" wp14:editId="0C42E6E8">
            <wp:extent cx="6300000" cy="3997900"/>
            <wp:effectExtent l="0" t="0" r="5715" b="3175"/>
            <wp:docPr id="1502700829" name="Picture 35" descr="The graph shows the percentage of employed persons with tertiary education by industry for the year 2022. &#10;The content in the graph is:&#10;The all-industry average was 39% in 2013 and 48% in 2023.&#10;By industry is: Construction 21%; Accommodation &amp; food services 26%; Agriculture, forestry &amp; fishing 29%; Retail trade 29%; Other services 29%; Manufacturing 32%; Transport, postal &amp; warehousing 33%; Mining 33%; Wholesale trade 36%; Administrative &amp; support services 37%; Arts &amp; recreation services 41%; Rental, hiring &amp; real estate services 46%; Electricity, gas, water &amp; waste services 48%; Public administration &amp; safety 61%; Information media &amp; telecommunications 64%; Healthcare &amp; social assistance 65%; Financial &amp; insurance services 70%; Education &amp; training 74%; and Professional, scientific &amp; tech. services 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00829" name="Picture 35" descr="The graph shows the percentage of employed persons with tertiary education by industry for the year 2022. &#10;The content in the graph is:&#10;The all-industry average was 39% in 2013 and 48% in 2023.&#10;By industry is: Construction 21%; Accommodation &amp; food services 26%; Agriculture, forestry &amp; fishing 29%; Retail trade 29%; Other services 29%; Manufacturing 32%; Transport, postal &amp; warehousing 33%; Mining 33%; Wholesale trade 36%; Administrative &amp; support services 37%; Arts &amp; recreation services 41%; Rental, hiring &amp; real estate services 46%; Electricity, gas, water &amp; waste services 48%; Public administration &amp; safety 61%; Information media &amp; telecommunications 64%; Healthcare &amp; social assistance 65%; Financial &amp; insurance services 70%; Education &amp; training 74%; and Professional, scientific &amp; tech. services 76%.&#10;"/>
                    <pic:cNvPicPr/>
                  </pic:nvPicPr>
                  <pic:blipFill rotWithShape="1">
                    <a:blip r:embed="rId41" cstate="hqprint">
                      <a:extLst>
                        <a:ext uri="{28A0092B-C50C-407E-A947-70E740481C1C}">
                          <a14:useLocalDpi xmlns:a14="http://schemas.microsoft.com/office/drawing/2010/main"/>
                        </a:ext>
                      </a:extLst>
                    </a:blip>
                    <a:srcRect/>
                    <a:stretch/>
                  </pic:blipFill>
                  <pic:spPr bwMode="auto">
                    <a:xfrm>
                      <a:off x="0" y="0"/>
                      <a:ext cx="6300000" cy="3997900"/>
                    </a:xfrm>
                    <a:prstGeom prst="rect">
                      <a:avLst/>
                    </a:prstGeom>
                    <a:ln>
                      <a:noFill/>
                    </a:ln>
                    <a:extLst>
                      <a:ext uri="{53640926-AAD7-44D8-BBD7-CCE9431645EC}">
                        <a14:shadowObscured xmlns:a14="http://schemas.microsoft.com/office/drawing/2010/main"/>
                      </a:ext>
                    </a:extLst>
                  </pic:spPr>
                </pic:pic>
              </a:graphicData>
            </a:graphic>
          </wp:inline>
        </w:drawing>
      </w:r>
    </w:p>
    <w:p w14:paraId="17AE28B7" w14:textId="77777777" w:rsidR="00C23FEE" w:rsidRPr="002322B7" w:rsidRDefault="00C23FEE" w:rsidP="00C23FEE">
      <w:pPr>
        <w:pStyle w:val="Sourcesandnotes"/>
      </w:pPr>
      <w:r w:rsidRPr="002322B7">
        <w:rPr>
          <w:b/>
          <w:bCs/>
        </w:rPr>
        <w:t>Note: 1.</w:t>
      </w:r>
      <w:r w:rsidRPr="002322B7">
        <w:t xml:space="preserve"> Tertiary education refers to Advanced Diploma/Diploma or higher.</w:t>
      </w:r>
    </w:p>
    <w:p w14:paraId="0F5CBC7D" w14:textId="77777777" w:rsidR="00C23FEE" w:rsidRPr="002322B7" w:rsidRDefault="00C23FEE" w:rsidP="00C23FEE">
      <w:pPr>
        <w:pStyle w:val="Sourcesandnotes"/>
      </w:pPr>
      <w:r w:rsidRPr="002322B7">
        <w:rPr>
          <w:b/>
          <w:bCs/>
        </w:rPr>
        <w:t>Sources:</w:t>
      </w:r>
      <w:r w:rsidRPr="002322B7">
        <w:t xml:space="preserve"> Australian Bureau of Statistics, 2023, Education and Work, accessed 05 January 2024; Austrade.</w:t>
      </w:r>
    </w:p>
    <w:p w14:paraId="73B7D03D" w14:textId="77777777" w:rsidR="00C23FEE" w:rsidRPr="002322B7" w:rsidRDefault="00C23FEE" w:rsidP="00C23FEE">
      <w:pPr>
        <w:pStyle w:val="Sourcesandnotes"/>
      </w:pPr>
    </w:p>
    <w:p w14:paraId="6DBCA347" w14:textId="77777777" w:rsidR="00C23FEE" w:rsidRPr="002322B7" w:rsidRDefault="00C23FEE" w:rsidP="00C23FEE">
      <w:pPr>
        <w:pStyle w:val="Heading-level2"/>
      </w:pPr>
      <w:bookmarkStart w:id="115" w:name="_Toc165471183"/>
      <w:bookmarkStart w:id="116" w:name="_Toc178256574"/>
      <w:r w:rsidRPr="002322B7">
        <w:lastRenderedPageBreak/>
        <w:t>A big investor in education</w:t>
      </w:r>
      <w:bookmarkEnd w:id="115"/>
      <w:bookmarkEnd w:id="116"/>
    </w:p>
    <w:p w14:paraId="78D0C304" w14:textId="3153C0C1" w:rsidR="00C23FEE" w:rsidRPr="002322B7" w:rsidRDefault="00C23FEE" w:rsidP="00F97465">
      <w:pPr>
        <w:pStyle w:val="Body-copy"/>
        <w:rPr>
          <w:lang w:val="en-AU"/>
        </w:rPr>
      </w:pPr>
      <w:r w:rsidRPr="4FEBF9DC">
        <w:rPr>
          <w:lang w:val="en-AU"/>
        </w:rPr>
        <w:t xml:space="preserve">Australia </w:t>
      </w:r>
      <w:r w:rsidR="0088701F" w:rsidRPr="4FEBF9DC">
        <w:rPr>
          <w:lang w:val="en-AU"/>
        </w:rPr>
        <w:t xml:space="preserve">invests heavily </w:t>
      </w:r>
      <w:r w:rsidRPr="4FEBF9DC">
        <w:rPr>
          <w:lang w:val="en-AU"/>
        </w:rPr>
        <w:t>in skill</w:t>
      </w:r>
      <w:r w:rsidR="00557FB2" w:rsidRPr="4FEBF9DC">
        <w:rPr>
          <w:lang w:val="en-AU"/>
        </w:rPr>
        <w:t>s</w:t>
      </w:r>
      <w:r w:rsidRPr="4FEBF9DC">
        <w:rPr>
          <w:lang w:val="en-AU"/>
        </w:rPr>
        <w:t xml:space="preserve"> development</w:t>
      </w:r>
      <w:r w:rsidR="00557FB2" w:rsidRPr="4FEBF9DC">
        <w:rPr>
          <w:lang w:val="en-AU"/>
        </w:rPr>
        <w:t xml:space="preserve">. </w:t>
      </w:r>
      <w:r w:rsidR="0088701F" w:rsidRPr="4FEBF9DC">
        <w:rPr>
          <w:lang w:val="en-AU"/>
        </w:rPr>
        <w:t>We are</w:t>
      </w:r>
      <w:r w:rsidR="00557FB2" w:rsidRPr="4FEBF9DC">
        <w:rPr>
          <w:lang w:val="en-AU"/>
        </w:rPr>
        <w:t xml:space="preserve"> the </w:t>
      </w:r>
      <w:r w:rsidRPr="4FEBF9DC">
        <w:rPr>
          <w:lang w:val="en-AU"/>
        </w:rPr>
        <w:t>7</w:t>
      </w:r>
      <w:r w:rsidRPr="4FEBF9DC">
        <w:rPr>
          <w:vertAlign w:val="superscript"/>
          <w:lang w:val="en-AU"/>
        </w:rPr>
        <w:t>th</w:t>
      </w:r>
      <w:r w:rsidRPr="4FEBF9DC">
        <w:rPr>
          <w:lang w:val="en-AU"/>
        </w:rPr>
        <w:t>-</w:t>
      </w:r>
      <w:r w:rsidR="00557FB2" w:rsidRPr="4FEBF9DC">
        <w:rPr>
          <w:lang w:val="en-AU"/>
        </w:rPr>
        <w:t>lar</w:t>
      </w:r>
      <w:r w:rsidRPr="4FEBF9DC">
        <w:rPr>
          <w:lang w:val="en-AU"/>
        </w:rPr>
        <w:t xml:space="preserve">gest spender on education among the 38 members of the </w:t>
      </w:r>
      <w:r w:rsidR="00292183" w:rsidRPr="4FEBF9DC">
        <w:rPr>
          <w:lang w:val="en-AU"/>
        </w:rPr>
        <w:t>Organisation for Economic Co</w:t>
      </w:r>
      <w:r w:rsidR="00F22448" w:rsidRPr="4FEBF9DC">
        <w:rPr>
          <w:lang w:val="en-AU"/>
        </w:rPr>
        <w:t>-</w:t>
      </w:r>
      <w:r w:rsidR="00292183" w:rsidRPr="4FEBF9DC">
        <w:rPr>
          <w:lang w:val="en-AU"/>
        </w:rPr>
        <w:t>operation and Development (OECD)</w:t>
      </w:r>
      <w:r w:rsidR="00354925" w:rsidRPr="4FEBF9DC">
        <w:rPr>
          <w:lang w:val="en-AU"/>
        </w:rPr>
        <w:t>, c</w:t>
      </w:r>
      <w:r w:rsidRPr="4FEBF9DC">
        <w:rPr>
          <w:lang w:val="en-AU"/>
        </w:rPr>
        <w:t>ommit</w:t>
      </w:r>
      <w:r w:rsidR="00354925" w:rsidRPr="4FEBF9DC">
        <w:rPr>
          <w:lang w:val="en-AU"/>
        </w:rPr>
        <w:t>ting</w:t>
      </w:r>
      <w:r w:rsidRPr="4FEBF9DC">
        <w:rPr>
          <w:lang w:val="en-AU"/>
        </w:rPr>
        <w:t xml:space="preserve"> the equivalent of 6.2% of our GDP to educational institutions</w:t>
      </w:r>
      <w:r w:rsidR="00F73B47" w:rsidRPr="4FEBF9DC">
        <w:rPr>
          <w:lang w:val="en-AU"/>
        </w:rPr>
        <w:t>. This</w:t>
      </w:r>
      <w:r w:rsidRPr="4FEBF9DC">
        <w:rPr>
          <w:lang w:val="en-AU"/>
        </w:rPr>
        <w:t xml:space="preserve"> surpasses the OECD average of 5.1%</w:t>
      </w:r>
      <w:r w:rsidR="006519DD" w:rsidRPr="4FEBF9DC">
        <w:rPr>
          <w:lang w:val="en-AU"/>
        </w:rPr>
        <w:t xml:space="preserve"> and </w:t>
      </w:r>
      <w:r w:rsidR="00557FB2" w:rsidRPr="4FEBF9DC">
        <w:rPr>
          <w:lang w:val="en-AU"/>
        </w:rPr>
        <w:t>outperform</w:t>
      </w:r>
      <w:r w:rsidR="006519DD" w:rsidRPr="4FEBF9DC">
        <w:rPr>
          <w:lang w:val="en-AU"/>
        </w:rPr>
        <w:t>s</w:t>
      </w:r>
      <w:r w:rsidRPr="4FEBF9DC">
        <w:rPr>
          <w:lang w:val="en-AU"/>
        </w:rPr>
        <w:t xml:space="preserve"> countries such as the US, Canada, and New Zealand.</w:t>
      </w:r>
    </w:p>
    <w:p w14:paraId="7BD663C4" w14:textId="67BC46E1" w:rsidR="00C23FEE" w:rsidRDefault="00C23FEE" w:rsidP="00C23FEE">
      <w:pPr>
        <w:pStyle w:val="Caption"/>
      </w:pPr>
      <w:bookmarkStart w:id="117" w:name="_Toc165471232"/>
      <w:bookmarkStart w:id="118" w:name="_Toc178256524"/>
      <w:r w:rsidRPr="002322B7">
        <w:t xml:space="preserve">Figure </w:t>
      </w:r>
      <w:r w:rsidR="00CF16FA">
        <w:fldChar w:fldCharType="begin"/>
      </w:r>
      <w:r w:rsidR="00CF16FA">
        <w:instrText xml:space="preserve"> SEQ Figure \* ARABIC </w:instrText>
      </w:r>
      <w:r w:rsidR="00CF16FA">
        <w:fldChar w:fldCharType="separate"/>
      </w:r>
      <w:r w:rsidR="002459CF">
        <w:rPr>
          <w:noProof/>
        </w:rPr>
        <w:t>25</w:t>
      </w:r>
      <w:r w:rsidR="00CF16FA">
        <w:rPr>
          <w:noProof/>
        </w:rPr>
        <w:fldChar w:fldCharType="end"/>
      </w:r>
      <w:r w:rsidRPr="002322B7">
        <w:t xml:space="preserve"> – Expenditure on educational institutions across OECD countries¹</w:t>
      </w:r>
      <w:bookmarkEnd w:id="117"/>
      <w:bookmarkEnd w:id="118"/>
    </w:p>
    <w:p w14:paraId="70BF877B" w14:textId="41319FC8" w:rsidR="003B359D" w:rsidRDefault="003B359D" w:rsidP="003B359D">
      <w:r>
        <w:rPr>
          <w:noProof/>
        </w:rPr>
        <w:drawing>
          <wp:inline distT="0" distB="0" distL="0" distR="0" wp14:anchorId="27CBA23C" wp14:editId="4209C7CD">
            <wp:extent cx="6336030" cy="4596130"/>
            <wp:effectExtent l="0" t="0" r="7620" b="0"/>
            <wp:docPr id="1025804377" name="Picture 36" descr="The stacked bar chart shows expenditure on educational institutions across Organisation for Economic Co-operation and Development (OECD) countries. The expenditure is presented as a percentage of gross domestic product (GDP) in 2020. The country’s rank is followed by the total tertiary education percentage, the other education percentage and the total percentage of GDP, as follows: Norway (1) Tertiary 2% other education 4.8 total 6.8%; Colombia (2) Tertiary 1.5% other education 5.1 total 6.6%; Iceland (5) Tertiary 1.4% other education 4.9 total 6.3%; UK (6) Tertiary 2.1% other education 4.2 total 6.3%; Australia (7) Tertiary 1.9% other education 4.3 total 6.2%; US (8) Tertiary 2.5% other education 3.6 total 6.1%; Canada (10) Tertiary 2.4% other education 3.6 total 6%; France (13) Tertiary 1.6% other education 3.9 total 5.5%; Finland (14) Tertiary 1.6% other education 3.8 total 5.4%; New Zealand (15) Tertiary 1.6% other education 3.8 total 5.4%; Korea (18) Tertiary 1.6% other education 3.5 total 5.1%; Spain (19) Tertiary 1.5% other education 3.5 total 5%; Poland (23) Tertiary 1.3% other education 3.3 total 4.6%; Germany (25) Tertiary 1.3% other education 3.3 total 4.6%; Mexico (27) Tertiary 1.2% other education 3.2 total 4.5%; Italy (30) Tertiary 1% other education 3.2 total 4.2%; Japan (31) Tertiary 1.4% other education 2.7 total 4.1%; Luxembourg (34) Tertiary 0.5% other education 3 total 3.4%; Ireland (35) Tertiary 0.8% other education 2.4 total 3.2%; and OECD - Average Tertiary 1.5% other education 3.6 total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4377" name="Picture 36" descr="The stacked bar chart shows expenditure on educational institutions across Organisation for Economic Co-operation and Development (OECD) countries. The expenditure is presented as a percentage of gross domestic product (GDP) in 2020. The country’s rank is followed by the total tertiary education percentage, the other education percentage and the total percentage of GDP, as follows: Norway (1) Tertiary 2% other education 4.8 total 6.8%; Colombia (2) Tertiary 1.5% other education 5.1 total 6.6%; Iceland (5) Tertiary 1.4% other education 4.9 total 6.3%; UK (6) Tertiary 2.1% other education 4.2 total 6.3%; Australia (7) Tertiary 1.9% other education 4.3 total 6.2%; US (8) Tertiary 2.5% other education 3.6 total 6.1%; Canada (10) Tertiary 2.4% other education 3.6 total 6%; France (13) Tertiary 1.6% other education 3.9 total 5.5%; Finland (14) Tertiary 1.6% other education 3.8 total 5.4%; New Zealand (15) Tertiary 1.6% other education 3.8 total 5.4%; Korea (18) Tertiary 1.6% other education 3.5 total 5.1%; Spain (19) Tertiary 1.5% other education 3.5 total 5%; Poland (23) Tertiary 1.3% other education 3.3 total 4.6%; Germany (25) Tertiary 1.3% other education 3.3 total 4.6%; Mexico (27) Tertiary 1.2% other education 3.2 total 4.5%; Italy (30) Tertiary 1% other education 3.2 total 4.2%; Japan (31) Tertiary 1.4% other education 2.7 total 4.1%; Luxembourg (34) Tertiary 0.5% other education 3 total 3.4%; Ireland (35) Tertiary 0.8% other education 2.4 total 3.2%; and OECD - Average Tertiary 1.5% other education 3.6 total 5.1%."/>
                    <pic:cNvPicPr/>
                  </pic:nvPicPr>
                  <pic:blipFill rotWithShape="1">
                    <a:blip r:embed="rId42" cstate="hqprint">
                      <a:extLst>
                        <a:ext uri="{28A0092B-C50C-407E-A947-70E740481C1C}">
                          <a14:useLocalDpi xmlns:a14="http://schemas.microsoft.com/office/drawing/2010/main"/>
                        </a:ext>
                      </a:extLst>
                    </a:blip>
                    <a:srcRect/>
                    <a:stretch/>
                  </pic:blipFill>
                  <pic:spPr bwMode="auto">
                    <a:xfrm>
                      <a:off x="0" y="0"/>
                      <a:ext cx="6336030" cy="4596130"/>
                    </a:xfrm>
                    <a:prstGeom prst="rect">
                      <a:avLst/>
                    </a:prstGeom>
                    <a:ln>
                      <a:noFill/>
                    </a:ln>
                    <a:extLst>
                      <a:ext uri="{53640926-AAD7-44D8-BBD7-CCE9431645EC}">
                        <a14:shadowObscured xmlns:a14="http://schemas.microsoft.com/office/drawing/2010/main"/>
                      </a:ext>
                    </a:extLst>
                  </pic:spPr>
                </pic:pic>
              </a:graphicData>
            </a:graphic>
          </wp:inline>
        </w:drawing>
      </w:r>
    </w:p>
    <w:p w14:paraId="206AC389" w14:textId="77777777" w:rsidR="00C23FEE" w:rsidRPr="002322B7" w:rsidRDefault="00C23FEE" w:rsidP="00C23FEE">
      <w:pPr>
        <w:pStyle w:val="Sourcesandnotes"/>
      </w:pPr>
      <w:r w:rsidRPr="002322B7">
        <w:rPr>
          <w:b/>
          <w:bCs/>
        </w:rPr>
        <w:t>Notes: 1.</w:t>
      </w:r>
      <w:r w:rsidRPr="002322B7">
        <w:t xml:space="preserve"> Expenditure on all public and private institutions. Values of expenditure are expressed in USD-equivalent, after converting local currencies using purchasing-power parity (PPP) conversion factors. </w:t>
      </w:r>
      <w:r w:rsidRPr="002322B7">
        <w:rPr>
          <w:b/>
          <w:bCs/>
        </w:rPr>
        <w:t>2.</w:t>
      </w:r>
      <w:r w:rsidRPr="002322B7">
        <w:t xml:space="preserve"> The latest data available from the OECD database does not include data from Greece. </w:t>
      </w:r>
      <w:r w:rsidRPr="002322B7">
        <w:rPr>
          <w:b/>
          <w:bCs/>
        </w:rPr>
        <w:t>3.</w:t>
      </w:r>
      <w:r w:rsidRPr="002322B7">
        <w:t xml:space="preserve"> The numbers in brackets indicate the economy’s ranking across OECD economies.</w:t>
      </w:r>
    </w:p>
    <w:p w14:paraId="3ADC15C4" w14:textId="77777777" w:rsidR="00C23FEE" w:rsidRPr="002322B7" w:rsidRDefault="00C23FEE" w:rsidP="00C23FEE">
      <w:pPr>
        <w:pStyle w:val="Sourcesandnotes"/>
      </w:pPr>
      <w:r w:rsidRPr="002322B7">
        <w:rPr>
          <w:b/>
          <w:bCs/>
        </w:rPr>
        <w:t>Sources:</w:t>
      </w:r>
      <w:r w:rsidRPr="002322B7">
        <w:t xml:space="preserve"> Organisation for Economic Co-operation and Development, 2024, OECD Statistics; Austrade.</w:t>
      </w:r>
    </w:p>
    <w:p w14:paraId="283BE67B" w14:textId="77777777" w:rsidR="00C23FEE" w:rsidRPr="002322B7" w:rsidRDefault="00C23FEE" w:rsidP="00C23FEE"/>
    <w:p w14:paraId="13CC968C" w14:textId="77777777" w:rsidR="00C23FEE" w:rsidRPr="002322B7" w:rsidRDefault="00C23FEE" w:rsidP="00C23FEE">
      <w:pPr>
        <w:pStyle w:val="Heading-level2"/>
      </w:pPr>
      <w:bookmarkStart w:id="119" w:name="_Toc165471185"/>
      <w:bookmarkStart w:id="120" w:name="_Toc178256575"/>
      <w:r w:rsidRPr="002322B7">
        <w:lastRenderedPageBreak/>
        <w:t>Australia at #4 globally for top-ranked universities</w:t>
      </w:r>
      <w:bookmarkEnd w:id="119"/>
      <w:bookmarkEnd w:id="120"/>
    </w:p>
    <w:p w14:paraId="2AB846C9" w14:textId="5C07FF42" w:rsidR="00C23FEE" w:rsidRPr="002322B7" w:rsidRDefault="00F33FB0" w:rsidP="002225E3">
      <w:pPr>
        <w:pStyle w:val="Body-copy"/>
        <w:rPr>
          <w:lang w:val="en-AU"/>
        </w:rPr>
      </w:pPr>
      <w:r w:rsidRPr="00F33FB0">
        <w:rPr>
          <w:lang w:val="en-AU"/>
        </w:rPr>
        <w:t xml:space="preserve">Australia punches above </w:t>
      </w:r>
      <w:r w:rsidR="00FB7FD5">
        <w:rPr>
          <w:lang w:val="en-AU"/>
        </w:rPr>
        <w:t>its</w:t>
      </w:r>
      <w:r w:rsidRPr="00F33FB0">
        <w:rPr>
          <w:lang w:val="en-AU"/>
        </w:rPr>
        <w:t xml:space="preserve"> weight globally when it comes to quality tertiary education</w:t>
      </w:r>
      <w:r w:rsidR="00FB7FD5">
        <w:rPr>
          <w:lang w:val="en-AU"/>
        </w:rPr>
        <w:t>.</w:t>
      </w:r>
      <w:r w:rsidRPr="00F33FB0">
        <w:rPr>
          <w:lang w:val="en-AU"/>
        </w:rPr>
        <w:t xml:space="preserve"> </w:t>
      </w:r>
      <w:r w:rsidR="00FB7FD5">
        <w:rPr>
          <w:lang w:val="en-AU"/>
        </w:rPr>
        <w:t>A</w:t>
      </w:r>
      <w:r w:rsidR="00FB7FD5" w:rsidRPr="002322B7">
        <w:rPr>
          <w:lang w:val="en-AU"/>
        </w:rPr>
        <w:t>ccording to the Academic Ranking of World Universities</w:t>
      </w:r>
      <w:r w:rsidR="00FB7FD5">
        <w:rPr>
          <w:lang w:val="en-AU"/>
        </w:rPr>
        <w:t>, t</w:t>
      </w:r>
      <w:r w:rsidR="00C23FEE" w:rsidRPr="002322B7">
        <w:rPr>
          <w:lang w:val="en-AU"/>
        </w:rPr>
        <w:t xml:space="preserve">here are </w:t>
      </w:r>
      <w:r w:rsidR="00A12B55">
        <w:rPr>
          <w:lang w:val="en-AU"/>
        </w:rPr>
        <w:t>six</w:t>
      </w:r>
      <w:r w:rsidR="00C23FEE" w:rsidRPr="002322B7">
        <w:rPr>
          <w:lang w:val="en-AU"/>
        </w:rPr>
        <w:t xml:space="preserve"> Australian universities among the world’s top 100</w:t>
      </w:r>
      <w:r w:rsidR="0078101E">
        <w:rPr>
          <w:lang w:val="en-AU"/>
        </w:rPr>
        <w:t>.</w:t>
      </w:r>
      <w:r w:rsidR="00883E29">
        <w:rPr>
          <w:lang w:val="en-AU"/>
        </w:rPr>
        <w:t xml:space="preserve"> O</w:t>
      </w:r>
      <w:r w:rsidR="00CA0849">
        <w:rPr>
          <w:lang w:val="en-AU"/>
        </w:rPr>
        <w:t xml:space="preserve">nly </w:t>
      </w:r>
      <w:r w:rsidR="0027792F">
        <w:rPr>
          <w:lang w:val="en-AU"/>
        </w:rPr>
        <w:t xml:space="preserve">much larger </w:t>
      </w:r>
      <w:r w:rsidR="009F3EFA">
        <w:rPr>
          <w:lang w:val="en-AU"/>
        </w:rPr>
        <w:t>economies</w:t>
      </w:r>
      <w:r w:rsidR="0027792F">
        <w:rPr>
          <w:lang w:val="en-AU"/>
        </w:rPr>
        <w:t xml:space="preserve"> </w:t>
      </w:r>
      <w:r w:rsidR="00917230">
        <w:rPr>
          <w:lang w:val="en-AU"/>
        </w:rPr>
        <w:t>(</w:t>
      </w:r>
      <w:r w:rsidR="0027792F">
        <w:rPr>
          <w:lang w:val="en-AU"/>
        </w:rPr>
        <w:t xml:space="preserve">the </w:t>
      </w:r>
      <w:r w:rsidR="00CA0849">
        <w:rPr>
          <w:lang w:val="en-AU"/>
        </w:rPr>
        <w:t>US, China and the UK</w:t>
      </w:r>
      <w:r w:rsidR="00917230">
        <w:rPr>
          <w:lang w:val="en-AU"/>
        </w:rPr>
        <w:t>)</w:t>
      </w:r>
      <w:r w:rsidR="00CA0849">
        <w:rPr>
          <w:lang w:val="en-AU"/>
        </w:rPr>
        <w:t xml:space="preserve"> </w:t>
      </w:r>
      <w:r w:rsidR="002F536D">
        <w:rPr>
          <w:lang w:val="en-AU"/>
        </w:rPr>
        <w:t xml:space="preserve">had more universities </w:t>
      </w:r>
      <w:r w:rsidR="009B22B8">
        <w:rPr>
          <w:lang w:val="en-AU"/>
        </w:rPr>
        <w:t>on</w:t>
      </w:r>
      <w:r w:rsidR="002F536D">
        <w:rPr>
          <w:lang w:val="en-AU"/>
        </w:rPr>
        <w:t xml:space="preserve"> the list</w:t>
      </w:r>
      <w:r w:rsidR="00C23FEE" w:rsidRPr="002322B7">
        <w:rPr>
          <w:lang w:val="en-AU"/>
        </w:rPr>
        <w:t>.</w:t>
      </w:r>
      <w:r w:rsidR="00C23FEE" w:rsidRPr="002322B7">
        <w:rPr>
          <w:vertAlign w:val="superscript"/>
          <w:lang w:val="en-AU"/>
        </w:rPr>
        <w:t>1</w:t>
      </w:r>
      <w:r w:rsidR="00C23FEE" w:rsidRPr="002322B7">
        <w:rPr>
          <w:lang w:val="en-AU"/>
        </w:rPr>
        <w:t xml:space="preserve"> </w:t>
      </w:r>
      <w:r w:rsidR="00942CDC">
        <w:rPr>
          <w:lang w:val="en-AU"/>
        </w:rPr>
        <w:t xml:space="preserve">And </w:t>
      </w:r>
      <w:r w:rsidR="00C23FEE" w:rsidRPr="002322B7">
        <w:rPr>
          <w:lang w:val="en-AU"/>
        </w:rPr>
        <w:t>Australian academia is on the rise</w:t>
      </w:r>
      <w:r w:rsidR="00CB7FD6" w:rsidRPr="002322B7">
        <w:rPr>
          <w:lang w:val="en-AU"/>
        </w:rPr>
        <w:t xml:space="preserve">. </w:t>
      </w:r>
      <w:r w:rsidR="001874E6">
        <w:rPr>
          <w:lang w:val="en-AU"/>
        </w:rPr>
        <w:t xml:space="preserve">While </w:t>
      </w:r>
      <w:r w:rsidR="00C23FEE" w:rsidRPr="002322B7">
        <w:rPr>
          <w:lang w:val="en-AU"/>
        </w:rPr>
        <w:t>14 of our universities ma</w:t>
      </w:r>
      <w:r w:rsidR="00CB7FD6" w:rsidRPr="002322B7">
        <w:rPr>
          <w:lang w:val="en-AU"/>
        </w:rPr>
        <w:t>de</w:t>
      </w:r>
      <w:r w:rsidR="00C23FEE" w:rsidRPr="002322B7">
        <w:rPr>
          <w:lang w:val="en-AU"/>
        </w:rPr>
        <w:t xml:space="preserve"> it into the top 500</w:t>
      </w:r>
      <w:r w:rsidR="006C1805">
        <w:rPr>
          <w:lang w:val="en-AU"/>
        </w:rPr>
        <w:t xml:space="preserve"> in 2004</w:t>
      </w:r>
      <w:r w:rsidR="00CB7FD6" w:rsidRPr="002322B7">
        <w:rPr>
          <w:lang w:val="en-AU"/>
        </w:rPr>
        <w:t xml:space="preserve">, </w:t>
      </w:r>
      <w:r w:rsidR="00C23FEE" w:rsidRPr="002322B7">
        <w:rPr>
          <w:lang w:val="en-AU"/>
        </w:rPr>
        <w:t xml:space="preserve">24 institutions </w:t>
      </w:r>
      <w:r w:rsidR="00CB7FD6" w:rsidRPr="002322B7">
        <w:rPr>
          <w:lang w:val="en-AU"/>
        </w:rPr>
        <w:t xml:space="preserve">were among the Index’s top </w:t>
      </w:r>
      <w:r w:rsidR="00C23FEE" w:rsidRPr="002322B7">
        <w:rPr>
          <w:lang w:val="en-AU"/>
        </w:rPr>
        <w:t>500</w:t>
      </w:r>
      <w:r w:rsidR="003F41B4">
        <w:rPr>
          <w:lang w:val="en-AU"/>
        </w:rPr>
        <w:t xml:space="preserve"> </w:t>
      </w:r>
      <w:r w:rsidR="007C1407">
        <w:rPr>
          <w:lang w:val="en-AU"/>
        </w:rPr>
        <w:t>by</w:t>
      </w:r>
      <w:r w:rsidR="003F41B4">
        <w:rPr>
          <w:lang w:val="en-AU"/>
        </w:rPr>
        <w:t xml:space="preserve"> 2023</w:t>
      </w:r>
      <w:r w:rsidR="00C23FEE" w:rsidRPr="002322B7">
        <w:rPr>
          <w:lang w:val="en-AU"/>
        </w:rPr>
        <w:t xml:space="preserve">. Our top-performing institutions are </w:t>
      </w:r>
      <w:r w:rsidR="0079519D" w:rsidRPr="002322B7">
        <w:rPr>
          <w:lang w:val="en-AU"/>
        </w:rPr>
        <w:t>the University of Melbourne</w:t>
      </w:r>
      <w:r w:rsidR="00F656D8">
        <w:rPr>
          <w:lang w:val="en-AU"/>
        </w:rPr>
        <w:t xml:space="preserve"> (35</w:t>
      </w:r>
      <w:r w:rsidR="00F656D8" w:rsidRPr="00917230">
        <w:rPr>
          <w:vertAlign w:val="superscript"/>
          <w:lang w:val="en-AU"/>
        </w:rPr>
        <w:t>th</w:t>
      </w:r>
      <w:r w:rsidR="00F656D8">
        <w:rPr>
          <w:lang w:val="en-AU"/>
        </w:rPr>
        <w:t>)</w:t>
      </w:r>
      <w:r w:rsidR="0079519D" w:rsidRPr="002322B7">
        <w:rPr>
          <w:lang w:val="en-AU"/>
        </w:rPr>
        <w:t xml:space="preserve">, </w:t>
      </w:r>
      <w:r w:rsidR="00F656D8" w:rsidRPr="002322B7">
        <w:rPr>
          <w:lang w:val="en-AU"/>
        </w:rPr>
        <w:t>the University of Queensland</w:t>
      </w:r>
      <w:r w:rsidR="00F656D8">
        <w:rPr>
          <w:lang w:val="en-AU"/>
        </w:rPr>
        <w:t xml:space="preserve"> (51</w:t>
      </w:r>
      <w:r w:rsidR="00F656D8" w:rsidRPr="00917230">
        <w:rPr>
          <w:vertAlign w:val="superscript"/>
          <w:lang w:val="en-AU"/>
        </w:rPr>
        <w:t>st</w:t>
      </w:r>
      <w:r w:rsidR="00F656D8">
        <w:rPr>
          <w:lang w:val="en-AU"/>
        </w:rPr>
        <w:t>)</w:t>
      </w:r>
      <w:r w:rsidR="00CE3A53">
        <w:rPr>
          <w:lang w:val="en-AU"/>
        </w:rPr>
        <w:t>,</w:t>
      </w:r>
      <w:r w:rsidR="00F656D8" w:rsidRPr="002322B7">
        <w:rPr>
          <w:lang w:val="en-AU"/>
        </w:rPr>
        <w:t xml:space="preserve"> </w:t>
      </w:r>
      <w:r w:rsidR="00A223B9" w:rsidRPr="002322B7">
        <w:rPr>
          <w:lang w:val="en-AU"/>
        </w:rPr>
        <w:t>the University of New South Wales</w:t>
      </w:r>
      <w:r w:rsidR="00A223B9">
        <w:rPr>
          <w:lang w:val="en-AU"/>
        </w:rPr>
        <w:t xml:space="preserve"> (72</w:t>
      </w:r>
      <w:r w:rsidR="00A223B9" w:rsidRPr="00917230">
        <w:rPr>
          <w:vertAlign w:val="superscript"/>
          <w:lang w:val="en-AU"/>
        </w:rPr>
        <w:t>nd</w:t>
      </w:r>
      <w:r w:rsidR="00A223B9">
        <w:rPr>
          <w:lang w:val="en-AU"/>
        </w:rPr>
        <w:t>)</w:t>
      </w:r>
      <w:r w:rsidR="00A223B9" w:rsidRPr="002322B7">
        <w:rPr>
          <w:lang w:val="en-AU"/>
        </w:rPr>
        <w:t xml:space="preserve">, </w:t>
      </w:r>
      <w:r w:rsidR="00CB25BF" w:rsidRPr="002322B7">
        <w:rPr>
          <w:lang w:val="en-AU"/>
        </w:rPr>
        <w:t>the University of Sydney</w:t>
      </w:r>
      <w:r w:rsidR="00CB25BF">
        <w:rPr>
          <w:lang w:val="en-AU"/>
        </w:rPr>
        <w:t xml:space="preserve"> (73</w:t>
      </w:r>
      <w:r w:rsidR="00CB25BF" w:rsidRPr="00917230">
        <w:rPr>
          <w:vertAlign w:val="superscript"/>
          <w:lang w:val="en-AU"/>
        </w:rPr>
        <w:t>rd</w:t>
      </w:r>
      <w:r w:rsidR="00CB25BF">
        <w:rPr>
          <w:lang w:val="en-AU"/>
        </w:rPr>
        <w:t>),</w:t>
      </w:r>
      <w:r w:rsidR="00CB25BF" w:rsidRPr="002322B7">
        <w:rPr>
          <w:lang w:val="en-AU"/>
        </w:rPr>
        <w:t xml:space="preserve"> Monash University</w:t>
      </w:r>
      <w:r w:rsidR="00CB25BF">
        <w:rPr>
          <w:lang w:val="en-AU"/>
        </w:rPr>
        <w:t xml:space="preserve"> (77</w:t>
      </w:r>
      <w:r w:rsidR="00CB25BF" w:rsidRPr="00917230">
        <w:rPr>
          <w:vertAlign w:val="superscript"/>
          <w:lang w:val="en-AU"/>
        </w:rPr>
        <w:t>th</w:t>
      </w:r>
      <w:r w:rsidR="00CB25BF">
        <w:rPr>
          <w:lang w:val="en-AU"/>
        </w:rPr>
        <w:t>)</w:t>
      </w:r>
      <w:r w:rsidR="00CB25BF" w:rsidRPr="002322B7">
        <w:rPr>
          <w:lang w:val="en-AU"/>
        </w:rPr>
        <w:t xml:space="preserve">, </w:t>
      </w:r>
      <w:r w:rsidR="00CB676C">
        <w:rPr>
          <w:lang w:val="en-AU"/>
        </w:rPr>
        <w:t xml:space="preserve">and </w:t>
      </w:r>
      <w:r w:rsidR="00DE3703" w:rsidRPr="002322B7">
        <w:rPr>
          <w:lang w:val="en-AU"/>
        </w:rPr>
        <w:t>the Australian National University</w:t>
      </w:r>
      <w:r w:rsidR="00CB676C">
        <w:rPr>
          <w:lang w:val="en-AU"/>
        </w:rPr>
        <w:t xml:space="preserve"> (84</w:t>
      </w:r>
      <w:r w:rsidR="00CB676C" w:rsidRPr="00917230">
        <w:rPr>
          <w:vertAlign w:val="superscript"/>
          <w:lang w:val="en-AU"/>
        </w:rPr>
        <w:t>th</w:t>
      </w:r>
      <w:r w:rsidR="00CB676C">
        <w:rPr>
          <w:lang w:val="en-AU"/>
        </w:rPr>
        <w:t>)</w:t>
      </w:r>
      <w:r w:rsidR="00B72B73" w:rsidRPr="002322B7">
        <w:rPr>
          <w:lang w:val="en-AU"/>
        </w:rPr>
        <w:t>.</w:t>
      </w:r>
    </w:p>
    <w:p w14:paraId="7A806342" w14:textId="6A87A8F9" w:rsidR="00C23FEE" w:rsidRDefault="00C23FEE" w:rsidP="00C23FEE">
      <w:pPr>
        <w:pStyle w:val="Caption"/>
      </w:pPr>
      <w:bookmarkStart w:id="121" w:name="_Toc165471234"/>
      <w:bookmarkStart w:id="122" w:name="_Toc178256525"/>
      <w:r w:rsidRPr="002322B7">
        <w:t xml:space="preserve">Figure </w:t>
      </w:r>
      <w:r w:rsidR="00CF16FA">
        <w:fldChar w:fldCharType="begin"/>
      </w:r>
      <w:r w:rsidR="00CF16FA">
        <w:instrText xml:space="preserve"> SEQ Figure \* ARABIC </w:instrText>
      </w:r>
      <w:r w:rsidR="00CF16FA">
        <w:fldChar w:fldCharType="separate"/>
      </w:r>
      <w:r w:rsidR="002459CF">
        <w:rPr>
          <w:noProof/>
        </w:rPr>
        <w:t>26</w:t>
      </w:r>
      <w:r w:rsidR="00CF16FA">
        <w:rPr>
          <w:noProof/>
        </w:rPr>
        <w:fldChar w:fldCharType="end"/>
      </w:r>
      <w:r w:rsidRPr="002322B7">
        <w:t xml:space="preserve"> – Academic ranking of world universities, 2023</w:t>
      </w:r>
      <w:bookmarkEnd w:id="121"/>
      <w:bookmarkEnd w:id="122"/>
    </w:p>
    <w:p w14:paraId="00E6ACBE" w14:textId="3DC754D7" w:rsidR="003B359D" w:rsidRPr="003B359D" w:rsidRDefault="003B359D" w:rsidP="003B359D">
      <w:r>
        <w:rPr>
          <w:noProof/>
        </w:rPr>
        <w:drawing>
          <wp:inline distT="0" distB="0" distL="0" distR="0" wp14:anchorId="10A0FC36" wp14:editId="7B5D36BC">
            <wp:extent cx="6300000" cy="4323581"/>
            <wp:effectExtent l="0" t="0" r="5715" b="1270"/>
            <wp:docPr id="1308151318" name="Picture 37" descr="The table contains the academic ranking of world universities. The information is: US, ranked 1, has 38 universities in the top 100, 61 in the top 200, 82 in the top 300, 99 in the top 400, 117 in the top 500, 70 between top 501 and 1000 - a total of 187 universities in the top 1000.  China, ranked 2, has 10 universities in the top 100, 32 in the top 200, 50 in the top 300, 68 in the top 400, 88 in the top 500, 103 between top 501 and 1000 - a total of 191 universities in the top 1000.  UK, ranked 3, has 8 universities in the top 100, 20 in the top 200, 25 in the top 300, 33 in the top 400, 38 in the top 500, 26 between top 501 and 1000 - a total of 64 universities in the top 1000.  Australia, ranked 4, has 6 universities in the top 100, 8 in the top 200, 15 in the top 300, 22 in the top 400, 24 in the top 500, 10 between top 501 and 1000 - a total of 34 universities in the top 1000.  Canada, ranked 5, has 5 universities in the top 100, 7 in the top 200, 11 in the top 300, 17 in the top 400, 18 in the top 500, 7 between top 501 and 1000 - a total of 25 universities in the top 1000.  Switzerland, ranked 6, has 5 universities in the top 100, 7 in the top 200, 7 in the top 300, 7 in the top 400, 7 in the top 500, 2 between top 501 and 1000 - a total of 9 universities in the top 1000.  Germany, ranked 7, has 4 universities in the top 100, 9 in the top 200, 19 in the top 300, 24 in the top 400, 31 in the top 500, 14 between top 501 and 1000 - a total of 45 universities in the top 1000.  France, ranked 8, has 4 universities in the top 100, 8 in the top 200, 12 in the top 300, 16 in the top 400, 18 in the top 500, 9 between top 501 and 1000 - a total of 27 universities in the top 1000.  Netherlands, ranked 9, has 3 universities in the top 100, 9 in the top 200, 10 in the top 300, 10 in the top 400, 12 in the top 500, 1 between top 501 and 1000 - a total of 13 universities in the top 1000.  Sweden, ranked 10, has 3 universities in the top 100, 5 in the top 200, 6 in the top 300, 8 in the top 400, 9 in the top 500, 4 between top 501 and 1000 - a total of 13 universities in the top 1000.  Israel, ranked 11, has 3 universities in the top 100, 3 in the top 200, 4 in the top 300, 4 in the top 400, 5 in the top 500, 2 between top 501 and 1000 - a total of 7 universities in the top 1000.  Japan, ranked 12, has 2 universities in the top 100, 5 in the top 200, 8 in the top 300, 11 in the top 400, 12 in the top 500, 20 between top 501 and 1000 - a total of 32 universities in the top 1000.  Belgium, ranked 13, has 2 universities in the top 100, 3 in the top 200, 5 in the top 300, 7 in the top 400, 7 in the top 500, 2 between top 501 and 1000 - a total of 9 universities in the top 1000.  Denmark, ranked 14, has 2 universities in the top 100, 3 in the top 200, 3 in the top 300, 5 in the top 400, 5 in the top 500, 1 between top 501 and 1000 - a total of 6 universities in the top 1000.  Singapore, ranked 15, has 2 universities in the top 100, 2 in the top 200, 2 in the top 300, 2 in the top 400, 2 in the top 500, 2 between top 501 and 1000 - a total of 4 universities in the top 1000.  Hong Kong, ranked 16, has 1 universities in the top 100, 4 in the top 200, 4 in the top 300, 5 in the top 400, 5 in the top 500, 2 between top 501 and 1000 - a total of 7 universities in the top 1000.  Korea, ranked 17, has 1 universities in the top 100, 2 in the top 200, 7 in the top 300, 8 in the top 400, 12 in the top 500, 18 between top 501 and 1000 - a total of 30 universities in the top 1000.  Norway, ranked 18, has 1 universities in the top 100, 2 in the top 200, 2 in the top 300, 3 in the top 400, 3 in the top 500, 4 between top 501 and 1000 - a total of 7 universities in the top 1000.  Italy, ranked 19, has 0 universities in the top 100, 4 in the top 200, 8 in the top 300, 10 in the top 400, 17 in the top 500, 23 between top 501 and 1000 - a total of 40 universities in the top 1000.  Saudi Arabia, ranked 20, has 0 universities in the top 100, 2 in the top 200, 4 in the top 300, 5 in the top 400, 7 in the top 500, 5 between top 501 and 1000 - a total of 12 universities in the top 1000.  Austria, ranked 21, has 0 universities in the top 100, 1 in the top 200, 2 in the top 300, 4 in the top 400, 5 in the top 500, 7 between top 501 and 1000 - a total of 12 universities in the top 1000.  Finland, ranked 22, has 0 universities in the top 100, 1 in the top 200, 1 in the top 300, 3 in the top 400, 4 in the top 500, 3 between top 501 and 1000 - a total of 7 universities in the top 1000.  Brazil, ranked 23, has 0 universities in the top 100, 1 in the top 200, 1 in the top 300, 2 in the top 400, 5 in the top 500, 13 between top 501 and 1000 - a total of 18 universities in the top 1000.  Russia, ranked 24, has 0 universities in the top 100, 1 in the top 200, 1 in the top 300, 1 in the top 400, 2 in the top 500, 7 between top 501 and 1000 - a total of 9 universities in the top 1000.  Spain, ranked 25, has 0 universities in the top 100, 0 in the top 200, 2 in the top 300, 7 in the top 400, 9 in the top 500, 29 between top 501 and 1000 - a total of 38 universities in the top 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51318" name="Picture 37" descr="The table contains the academic ranking of world universities. The information is: US, ranked 1, has 38 universities in the top 100, 61 in the top 200, 82 in the top 300, 99 in the top 400, 117 in the top 500, 70 between top 501 and 1000 - a total of 187 universities in the top 1000.  China, ranked 2, has 10 universities in the top 100, 32 in the top 200, 50 in the top 300, 68 in the top 400, 88 in the top 500, 103 between top 501 and 1000 - a total of 191 universities in the top 1000.  UK, ranked 3, has 8 universities in the top 100, 20 in the top 200, 25 in the top 300, 33 in the top 400, 38 in the top 500, 26 between top 501 and 1000 - a total of 64 universities in the top 1000.  Australia, ranked 4, has 6 universities in the top 100, 8 in the top 200, 15 in the top 300, 22 in the top 400, 24 in the top 500, 10 between top 501 and 1000 - a total of 34 universities in the top 1000.  Canada, ranked 5, has 5 universities in the top 100, 7 in the top 200, 11 in the top 300, 17 in the top 400, 18 in the top 500, 7 between top 501 and 1000 - a total of 25 universities in the top 1000.  Switzerland, ranked 6, has 5 universities in the top 100, 7 in the top 200, 7 in the top 300, 7 in the top 400, 7 in the top 500, 2 between top 501 and 1000 - a total of 9 universities in the top 1000.  Germany, ranked 7, has 4 universities in the top 100, 9 in the top 200, 19 in the top 300, 24 in the top 400, 31 in the top 500, 14 between top 501 and 1000 - a total of 45 universities in the top 1000.  France, ranked 8, has 4 universities in the top 100, 8 in the top 200, 12 in the top 300, 16 in the top 400, 18 in the top 500, 9 between top 501 and 1000 - a total of 27 universities in the top 1000.  Netherlands, ranked 9, has 3 universities in the top 100, 9 in the top 200, 10 in the top 300, 10 in the top 400, 12 in the top 500, 1 between top 501 and 1000 - a total of 13 universities in the top 1000.  Sweden, ranked 10, has 3 universities in the top 100, 5 in the top 200, 6 in the top 300, 8 in the top 400, 9 in the top 500, 4 between top 501 and 1000 - a total of 13 universities in the top 1000.  Israel, ranked 11, has 3 universities in the top 100, 3 in the top 200, 4 in the top 300, 4 in the top 400, 5 in the top 500, 2 between top 501 and 1000 - a total of 7 universities in the top 1000.  Japan, ranked 12, has 2 universities in the top 100, 5 in the top 200, 8 in the top 300, 11 in the top 400, 12 in the top 500, 20 between top 501 and 1000 - a total of 32 universities in the top 1000.  Belgium, ranked 13, has 2 universities in the top 100, 3 in the top 200, 5 in the top 300, 7 in the top 400, 7 in the top 500, 2 between top 501 and 1000 - a total of 9 universities in the top 1000.  Denmark, ranked 14, has 2 universities in the top 100, 3 in the top 200, 3 in the top 300, 5 in the top 400, 5 in the top 500, 1 between top 501 and 1000 - a total of 6 universities in the top 1000.  Singapore, ranked 15, has 2 universities in the top 100, 2 in the top 200, 2 in the top 300, 2 in the top 400, 2 in the top 500, 2 between top 501 and 1000 - a total of 4 universities in the top 1000.  Hong Kong, ranked 16, has 1 universities in the top 100, 4 in the top 200, 4 in the top 300, 5 in the top 400, 5 in the top 500, 2 between top 501 and 1000 - a total of 7 universities in the top 1000.  Korea, ranked 17, has 1 universities in the top 100, 2 in the top 200, 7 in the top 300, 8 in the top 400, 12 in the top 500, 18 between top 501 and 1000 - a total of 30 universities in the top 1000.  Norway, ranked 18, has 1 universities in the top 100, 2 in the top 200, 2 in the top 300, 3 in the top 400, 3 in the top 500, 4 between top 501 and 1000 - a total of 7 universities in the top 1000.  Italy, ranked 19, has 0 universities in the top 100, 4 in the top 200, 8 in the top 300, 10 in the top 400, 17 in the top 500, 23 between top 501 and 1000 - a total of 40 universities in the top 1000.  Saudi Arabia, ranked 20, has 0 universities in the top 100, 2 in the top 200, 4 in the top 300, 5 in the top 400, 7 in the top 500, 5 between top 501 and 1000 - a total of 12 universities in the top 1000.  Austria, ranked 21, has 0 universities in the top 100, 1 in the top 200, 2 in the top 300, 4 in the top 400, 5 in the top 500, 7 between top 501 and 1000 - a total of 12 universities in the top 1000.  Finland, ranked 22, has 0 universities in the top 100, 1 in the top 200, 1 in the top 300, 3 in the top 400, 4 in the top 500, 3 between top 501 and 1000 - a total of 7 universities in the top 1000.  Brazil, ranked 23, has 0 universities in the top 100, 1 in the top 200, 1 in the top 300, 2 in the top 400, 5 in the top 500, 13 between top 501 and 1000 - a total of 18 universities in the top 1000.  Russia, ranked 24, has 0 universities in the top 100, 1 in the top 200, 1 in the top 300, 1 in the top 400, 2 in the top 500, 7 between top 501 and 1000 - a total of 9 universities in the top 1000.  Spain, ranked 25, has 0 universities in the top 100, 0 in the top 200, 2 in the top 300, 7 in the top 400, 9 in the top 500, 29 between top 501 and 1000 - a total of 38 universities in the top 1000.  "/>
                    <pic:cNvPicPr/>
                  </pic:nvPicPr>
                  <pic:blipFill rotWithShape="1">
                    <a:blip r:embed="rId43" cstate="hqprint">
                      <a:extLst>
                        <a:ext uri="{28A0092B-C50C-407E-A947-70E740481C1C}">
                          <a14:useLocalDpi xmlns:a14="http://schemas.microsoft.com/office/drawing/2010/main"/>
                        </a:ext>
                      </a:extLst>
                    </a:blip>
                    <a:srcRect/>
                    <a:stretch/>
                  </pic:blipFill>
                  <pic:spPr bwMode="auto">
                    <a:xfrm>
                      <a:off x="0" y="0"/>
                      <a:ext cx="6300000" cy="4323581"/>
                    </a:xfrm>
                    <a:prstGeom prst="rect">
                      <a:avLst/>
                    </a:prstGeom>
                    <a:ln>
                      <a:noFill/>
                    </a:ln>
                    <a:extLst>
                      <a:ext uri="{53640926-AAD7-44D8-BBD7-CCE9431645EC}">
                        <a14:shadowObscured xmlns:a14="http://schemas.microsoft.com/office/drawing/2010/main"/>
                      </a:ext>
                    </a:extLst>
                  </pic:spPr>
                </pic:pic>
              </a:graphicData>
            </a:graphic>
          </wp:inline>
        </w:drawing>
      </w:r>
    </w:p>
    <w:p w14:paraId="2D85E102" w14:textId="3D21DD32" w:rsidR="00C23FEE" w:rsidRPr="002322B7" w:rsidRDefault="00C23FEE" w:rsidP="00C23FEE">
      <w:pPr>
        <w:pStyle w:val="Sourcesandnotes"/>
      </w:pPr>
      <w:r w:rsidRPr="002322B7">
        <w:rPr>
          <w:b/>
          <w:bCs/>
        </w:rPr>
        <w:t>Notes: 1.</w:t>
      </w:r>
      <w:r w:rsidRPr="002322B7">
        <w:t xml:space="preserve"> According to the 2023 Academic Ranking of World Universities (ARWU), published by the Shanghai Ranking Consultancy. </w:t>
      </w:r>
      <w:r w:rsidRPr="002322B7">
        <w:rPr>
          <w:b/>
          <w:bCs/>
        </w:rPr>
        <w:t>2</w:t>
      </w:r>
      <w:r w:rsidR="00475F99">
        <w:rPr>
          <w:b/>
          <w:bCs/>
        </w:rPr>
        <w:t>.</w:t>
      </w:r>
      <w:r w:rsidRPr="002322B7">
        <w:rPr>
          <w:b/>
          <w:bCs/>
        </w:rPr>
        <w:t xml:space="preserve"> </w:t>
      </w:r>
      <w:r w:rsidRPr="002322B7">
        <w:t>Economies were ranked according to the number of universities in the top 100. For evenly ranked economies, the number of universities in the top 200, top 300, top 400 and top 500 was used as a tiebreaker.</w:t>
      </w:r>
    </w:p>
    <w:p w14:paraId="0415D3E9" w14:textId="77777777" w:rsidR="00C23FEE" w:rsidRPr="002322B7" w:rsidRDefault="00C23FEE" w:rsidP="00C23FEE">
      <w:pPr>
        <w:pStyle w:val="Sourcesandnotes"/>
      </w:pPr>
      <w:r w:rsidRPr="002322B7">
        <w:rPr>
          <w:b/>
          <w:bCs/>
        </w:rPr>
        <w:t>Sources:</w:t>
      </w:r>
      <w:r w:rsidRPr="002322B7">
        <w:t xml:space="preserve"> Shanghai Ranking Consultancy, 2023, The Academic Ranking of World Universities; accessed 6 March 2024; Austrade.</w:t>
      </w:r>
    </w:p>
    <w:p w14:paraId="546F3E60" w14:textId="77777777" w:rsidR="00C23FEE" w:rsidRPr="002322B7" w:rsidRDefault="00C23FEE" w:rsidP="00C23FEE">
      <w:pPr>
        <w:pStyle w:val="Sourcesandnotes"/>
      </w:pPr>
    </w:p>
    <w:p w14:paraId="4AB8D393" w14:textId="77777777" w:rsidR="00C23FEE" w:rsidRPr="002322B7" w:rsidRDefault="00C23FEE" w:rsidP="00C23FEE">
      <w:pPr>
        <w:pStyle w:val="Heading-level2"/>
      </w:pPr>
      <w:bookmarkStart w:id="123" w:name="_Toc165471186"/>
      <w:bookmarkStart w:id="124" w:name="_Toc178256576"/>
      <w:r w:rsidRPr="002322B7">
        <w:lastRenderedPageBreak/>
        <w:t>Australian research pursues UN goals</w:t>
      </w:r>
      <w:bookmarkEnd w:id="123"/>
      <w:bookmarkEnd w:id="124"/>
    </w:p>
    <w:p w14:paraId="2F997B0E" w14:textId="53A0FEB4" w:rsidR="00C23FEE" w:rsidRPr="002322B7" w:rsidRDefault="00C23FEE" w:rsidP="002225E3">
      <w:pPr>
        <w:pStyle w:val="Body-copy"/>
        <w:rPr>
          <w:lang w:val="en-AU"/>
        </w:rPr>
      </w:pPr>
      <w:r w:rsidRPr="002322B7">
        <w:rPr>
          <w:lang w:val="en-AU"/>
        </w:rPr>
        <w:t>Australian universities reflect our status as good global citizens. According to the UK’s Times Higher Education Impact Rankings, 15 Australian universities made it into the top 100 for having an impact on UN Sustainable Development Goals. Australia now has the 3</w:t>
      </w:r>
      <w:r w:rsidRPr="002322B7">
        <w:rPr>
          <w:vertAlign w:val="superscript"/>
          <w:lang w:val="en-AU"/>
        </w:rPr>
        <w:t>rd</w:t>
      </w:r>
      <w:r w:rsidR="00F64A2A" w:rsidRPr="002322B7">
        <w:rPr>
          <w:lang w:val="en-AU"/>
        </w:rPr>
        <w:t>-</w:t>
      </w:r>
      <w:r w:rsidR="00314FE3">
        <w:rPr>
          <w:lang w:val="en-AU"/>
        </w:rPr>
        <w:t>highest</w:t>
      </w:r>
      <w:r w:rsidRPr="002322B7">
        <w:rPr>
          <w:lang w:val="en-AU"/>
        </w:rPr>
        <w:t xml:space="preserve"> number of universities in this top 100</w:t>
      </w:r>
      <w:r w:rsidR="00F64A2A" w:rsidRPr="002322B7">
        <w:rPr>
          <w:lang w:val="en-AU"/>
        </w:rPr>
        <w:t xml:space="preserve"> category</w:t>
      </w:r>
      <w:r w:rsidRPr="002322B7">
        <w:rPr>
          <w:lang w:val="en-AU"/>
        </w:rPr>
        <w:t>, surpassed only by the U</w:t>
      </w:r>
      <w:r w:rsidR="00C905F9" w:rsidRPr="002322B7">
        <w:rPr>
          <w:lang w:val="en-AU"/>
        </w:rPr>
        <w:t>K</w:t>
      </w:r>
      <w:r w:rsidRPr="002322B7">
        <w:rPr>
          <w:lang w:val="en-AU"/>
        </w:rPr>
        <w:t xml:space="preserve"> and Canada. The Times ranking includes research on topics such as climate change, poverty and gender equality. Their focus on global issues make</w:t>
      </w:r>
      <w:r w:rsidR="00824CD7" w:rsidRPr="002322B7">
        <w:rPr>
          <w:lang w:val="en-AU"/>
        </w:rPr>
        <w:t>s</w:t>
      </w:r>
      <w:r w:rsidRPr="002322B7">
        <w:rPr>
          <w:lang w:val="en-AU"/>
        </w:rPr>
        <w:t xml:space="preserve"> Australian universities attractive partners for collaborative research and </w:t>
      </w:r>
      <w:r w:rsidR="00B53BAC" w:rsidRPr="002322B7">
        <w:rPr>
          <w:lang w:val="en-AU"/>
        </w:rPr>
        <w:t>appeal</w:t>
      </w:r>
      <w:r w:rsidR="00007CC9" w:rsidRPr="002322B7">
        <w:rPr>
          <w:lang w:val="en-AU"/>
        </w:rPr>
        <w:t>ing</w:t>
      </w:r>
      <w:r w:rsidR="00B53BAC" w:rsidRPr="002322B7">
        <w:rPr>
          <w:lang w:val="en-AU"/>
        </w:rPr>
        <w:t xml:space="preserve"> to </w:t>
      </w:r>
      <w:r w:rsidRPr="002322B7">
        <w:rPr>
          <w:lang w:val="en-AU"/>
        </w:rPr>
        <w:t xml:space="preserve">overseas students.   </w:t>
      </w:r>
    </w:p>
    <w:p w14:paraId="2E129AF5" w14:textId="502D5A25" w:rsidR="00C23FEE" w:rsidRPr="002322B7" w:rsidRDefault="00C23FEE" w:rsidP="00C23FEE">
      <w:pPr>
        <w:pStyle w:val="Caption"/>
      </w:pPr>
      <w:bookmarkStart w:id="125" w:name="_Toc165471235"/>
      <w:bookmarkStart w:id="126" w:name="_Toc178256526"/>
      <w:r w:rsidRPr="002322B7">
        <w:t xml:space="preserve">Figure </w:t>
      </w:r>
      <w:r w:rsidR="00CF16FA">
        <w:fldChar w:fldCharType="begin"/>
      </w:r>
      <w:r w:rsidR="00CF16FA">
        <w:instrText xml:space="preserve"> SEQ Figure \* ARABIC </w:instrText>
      </w:r>
      <w:r w:rsidR="00CF16FA">
        <w:fldChar w:fldCharType="separate"/>
      </w:r>
      <w:r w:rsidR="002459CF">
        <w:rPr>
          <w:noProof/>
        </w:rPr>
        <w:t>27</w:t>
      </w:r>
      <w:r w:rsidR="00CF16FA">
        <w:rPr>
          <w:noProof/>
        </w:rPr>
        <w:fldChar w:fldCharType="end"/>
      </w:r>
      <w:r w:rsidRPr="002322B7">
        <w:t xml:space="preserve"> – Top 100 Universities Times Higher Education Impact Rankings, 2023</w:t>
      </w:r>
      <w:bookmarkEnd w:id="125"/>
      <w:bookmarkEnd w:id="126"/>
    </w:p>
    <w:p w14:paraId="1ACF7ECD" w14:textId="7CF0903D" w:rsidR="00C23FEE" w:rsidRPr="002322B7" w:rsidRDefault="00BF36B2" w:rsidP="00C23FEE">
      <w:r>
        <w:rPr>
          <w:noProof/>
        </w:rPr>
        <w:drawing>
          <wp:inline distT="0" distB="0" distL="0" distR="0" wp14:anchorId="33DA7FE7" wp14:editId="4C372A43">
            <wp:extent cx="6118310" cy="3039745"/>
            <wp:effectExtent l="0" t="0" r="0" b="0"/>
            <wp:docPr id="847452225" name="Picture 1" descr="The image has a pie chart and a table. The pie chart shows the number of universities in an economy (country) that are ranked in the top 100 of the Times Higher Education Impact Rankings in 2023. &#10;The pie chart shows that 25 universities in the top 100 are located in the United Kingdom, 16 in Canada, 15 in Australia, 7 in New Zealand, 6 in the US.  Economies with 4 universities are Ireland and Thailand. Economies with 3 universities are Korea and Taiwan.  Economies with 2 universities are Italy, Japan, Mexico and South Africa. Economies with 1 university are China, Denmark, Hong Kong SAR, India, Indonesia, Malaysia, Portugal, Sweden and Türkiye.&#10;The chart also shows the ranking for Australian universities in the top 100, which are: Western Sydney University is ranked #1; University of Tasmania is ranked #5; RMIT University is ranked #7; University of Technology Sydney is ranked #14; UNSW Sydney is ranked #18; Monash University is ranked #21; University of Newcastle is ranked #28; University of the Sunshine Coast is ranked #29; Macquarie University is ranked #39; La Trobe University is ranked #57; University of Wollongong is ranked #61; Griffith University is ranked #72; Central Queensland University is ranked #74; Charles Sturt University is ranked #79; University of Canberra is ranke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52225" name="Picture 1" descr="The image has a pie chart and a table. The pie chart shows the number of universities in an economy (country) that are ranked in the top 100 of the Times Higher Education Impact Rankings in 2023. &#10;The pie chart shows that 25 universities in the top 100 are located in the United Kingdom, 16 in Canada, 15 in Australia, 7 in New Zealand, 6 in the US.  Economies with 4 universities are Ireland and Thailand. Economies with 3 universities are Korea and Taiwan.  Economies with 2 universities are Italy, Japan, Mexico and South Africa. Economies with 1 university are China, Denmark, Hong Kong SAR, India, Indonesia, Malaysia, Portugal, Sweden and Türkiye.&#10;The chart also shows the ranking for Australian universities in the top 100, which are: Western Sydney University is ranked #1; University of Tasmania is ranked #5; RMIT University is ranked #7; University of Technology Sydney is ranked #14; UNSW Sydney is ranked #18; Monash University is ranked #21; University of Newcastle is ranked #28; University of the Sunshine Coast is ranked #29; Macquarie University is ranked #39; La Trobe University is ranked #57; University of Wollongong is ranked #61; Griffith University is ranked #72; Central Queensland University is ranked #74; Charles Sturt University is ranked #79; University of Canberra is ranked #92."/>
                    <pic:cNvPicPr>
                      <a:picLocks noChangeAspect="1" noChangeArrowheads="1"/>
                    </pic:cNvPicPr>
                  </pic:nvPicPr>
                  <pic:blipFill rotWithShape="1">
                    <a:blip r:embed="rId44" cstate="hqprint">
                      <a:extLst>
                        <a:ext uri="{28A0092B-C50C-407E-A947-70E740481C1C}">
                          <a14:useLocalDpi xmlns:a14="http://schemas.microsoft.com/office/drawing/2010/main"/>
                        </a:ext>
                      </a:extLst>
                    </a:blip>
                    <a:srcRect/>
                    <a:stretch/>
                  </pic:blipFill>
                  <pic:spPr bwMode="auto">
                    <a:xfrm>
                      <a:off x="0" y="0"/>
                      <a:ext cx="6120000" cy="3040584"/>
                    </a:xfrm>
                    <a:prstGeom prst="rect">
                      <a:avLst/>
                    </a:prstGeom>
                    <a:noFill/>
                    <a:ln>
                      <a:noFill/>
                    </a:ln>
                    <a:extLst>
                      <a:ext uri="{53640926-AAD7-44D8-BBD7-CCE9431645EC}">
                        <a14:shadowObscured xmlns:a14="http://schemas.microsoft.com/office/drawing/2010/main"/>
                      </a:ext>
                    </a:extLst>
                  </pic:spPr>
                </pic:pic>
              </a:graphicData>
            </a:graphic>
          </wp:inline>
        </w:drawing>
      </w:r>
    </w:p>
    <w:p w14:paraId="25403120" w14:textId="3B0100DB" w:rsidR="00C23FEE" w:rsidRPr="002322B7" w:rsidRDefault="00C23FEE" w:rsidP="00C23FEE">
      <w:pPr>
        <w:pStyle w:val="Sourcesandnotes"/>
      </w:pPr>
      <w:r w:rsidRPr="002322B7">
        <w:rPr>
          <w:b/>
          <w:bCs/>
        </w:rPr>
        <w:t>Note: 1.</w:t>
      </w:r>
      <w:r w:rsidRPr="002322B7">
        <w:t xml:space="preserve"> Times Higher Education mapped how universities around the world are implementing the United Nations’ 17 Sustainable Development Goals (SDGs). The SDGs are a global call to action to tackle poverty, climate change and inequality. Universities were invited to submit data on how they were progressing on the SDGs. The 2023 Impact Rankings is the fifth edition. The overall ranking includes 1,705 universities from 115 countries/regions. </w:t>
      </w:r>
    </w:p>
    <w:p w14:paraId="2AA96A60" w14:textId="77777777" w:rsidR="00C23FEE" w:rsidRPr="002322B7" w:rsidRDefault="00C23FEE" w:rsidP="00C23FEE">
      <w:pPr>
        <w:pStyle w:val="Sourcesandnotes"/>
      </w:pPr>
      <w:r w:rsidRPr="002322B7">
        <w:rPr>
          <w:b/>
          <w:bCs/>
        </w:rPr>
        <w:t>Sources:</w:t>
      </w:r>
      <w:r w:rsidRPr="002322B7">
        <w:t xml:space="preserve"> The Times Higher Education, Impact Rankings 2023; Austrade.</w:t>
      </w:r>
    </w:p>
    <w:p w14:paraId="40629EDF" w14:textId="77777777" w:rsidR="00C23FEE" w:rsidRPr="002322B7" w:rsidRDefault="00C23FEE" w:rsidP="00C23FEE">
      <w:pPr>
        <w:pStyle w:val="Sourcesandnotes"/>
      </w:pPr>
    </w:p>
    <w:p w14:paraId="7CEF72C0" w14:textId="77777777" w:rsidR="00622134" w:rsidRPr="002322B7" w:rsidRDefault="00622134" w:rsidP="00622134"/>
    <w:p w14:paraId="5B1C7B23" w14:textId="12AC2754" w:rsidR="00FD46E2" w:rsidRPr="002322B7" w:rsidRDefault="00FD46E2" w:rsidP="00FD46E2">
      <w:pPr>
        <w:pStyle w:val="Heading-level1"/>
      </w:pPr>
      <w:bookmarkStart w:id="127" w:name="_Toc178256577"/>
      <w:r w:rsidRPr="002322B7">
        <w:lastRenderedPageBreak/>
        <w:t>Chapter 4 – Global ties &amp; o</w:t>
      </w:r>
      <w:r w:rsidR="005A35C7" w:rsidRPr="002322B7">
        <w:t>pen markets</w:t>
      </w:r>
      <w:bookmarkEnd w:id="127"/>
    </w:p>
    <w:p w14:paraId="6EACD723" w14:textId="722F05AB" w:rsidR="00FD46E2" w:rsidRPr="002322B7" w:rsidRDefault="005A35C7" w:rsidP="00FD46E2">
      <w:pPr>
        <w:pStyle w:val="Heading-level3"/>
      </w:pPr>
      <w:bookmarkStart w:id="128" w:name="_Toc170769069"/>
      <w:bookmarkStart w:id="129" w:name="_Toc178256578"/>
      <w:r w:rsidRPr="002322B7">
        <w:t>Outward looking with a</w:t>
      </w:r>
      <w:r w:rsidR="00FD46E2" w:rsidRPr="002322B7">
        <w:t xml:space="preserve"> passion for free trade</w:t>
      </w:r>
      <w:bookmarkEnd w:id="128"/>
      <w:bookmarkEnd w:id="129"/>
      <w:r w:rsidR="00FD46E2" w:rsidRPr="002322B7">
        <w:t xml:space="preserve"> </w:t>
      </w:r>
    </w:p>
    <w:p w14:paraId="77C6495B" w14:textId="4ECBDD19" w:rsidR="00FD46E2" w:rsidRPr="002322B7" w:rsidRDefault="00FD46E2" w:rsidP="003F1867">
      <w:pPr>
        <w:pStyle w:val="Body-copy"/>
        <w:rPr>
          <w:lang w:val="en-AU"/>
        </w:rPr>
      </w:pPr>
      <w:r w:rsidRPr="002322B7">
        <w:rPr>
          <w:lang w:val="en-AU"/>
        </w:rPr>
        <w:t>Strong global ties make Australia a prosperous trading nation</w:t>
      </w:r>
      <w:r w:rsidR="005B6C1E" w:rsidRPr="002322B7">
        <w:rPr>
          <w:lang w:val="en-AU"/>
        </w:rPr>
        <w:t xml:space="preserve">. Today, </w:t>
      </w:r>
      <w:r w:rsidRPr="002322B7">
        <w:rPr>
          <w:lang w:val="en-AU"/>
        </w:rPr>
        <w:t xml:space="preserve">our </w:t>
      </w:r>
      <w:r w:rsidR="00A758CF">
        <w:rPr>
          <w:lang w:val="en-AU"/>
        </w:rPr>
        <w:t>international</w:t>
      </w:r>
      <w:r w:rsidRPr="002322B7">
        <w:rPr>
          <w:lang w:val="en-AU"/>
        </w:rPr>
        <w:t xml:space="preserve"> trade </w:t>
      </w:r>
      <w:r w:rsidR="005B6C1E" w:rsidRPr="002322B7">
        <w:rPr>
          <w:lang w:val="en-AU"/>
        </w:rPr>
        <w:t>is worth the</w:t>
      </w:r>
      <w:r w:rsidR="00272C96" w:rsidRPr="002322B7">
        <w:rPr>
          <w:lang w:val="en-AU"/>
        </w:rPr>
        <w:t xml:space="preserve"> </w:t>
      </w:r>
      <w:r w:rsidRPr="002322B7">
        <w:rPr>
          <w:lang w:val="en-AU"/>
        </w:rPr>
        <w:t xml:space="preserve">equivalent </w:t>
      </w:r>
      <w:r w:rsidR="005B6C1E" w:rsidRPr="002322B7">
        <w:rPr>
          <w:lang w:val="en-AU"/>
        </w:rPr>
        <w:t>of</w:t>
      </w:r>
      <w:r w:rsidRPr="002322B7">
        <w:rPr>
          <w:lang w:val="en-AU"/>
        </w:rPr>
        <w:t xml:space="preserve"> around 48% of </w:t>
      </w:r>
      <w:r w:rsidR="005B6C1E" w:rsidRPr="002322B7">
        <w:rPr>
          <w:lang w:val="en-AU"/>
        </w:rPr>
        <w:t xml:space="preserve">Australia’s </w:t>
      </w:r>
      <w:r w:rsidRPr="002322B7">
        <w:rPr>
          <w:lang w:val="en-AU"/>
        </w:rPr>
        <w:t xml:space="preserve">GDP. </w:t>
      </w:r>
      <w:r w:rsidR="0098464E" w:rsidRPr="0098464E">
        <w:rPr>
          <w:lang w:val="en-AU"/>
        </w:rPr>
        <w:t>Our robust economic outlook partly reflects the prosperity of Asia</w:t>
      </w:r>
      <w:r w:rsidR="00D14107">
        <w:rPr>
          <w:lang w:val="en-AU"/>
        </w:rPr>
        <w:t>,</w:t>
      </w:r>
      <w:r w:rsidR="003721F5">
        <w:rPr>
          <w:lang w:val="en-AU"/>
        </w:rPr>
        <w:t xml:space="preserve"> with</w:t>
      </w:r>
      <w:r w:rsidR="0098464E" w:rsidRPr="0098464E">
        <w:rPr>
          <w:lang w:val="en-AU"/>
        </w:rPr>
        <w:t xml:space="preserve"> Australia enjoying the trade benefits of being close to many of the fastest growing economies in the world.</w:t>
      </w:r>
    </w:p>
    <w:p w14:paraId="79B261CA" w14:textId="3C8E3C1A" w:rsidR="00C11F17" w:rsidRPr="002322B7" w:rsidRDefault="00400649" w:rsidP="003F1867">
      <w:pPr>
        <w:pStyle w:val="Body-copy"/>
        <w:rPr>
          <w:lang w:val="en-AU"/>
        </w:rPr>
      </w:pPr>
      <w:r w:rsidRPr="002322B7">
        <w:rPr>
          <w:lang w:val="en-AU"/>
        </w:rPr>
        <w:t>Our s</w:t>
      </w:r>
      <w:r w:rsidR="00C11F17" w:rsidRPr="002322B7">
        <w:rPr>
          <w:lang w:val="en-AU"/>
        </w:rPr>
        <w:t xml:space="preserve">trong trading links </w:t>
      </w:r>
      <w:r w:rsidRPr="002322B7">
        <w:rPr>
          <w:lang w:val="en-AU"/>
        </w:rPr>
        <w:t xml:space="preserve">are a cause for confidence </w:t>
      </w:r>
      <w:r w:rsidR="00F265DB" w:rsidRPr="002322B7">
        <w:rPr>
          <w:lang w:val="en-AU"/>
        </w:rPr>
        <w:t>among</w:t>
      </w:r>
      <w:r w:rsidR="00C11F17" w:rsidRPr="002322B7">
        <w:rPr>
          <w:lang w:val="en-AU"/>
        </w:rPr>
        <w:t xml:space="preserve"> overseas investors</w:t>
      </w:r>
      <w:r w:rsidR="00D37878" w:rsidRPr="002322B7">
        <w:rPr>
          <w:lang w:val="en-AU"/>
        </w:rPr>
        <w:t xml:space="preserve">. </w:t>
      </w:r>
      <w:r w:rsidR="00C11F17" w:rsidRPr="002322B7">
        <w:rPr>
          <w:lang w:val="en-AU"/>
        </w:rPr>
        <w:t>Australia’s 18 free trade agreements (FTAs) cover trade with some of the world’s largest economies, including the US, China, Japan and most countries in the Asia-Pacific region. In December 2022, Australia became the first developed economy to sign an FTA with India</w:t>
      </w:r>
      <w:r w:rsidR="000E5C1A" w:rsidRPr="002322B7">
        <w:rPr>
          <w:lang w:val="en-AU"/>
        </w:rPr>
        <w:t>. O</w:t>
      </w:r>
      <w:r w:rsidR="00C11F17" w:rsidRPr="002322B7">
        <w:rPr>
          <w:lang w:val="en-AU"/>
        </w:rPr>
        <w:t xml:space="preserve">ur FTA with the UK came </w:t>
      </w:r>
      <w:r w:rsidR="00E55F54">
        <w:rPr>
          <w:lang w:val="en-AU"/>
        </w:rPr>
        <w:t>into force</w:t>
      </w:r>
      <w:r w:rsidR="00C11F17" w:rsidRPr="002322B7">
        <w:rPr>
          <w:lang w:val="en-AU"/>
        </w:rPr>
        <w:t xml:space="preserve"> in mid-2023</w:t>
      </w:r>
      <w:r w:rsidR="003428A3">
        <w:rPr>
          <w:lang w:val="en-AU"/>
        </w:rPr>
        <w:t>, which</w:t>
      </w:r>
      <w:r w:rsidR="00C11F17" w:rsidRPr="002322B7">
        <w:rPr>
          <w:lang w:val="en-AU"/>
        </w:rPr>
        <w:t xml:space="preserve"> </w:t>
      </w:r>
      <w:r w:rsidR="00517FD7">
        <w:rPr>
          <w:lang w:val="en-AU"/>
        </w:rPr>
        <w:t>will</w:t>
      </w:r>
      <w:r w:rsidR="00C11F17" w:rsidRPr="002322B7">
        <w:rPr>
          <w:lang w:val="en-AU"/>
        </w:rPr>
        <w:t xml:space="preserve"> transform trade in</w:t>
      </w:r>
      <w:r w:rsidR="004E7AE7">
        <w:rPr>
          <w:lang w:val="en-AU"/>
        </w:rPr>
        <w:t xml:space="preserve"> agriculture and </w:t>
      </w:r>
      <w:r w:rsidR="00C11F17" w:rsidRPr="002322B7">
        <w:rPr>
          <w:lang w:val="en-AU"/>
        </w:rPr>
        <w:t xml:space="preserve">services. </w:t>
      </w:r>
    </w:p>
    <w:p w14:paraId="0CF91AC7" w14:textId="7A408122" w:rsidR="00FD46E2" w:rsidRPr="002322B7" w:rsidRDefault="00FD46E2" w:rsidP="003F1867">
      <w:pPr>
        <w:pStyle w:val="Body-copy"/>
        <w:rPr>
          <w:lang w:val="en-AU"/>
        </w:rPr>
      </w:pPr>
      <w:r w:rsidRPr="002322B7">
        <w:rPr>
          <w:lang w:val="en-AU"/>
        </w:rPr>
        <w:t xml:space="preserve">Australia’s strong trade reflects our status as an open market economy. The </w:t>
      </w:r>
      <w:r w:rsidR="00555F57" w:rsidRPr="002322B7">
        <w:rPr>
          <w:lang w:val="en-AU"/>
        </w:rPr>
        <w:t>OECD</w:t>
      </w:r>
      <w:r w:rsidRPr="002322B7">
        <w:rPr>
          <w:lang w:val="en-AU"/>
        </w:rPr>
        <w:t xml:space="preserve"> reports that Australia’s openness </w:t>
      </w:r>
      <w:r w:rsidR="000E5C1A" w:rsidRPr="002322B7">
        <w:rPr>
          <w:lang w:val="en-AU"/>
        </w:rPr>
        <w:t>to trade in</w:t>
      </w:r>
      <w:r w:rsidRPr="002322B7">
        <w:rPr>
          <w:lang w:val="en-AU"/>
        </w:rPr>
        <w:t xml:space="preserve"> international services puts us </w:t>
      </w:r>
      <w:r w:rsidR="00472656" w:rsidRPr="002322B7">
        <w:rPr>
          <w:lang w:val="en-AU"/>
        </w:rPr>
        <w:t>among</w:t>
      </w:r>
      <w:r w:rsidRPr="002322B7">
        <w:rPr>
          <w:lang w:val="en-AU"/>
        </w:rPr>
        <w:t xml:space="preserve"> the top 10 </w:t>
      </w:r>
      <w:r w:rsidR="00472656" w:rsidRPr="002322B7">
        <w:rPr>
          <w:lang w:val="en-AU"/>
        </w:rPr>
        <w:t xml:space="preserve">of its </w:t>
      </w:r>
      <w:r w:rsidRPr="002322B7">
        <w:rPr>
          <w:lang w:val="en-AU"/>
        </w:rPr>
        <w:t xml:space="preserve">38 member countries. </w:t>
      </w:r>
    </w:p>
    <w:p w14:paraId="4B84FB5D" w14:textId="0103FB01" w:rsidR="00FD46E2" w:rsidRPr="002322B7" w:rsidRDefault="00CC3376" w:rsidP="003F1867">
      <w:pPr>
        <w:pStyle w:val="Body-copy"/>
        <w:rPr>
          <w:lang w:val="en-AU"/>
        </w:rPr>
      </w:pPr>
      <w:r w:rsidRPr="002322B7">
        <w:rPr>
          <w:lang w:val="en-AU"/>
        </w:rPr>
        <w:t>The</w:t>
      </w:r>
      <w:r w:rsidR="00FD46E2" w:rsidRPr="002322B7">
        <w:rPr>
          <w:lang w:val="en-AU"/>
        </w:rPr>
        <w:t xml:space="preserve"> level of foreign investment in Australia has grown by an extraordinary 7.7% per year</w:t>
      </w:r>
      <w:r w:rsidRPr="002322B7">
        <w:rPr>
          <w:lang w:val="en-AU"/>
        </w:rPr>
        <w:t xml:space="preserve"> since 2003</w:t>
      </w:r>
      <w:r w:rsidR="00FD46E2" w:rsidRPr="002322B7">
        <w:rPr>
          <w:lang w:val="en-AU"/>
        </w:rPr>
        <w:t>, reaching A$4.7 trillion in 2023. Investors come from around the world</w:t>
      </w:r>
      <w:r w:rsidR="0035711E">
        <w:rPr>
          <w:lang w:val="en-AU"/>
        </w:rPr>
        <w:t xml:space="preserve"> with </w:t>
      </w:r>
      <w:r w:rsidR="00FD46E2" w:rsidRPr="002322B7">
        <w:rPr>
          <w:lang w:val="en-AU"/>
        </w:rPr>
        <w:t xml:space="preserve">top contributors </w:t>
      </w:r>
      <w:r w:rsidR="00C56686">
        <w:rPr>
          <w:lang w:val="en-AU"/>
        </w:rPr>
        <w:t xml:space="preserve">that include </w:t>
      </w:r>
      <w:r w:rsidR="00FD46E2" w:rsidRPr="002322B7">
        <w:rPr>
          <w:lang w:val="en-AU"/>
        </w:rPr>
        <w:t>the US, the UK and Japan. But our dynamic economy is also attracting investors from China, Canada and Southeast Asia</w:t>
      </w:r>
      <w:r w:rsidR="007A5F83" w:rsidRPr="002322B7">
        <w:rPr>
          <w:lang w:val="en-AU"/>
        </w:rPr>
        <w:t xml:space="preserve">. Collectively, the </w:t>
      </w:r>
      <w:r w:rsidR="00FD46E2" w:rsidRPr="002322B7">
        <w:rPr>
          <w:lang w:val="en-AU"/>
        </w:rPr>
        <w:t xml:space="preserve">ASEAN </w:t>
      </w:r>
      <w:r w:rsidR="007A5F83" w:rsidRPr="002322B7">
        <w:rPr>
          <w:lang w:val="en-AU"/>
        </w:rPr>
        <w:t>bloc</w:t>
      </w:r>
      <w:r w:rsidR="00FD46E2" w:rsidRPr="002322B7">
        <w:rPr>
          <w:lang w:val="en-AU"/>
        </w:rPr>
        <w:t xml:space="preserve"> </w:t>
      </w:r>
      <w:r w:rsidR="007A5F83" w:rsidRPr="002322B7">
        <w:rPr>
          <w:lang w:val="en-AU"/>
        </w:rPr>
        <w:t xml:space="preserve">is now our </w:t>
      </w:r>
      <w:r w:rsidR="00FD46E2" w:rsidRPr="002322B7">
        <w:rPr>
          <w:lang w:val="en-AU"/>
        </w:rPr>
        <w:t>5</w:t>
      </w:r>
      <w:r w:rsidR="00FD46E2" w:rsidRPr="002322B7">
        <w:rPr>
          <w:vertAlign w:val="superscript"/>
          <w:lang w:val="en-AU"/>
        </w:rPr>
        <w:t>th</w:t>
      </w:r>
      <w:r w:rsidR="00A751D8" w:rsidRPr="002322B7">
        <w:rPr>
          <w:lang w:val="en-AU"/>
        </w:rPr>
        <w:t>-</w:t>
      </w:r>
      <w:r w:rsidR="00FD46E2" w:rsidRPr="002322B7">
        <w:rPr>
          <w:lang w:val="en-AU"/>
        </w:rPr>
        <w:t xml:space="preserve">largest investor. </w:t>
      </w:r>
    </w:p>
    <w:p w14:paraId="47AC0C08" w14:textId="67184D99" w:rsidR="00FD46E2" w:rsidRPr="002322B7" w:rsidRDefault="00FD46E2" w:rsidP="003F1867">
      <w:pPr>
        <w:pStyle w:val="Body-copy"/>
        <w:rPr>
          <w:lang w:val="en-AU"/>
        </w:rPr>
      </w:pPr>
      <w:r w:rsidRPr="002322B7">
        <w:rPr>
          <w:lang w:val="en-AU"/>
        </w:rPr>
        <w:t>Our strengths in international trade are broad based</w:t>
      </w:r>
      <w:r w:rsidR="00D9218B">
        <w:rPr>
          <w:lang w:val="en-AU"/>
        </w:rPr>
        <w:t>, being</w:t>
      </w:r>
      <w:r w:rsidRPr="002322B7">
        <w:rPr>
          <w:lang w:val="en-AU"/>
        </w:rPr>
        <w:t xml:space="preserve"> a major exporter of resources, energy and agrifood. The value of Australia’s exports of beef, wheat, sugar, barley and other food is likely to reach A$72 billion in 2023-24. Quality is our competitive advantage</w:t>
      </w:r>
      <w:r w:rsidR="00F711D6">
        <w:rPr>
          <w:lang w:val="en-AU"/>
        </w:rPr>
        <w:t xml:space="preserve"> with</w:t>
      </w:r>
      <w:r w:rsidR="00B513A2" w:rsidRPr="002322B7">
        <w:rPr>
          <w:lang w:val="en-AU"/>
        </w:rPr>
        <w:t xml:space="preserve"> </w:t>
      </w:r>
      <w:r w:rsidRPr="002322B7">
        <w:rPr>
          <w:lang w:val="en-AU"/>
        </w:rPr>
        <w:t xml:space="preserve">Australia’s efficient and tech-friendly farming </w:t>
      </w:r>
      <w:r w:rsidR="00B513A2" w:rsidRPr="002322B7">
        <w:rPr>
          <w:lang w:val="en-AU"/>
        </w:rPr>
        <w:t>earn</w:t>
      </w:r>
      <w:r w:rsidR="00FE0F20">
        <w:rPr>
          <w:lang w:val="en-AU"/>
        </w:rPr>
        <w:t>ing</w:t>
      </w:r>
      <w:r w:rsidR="00B513A2" w:rsidRPr="002322B7">
        <w:rPr>
          <w:lang w:val="en-AU"/>
        </w:rPr>
        <w:t xml:space="preserve"> us</w:t>
      </w:r>
      <w:r w:rsidRPr="002322B7">
        <w:rPr>
          <w:lang w:val="en-AU"/>
        </w:rPr>
        <w:t xml:space="preserve"> a global reputation for high standards. Customers are willing to pay a premium for our produce – including a growing middle</w:t>
      </w:r>
      <w:r w:rsidR="00AB1846" w:rsidRPr="002322B7">
        <w:rPr>
          <w:lang w:val="en-AU"/>
        </w:rPr>
        <w:t>-</w:t>
      </w:r>
      <w:r w:rsidRPr="002322B7">
        <w:rPr>
          <w:lang w:val="en-AU"/>
        </w:rPr>
        <w:t xml:space="preserve">class population in Southeast Asia.  </w:t>
      </w:r>
    </w:p>
    <w:p w14:paraId="7EAE7A64" w14:textId="2CC073BE" w:rsidR="000579C8" w:rsidRPr="002322B7" w:rsidRDefault="000579C8" w:rsidP="003F1867">
      <w:pPr>
        <w:pStyle w:val="Body-copy"/>
        <w:rPr>
          <w:lang w:val="en-AU"/>
        </w:rPr>
      </w:pPr>
      <w:r w:rsidRPr="4FEBF9DC">
        <w:rPr>
          <w:lang w:val="en-AU"/>
        </w:rPr>
        <w:t xml:space="preserve">Australia </w:t>
      </w:r>
      <w:r w:rsidR="00A8390C" w:rsidRPr="4FEBF9DC">
        <w:rPr>
          <w:lang w:val="en-AU"/>
        </w:rPr>
        <w:t>is now</w:t>
      </w:r>
      <w:r w:rsidRPr="4FEBF9DC">
        <w:rPr>
          <w:lang w:val="en-AU"/>
        </w:rPr>
        <w:t xml:space="preserve"> the 2</w:t>
      </w:r>
      <w:r w:rsidRPr="4FEBF9DC">
        <w:rPr>
          <w:vertAlign w:val="superscript"/>
          <w:lang w:val="en-AU"/>
        </w:rPr>
        <w:t>nd</w:t>
      </w:r>
      <w:r w:rsidRPr="4FEBF9DC">
        <w:rPr>
          <w:lang w:val="en-AU"/>
        </w:rPr>
        <w:t xml:space="preserve">-largest exporter </w:t>
      </w:r>
      <w:r w:rsidR="00A8390C" w:rsidRPr="4FEBF9DC">
        <w:rPr>
          <w:lang w:val="en-AU"/>
        </w:rPr>
        <w:t>of</w:t>
      </w:r>
      <w:r w:rsidRPr="4FEBF9DC">
        <w:rPr>
          <w:lang w:val="en-AU"/>
        </w:rPr>
        <w:t xml:space="preserve"> energy and resources </w:t>
      </w:r>
      <w:r w:rsidR="00492B8B" w:rsidRPr="4FEBF9DC">
        <w:rPr>
          <w:lang w:val="en-AU"/>
        </w:rPr>
        <w:t>globally</w:t>
      </w:r>
      <w:r w:rsidRPr="4FEBF9DC">
        <w:rPr>
          <w:lang w:val="en-AU"/>
        </w:rPr>
        <w:t>. Our nation leads the world in iron ore exports</w:t>
      </w:r>
      <w:r w:rsidR="00963EC1" w:rsidRPr="4FEBF9DC">
        <w:rPr>
          <w:lang w:val="en-AU"/>
        </w:rPr>
        <w:t>, which are now w</w:t>
      </w:r>
      <w:r w:rsidR="00933318" w:rsidRPr="4FEBF9DC">
        <w:rPr>
          <w:lang w:val="en-AU"/>
        </w:rPr>
        <w:t>orth</w:t>
      </w:r>
      <w:r w:rsidRPr="4FEBF9DC">
        <w:rPr>
          <w:lang w:val="en-AU"/>
        </w:rPr>
        <w:t xml:space="preserve"> US$90 billion</w:t>
      </w:r>
      <w:r w:rsidR="004C261C" w:rsidRPr="4FEBF9DC">
        <w:rPr>
          <w:lang w:val="en-AU"/>
        </w:rPr>
        <w:t xml:space="preserve"> and c</w:t>
      </w:r>
      <w:r w:rsidR="00933318" w:rsidRPr="4FEBF9DC">
        <w:rPr>
          <w:lang w:val="en-AU"/>
        </w:rPr>
        <w:t>ontribut</w:t>
      </w:r>
      <w:r w:rsidR="004C261C" w:rsidRPr="4FEBF9DC">
        <w:rPr>
          <w:lang w:val="en-AU"/>
        </w:rPr>
        <w:t>e</w:t>
      </w:r>
      <w:r w:rsidR="00933318" w:rsidRPr="4FEBF9DC">
        <w:rPr>
          <w:lang w:val="en-AU"/>
        </w:rPr>
        <w:t xml:space="preserve"> a </w:t>
      </w:r>
      <w:r w:rsidRPr="4FEBF9DC">
        <w:rPr>
          <w:lang w:val="en-AU"/>
        </w:rPr>
        <w:t xml:space="preserve">remarkable 40% of </w:t>
      </w:r>
      <w:r w:rsidR="00933318" w:rsidRPr="4FEBF9DC">
        <w:rPr>
          <w:lang w:val="en-AU"/>
        </w:rPr>
        <w:t xml:space="preserve">Australia’s </w:t>
      </w:r>
      <w:r w:rsidR="003E60A9">
        <w:rPr>
          <w:lang w:val="en-AU"/>
        </w:rPr>
        <w:t>energy and resources</w:t>
      </w:r>
      <w:r w:rsidR="00933318" w:rsidRPr="4FEBF9DC">
        <w:rPr>
          <w:lang w:val="en-AU"/>
        </w:rPr>
        <w:t xml:space="preserve"> </w:t>
      </w:r>
      <w:r w:rsidRPr="4FEBF9DC">
        <w:rPr>
          <w:lang w:val="en-AU"/>
        </w:rPr>
        <w:t>exports. With the largest identified reserves of iron ore</w:t>
      </w:r>
      <w:r w:rsidR="00F67134" w:rsidRPr="4FEBF9DC">
        <w:rPr>
          <w:lang w:val="en-AU"/>
        </w:rPr>
        <w:t xml:space="preserve"> – including </w:t>
      </w:r>
      <w:r w:rsidRPr="4FEBF9DC">
        <w:rPr>
          <w:lang w:val="en-AU"/>
        </w:rPr>
        <w:t>magnetite and high-grade hematite</w:t>
      </w:r>
      <w:r w:rsidR="00F67134" w:rsidRPr="4FEBF9DC">
        <w:rPr>
          <w:lang w:val="en-AU"/>
        </w:rPr>
        <w:t xml:space="preserve"> – Australia </w:t>
      </w:r>
      <w:r w:rsidRPr="4FEBF9DC">
        <w:rPr>
          <w:lang w:val="en-AU"/>
        </w:rPr>
        <w:t>is perfectly positioned to drive the production of green steel.</w:t>
      </w:r>
    </w:p>
    <w:p w14:paraId="769C1B1A" w14:textId="77777777" w:rsidR="000579C8" w:rsidRPr="002322B7" w:rsidRDefault="000579C8" w:rsidP="003F1867">
      <w:pPr>
        <w:pStyle w:val="Body-copy"/>
        <w:rPr>
          <w:lang w:val="en-AU"/>
        </w:rPr>
      </w:pPr>
    </w:p>
    <w:p w14:paraId="4306042E" w14:textId="77777777" w:rsidR="00FD46E2" w:rsidRPr="002322B7" w:rsidRDefault="00FD46E2" w:rsidP="003F1867">
      <w:pPr>
        <w:pStyle w:val="Body-copy"/>
        <w:rPr>
          <w:lang w:val="en-AU"/>
        </w:rPr>
      </w:pPr>
    </w:p>
    <w:p w14:paraId="10524D28" w14:textId="77777777" w:rsidR="00FD46E2" w:rsidRPr="002322B7" w:rsidRDefault="00FD46E2" w:rsidP="00FD46E2">
      <w:pPr>
        <w:pStyle w:val="Heading-level2"/>
      </w:pPr>
      <w:bookmarkStart w:id="130" w:name="_Toc165471164"/>
      <w:bookmarkStart w:id="131" w:name="_Toc178256579"/>
      <w:r w:rsidRPr="002322B7">
        <w:lastRenderedPageBreak/>
        <w:t>Proximity to Asia’s powerhouse economies</w:t>
      </w:r>
      <w:bookmarkEnd w:id="130"/>
      <w:bookmarkEnd w:id="131"/>
    </w:p>
    <w:p w14:paraId="4066C23C" w14:textId="5E9E69D4" w:rsidR="00FD46E2" w:rsidRPr="002322B7" w:rsidRDefault="00FD46E2" w:rsidP="003F1867">
      <w:pPr>
        <w:pStyle w:val="Body-copy"/>
        <w:rPr>
          <w:lang w:val="en-AU"/>
        </w:rPr>
      </w:pPr>
      <w:r w:rsidRPr="002322B7">
        <w:rPr>
          <w:lang w:val="en-AU"/>
        </w:rPr>
        <w:t>Australia benefits from Asia’s prosperity. In 1981, Asia accounted for just 21% of global GDP</w:t>
      </w:r>
      <w:r w:rsidR="0085295A">
        <w:rPr>
          <w:lang w:val="en-AU"/>
        </w:rPr>
        <w:t xml:space="preserve"> with this</w:t>
      </w:r>
      <w:r w:rsidR="00A51F84" w:rsidRPr="002322B7">
        <w:rPr>
          <w:lang w:val="en-AU"/>
        </w:rPr>
        <w:t xml:space="preserve"> </w:t>
      </w:r>
      <w:r w:rsidRPr="002322B7">
        <w:rPr>
          <w:lang w:val="en-AU"/>
        </w:rPr>
        <w:t>share expected to reach 45% by 2026. Most of Australia’s principal export partners are</w:t>
      </w:r>
      <w:r w:rsidR="0006547D">
        <w:rPr>
          <w:lang w:val="en-AU"/>
        </w:rPr>
        <w:t xml:space="preserve"> </w:t>
      </w:r>
      <w:r w:rsidRPr="002322B7">
        <w:rPr>
          <w:lang w:val="en-AU"/>
        </w:rPr>
        <w:t>located in Northeast and Southeast Asia, and a network of 18 free trade agreements gives Australian companies preferential access to these fast-growing markets. Asia’s middle class is growing strongly with an anticipated 3 billion consumers by 2030</w:t>
      </w:r>
      <w:r w:rsidR="0054597C" w:rsidRPr="002322B7">
        <w:rPr>
          <w:lang w:val="en-AU"/>
        </w:rPr>
        <w:t xml:space="preserve">. This </w:t>
      </w:r>
      <w:r w:rsidR="005E7472" w:rsidRPr="002322B7">
        <w:rPr>
          <w:lang w:val="en-AU"/>
        </w:rPr>
        <w:t>will</w:t>
      </w:r>
      <w:r w:rsidRPr="002322B7">
        <w:rPr>
          <w:lang w:val="en-AU"/>
        </w:rPr>
        <w:t xml:space="preserve"> trigger increased </w:t>
      </w:r>
      <w:r w:rsidR="0054597C" w:rsidRPr="002322B7">
        <w:rPr>
          <w:lang w:val="en-AU"/>
        </w:rPr>
        <w:t xml:space="preserve">demand for </w:t>
      </w:r>
      <w:r w:rsidRPr="002322B7">
        <w:rPr>
          <w:lang w:val="en-AU"/>
        </w:rPr>
        <w:t>Australia</w:t>
      </w:r>
      <w:r w:rsidR="0054597C" w:rsidRPr="002322B7">
        <w:rPr>
          <w:lang w:val="en-AU"/>
        </w:rPr>
        <w:t>’s top</w:t>
      </w:r>
      <w:r w:rsidRPr="002322B7">
        <w:rPr>
          <w:lang w:val="en-AU"/>
        </w:rPr>
        <w:t xml:space="preserve"> exports</w:t>
      </w:r>
      <w:r w:rsidR="0054597C" w:rsidRPr="002322B7">
        <w:rPr>
          <w:lang w:val="en-AU"/>
        </w:rPr>
        <w:t>:</w:t>
      </w:r>
      <w:r w:rsidRPr="002322B7">
        <w:rPr>
          <w:lang w:val="en-AU"/>
        </w:rPr>
        <w:t xml:space="preserve"> resources, energy, agriculture, education, tourism and healthcare services.⁴</w:t>
      </w:r>
    </w:p>
    <w:p w14:paraId="4136554F" w14:textId="284C89ED" w:rsidR="00FD46E2" w:rsidRDefault="00FD46E2" w:rsidP="00FD46E2">
      <w:pPr>
        <w:pStyle w:val="Caption"/>
      </w:pPr>
      <w:bookmarkStart w:id="132" w:name="_Toc165471215"/>
      <w:bookmarkStart w:id="133" w:name="_Toc178256527"/>
      <w:r w:rsidRPr="002322B7">
        <w:t xml:space="preserve">Figure </w:t>
      </w:r>
      <w:r w:rsidR="00CF16FA">
        <w:fldChar w:fldCharType="begin"/>
      </w:r>
      <w:r w:rsidR="00CF16FA">
        <w:instrText xml:space="preserve"> SEQ Figure \* ARABIC </w:instrText>
      </w:r>
      <w:r w:rsidR="00CF16FA">
        <w:fldChar w:fldCharType="separate"/>
      </w:r>
      <w:r w:rsidR="002459CF">
        <w:rPr>
          <w:noProof/>
        </w:rPr>
        <w:t>28</w:t>
      </w:r>
      <w:r w:rsidR="00CF16FA">
        <w:rPr>
          <w:noProof/>
        </w:rPr>
        <w:fldChar w:fldCharType="end"/>
      </w:r>
      <w:r w:rsidRPr="002322B7">
        <w:t xml:space="preserve"> – Asia</w:t>
      </w:r>
      <w:r w:rsidR="00F82B49" w:rsidRPr="002322B7">
        <w:t>’s</w:t>
      </w:r>
      <w:r w:rsidRPr="002322B7">
        <w:t xml:space="preserve"> economic growth</w:t>
      </w:r>
      <w:bookmarkEnd w:id="132"/>
      <w:bookmarkEnd w:id="133"/>
    </w:p>
    <w:p w14:paraId="2B8BD7E2" w14:textId="68E8617E" w:rsidR="00431179" w:rsidRDefault="00431179" w:rsidP="00431179">
      <w:r>
        <w:rPr>
          <w:noProof/>
        </w:rPr>
        <w:drawing>
          <wp:inline distT="0" distB="0" distL="0" distR="0" wp14:anchorId="35F11EFA" wp14:editId="1BE8C76C">
            <wp:extent cx="6336030" cy="4316730"/>
            <wp:effectExtent l="0" t="0" r="7620" b="7620"/>
            <wp:docPr id="1082130506" name="Picture 38" descr="The figure has a graph and a table. &#10;The table shows the country or region and its GDP compound annual growth rate in percentage terms from 1981 to 2026. The information is as follows: China and India 9.9%; Japan, Australia and New Zealand 4.3%; ASEAN 7.4%; Newly Industrialised Economies 7.7%; Other developing Asia 7.7%; Avg. of Asia incl. Australia &amp; NZ 7.7%; and World average 6.0%. &#10;The right-hand side axis plots the Asia plus Australia and New Zealand as a percentage of world’s GDP (right-hand axis) by year. The information is: 21% in 1981; 23% in 1986; 26% in 1991; 28% in 1996; 29% in 2001; 31% in 2006; 36% in 2011; 38% in 2016; 41% in 2021; and 43% in 2026 (forecast).&#10;In the left-hand side axis plots, the GDP based on purchasing power parity (PPP) by region in a stacked bar and year in the horizontal axis. The information for the left-hand side axis is:  China and India $0.82 in 1981 trillion; $1.44 in 1986 trillion; $2.34 in 1991 trillion; $4.15 in 1996 trillion; $6.42 in 2001 trillion; $11.38 in 2006 trillion; $19.35 in 2011 trillion; $26.44 in 2016 trillion; $37.81 in 2021 trillion; $56.67 in 2026F trillion;   Japan, Australia and New Zealand $1.43 in 1981 trillion; $2.06 in 1986 trillion; $3.06 in 1991 trillion; $3.70 in 1996 trillion; $4.24 in 2001 trillion; $5.22 in 2006 trillion; $5.74 in 2011 trillion; $6.52 in 2016 trillion; $7.41 in 2021 trillion; $9.34 in 2026F trillion;   ASEAN-9² $0.50 in 1981 trillion; $0.75 in 1986 trillion; $1.29 in 1991 trillion; $2.05 in 1996 trillion; $2.44 in 2001 trillion; $3.65 in 2006 trillion; $5.11 in 2011 trillion; $6.61 in 2016 trillion; $8.51 in 2021 trillion; $12.74 in 2026F trillion;   Newly Industrialised Economies³ $0.24 in 1981 trillion; $0.43 in 1986 trillion; $0.79 in 1991 trillion; $1.26 in 1996 trillion; $1.70 in 2001 trillion; $2.51 in 2006 trillion; $3.35 in 2011 trillion; $4.06 in 2016 trillion; $5.14 in 2021 trillion; $6.76 in 2026F trillion;   Other developing Asia $0.10 in 1981 trillion; $0.14 in 1986 trillion; $0.20 in 1991 trillion; $0.29 in 1996 trillion; $0.39 in 2001 trillion; $0.57 in 2006 trillion; $0.83 in 2011 trillion; $1.23 in 2016 trillion; $1.75 in 2021 trillion; and $2.66 in 2026F tr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30506" name="Picture 38" descr="The figure has a graph and a table. &#10;The table shows the country or region and its GDP compound annual growth rate in percentage terms from 1981 to 2026. The information is as follows: China and India 9.9%; Japan, Australia and New Zealand 4.3%; ASEAN 7.4%; Newly Industrialised Economies 7.7%; Other developing Asia 7.7%; Avg. of Asia incl. Australia &amp; NZ 7.7%; and World average 6.0%. &#10;The right-hand side axis plots the Asia plus Australia and New Zealand as a percentage of world’s GDP (right-hand axis) by year. The information is: 21% in 1981; 23% in 1986; 26% in 1991; 28% in 1996; 29% in 2001; 31% in 2006; 36% in 2011; 38% in 2016; 41% in 2021; and 43% in 2026 (forecast).&#10;In the left-hand side axis plots, the GDP based on purchasing power parity (PPP) by region in a stacked bar and year in the horizontal axis. The information for the left-hand side axis is:  China and India $0.82 in 1981 trillion; $1.44 in 1986 trillion; $2.34 in 1991 trillion; $4.15 in 1996 trillion; $6.42 in 2001 trillion; $11.38 in 2006 trillion; $19.35 in 2011 trillion; $26.44 in 2016 trillion; $37.81 in 2021 trillion; $56.67 in 2026F trillion;   Japan, Australia and New Zealand $1.43 in 1981 trillion; $2.06 in 1986 trillion; $3.06 in 1991 trillion; $3.70 in 1996 trillion; $4.24 in 2001 trillion; $5.22 in 2006 trillion; $5.74 in 2011 trillion; $6.52 in 2016 trillion; $7.41 in 2021 trillion; $9.34 in 2026F trillion;   ASEAN-9² $0.50 in 1981 trillion; $0.75 in 1986 trillion; $1.29 in 1991 trillion; $2.05 in 1996 trillion; $2.44 in 2001 trillion; $3.65 in 2006 trillion; $5.11 in 2011 trillion; $6.61 in 2016 trillion; $8.51 in 2021 trillion; $12.74 in 2026F trillion;   Newly Industrialised Economies³ $0.24 in 1981 trillion; $0.43 in 1986 trillion; $0.79 in 1991 trillion; $1.26 in 1996 trillion; $1.70 in 2001 trillion; $2.51 in 2006 trillion; $3.35 in 2011 trillion; $4.06 in 2016 trillion; $5.14 in 2021 trillion; $6.76 in 2026F trillion;   Other developing Asia $0.10 in 1981 trillion; $0.14 in 1986 trillion; $0.20 in 1991 trillion; $0.29 in 1996 trillion; $0.39 in 2001 trillion; $0.57 in 2006 trillion; $0.83 in 2011 trillion; $1.23 in 2016 trillion; $1.75 in 2021 trillion; and $2.66 in 2026F trillion.&#10;"/>
                    <pic:cNvPicPr/>
                  </pic:nvPicPr>
                  <pic:blipFill rotWithShape="1">
                    <a:blip r:embed="rId45" cstate="hqprint">
                      <a:extLst>
                        <a:ext uri="{28A0092B-C50C-407E-A947-70E740481C1C}">
                          <a14:useLocalDpi xmlns:a14="http://schemas.microsoft.com/office/drawing/2010/main"/>
                        </a:ext>
                      </a:extLst>
                    </a:blip>
                    <a:srcRect/>
                    <a:stretch/>
                  </pic:blipFill>
                  <pic:spPr bwMode="auto">
                    <a:xfrm>
                      <a:off x="0" y="0"/>
                      <a:ext cx="6336030" cy="4316730"/>
                    </a:xfrm>
                    <a:prstGeom prst="rect">
                      <a:avLst/>
                    </a:prstGeom>
                    <a:ln>
                      <a:noFill/>
                    </a:ln>
                    <a:extLst>
                      <a:ext uri="{53640926-AAD7-44D8-BBD7-CCE9431645EC}">
                        <a14:shadowObscured xmlns:a14="http://schemas.microsoft.com/office/drawing/2010/main"/>
                      </a:ext>
                    </a:extLst>
                  </pic:spPr>
                </pic:pic>
              </a:graphicData>
            </a:graphic>
          </wp:inline>
        </w:drawing>
      </w:r>
    </w:p>
    <w:p w14:paraId="56D7417F" w14:textId="1C44300F" w:rsidR="00FD46E2" w:rsidRPr="002322B7" w:rsidRDefault="00FD46E2" w:rsidP="00FD46E2">
      <w:pPr>
        <w:pStyle w:val="Sourcesandnotes"/>
      </w:pPr>
      <w:r w:rsidRPr="002322B7">
        <w:rPr>
          <w:b/>
          <w:bCs/>
        </w:rPr>
        <w:t>Notes: 1.</w:t>
      </w:r>
      <w:r w:rsidRPr="002322B7">
        <w:t xml:space="preserve"> The bar represents the value of regional </w:t>
      </w:r>
      <w:r w:rsidR="00E935BE">
        <w:t>GDP</w:t>
      </w:r>
      <w:r w:rsidRPr="002322B7">
        <w:t xml:space="preserve"> at current prices based on purchasing power parity. </w:t>
      </w:r>
      <w:r w:rsidRPr="002322B7">
        <w:rPr>
          <w:b/>
          <w:bCs/>
        </w:rPr>
        <w:t>2.</w:t>
      </w:r>
      <w:r w:rsidRPr="002322B7">
        <w:t xml:space="preserve"> The Association of Southeast Asian Nations (ASEAN) includes Brunei Darussalam, Cambodia, Indonesia, Lao PDR, Malaysia, Myanmar, Philippines, Thailand and Vietnam. To avoid double counting with newly industrialised economies (NIEs) and ASEAN, Singapore was excluded from the ASEAN group. </w:t>
      </w:r>
      <w:r w:rsidRPr="002322B7">
        <w:rPr>
          <w:b/>
          <w:bCs/>
        </w:rPr>
        <w:t>3.</w:t>
      </w:r>
      <w:r w:rsidRPr="002322B7">
        <w:t xml:space="preserve"> NIEs: Singapore, Hong Kong SAR, Korea and Taiwan. </w:t>
      </w:r>
      <w:r w:rsidRPr="002322B7">
        <w:rPr>
          <w:b/>
          <w:bCs/>
        </w:rPr>
        <w:t>4.</w:t>
      </w:r>
      <w:r w:rsidRPr="002322B7">
        <w:t xml:space="preserve"> Brookings Institution, see source below. </w:t>
      </w:r>
    </w:p>
    <w:p w14:paraId="1AF885B9" w14:textId="77777777" w:rsidR="00FD46E2" w:rsidRPr="002322B7" w:rsidRDefault="00FD46E2" w:rsidP="00FD46E2">
      <w:pPr>
        <w:pStyle w:val="Sourcesandnotes"/>
      </w:pPr>
      <w:r w:rsidRPr="002322B7">
        <w:rPr>
          <w:b/>
          <w:bCs/>
        </w:rPr>
        <w:t>F =</w:t>
      </w:r>
      <w:r w:rsidRPr="002322B7">
        <w:t xml:space="preserve"> Forecast </w:t>
      </w:r>
    </w:p>
    <w:p w14:paraId="4B2EC2DA" w14:textId="77777777" w:rsidR="00FD46E2" w:rsidRPr="002322B7" w:rsidRDefault="00FD46E2" w:rsidP="00FD46E2">
      <w:pPr>
        <w:pStyle w:val="Sourcesandnotes"/>
      </w:pPr>
      <w:r w:rsidRPr="002322B7">
        <w:rPr>
          <w:b/>
          <w:bCs/>
        </w:rPr>
        <w:t>Sources:</w:t>
      </w:r>
      <w:r w:rsidRPr="002322B7">
        <w:t xml:space="preserve"> International Monetary Fund, 2024, World Economic Outlook April 2024; Brookings Institution, 2017, The unprecedented expansion of the global middle class; Austrade.</w:t>
      </w:r>
    </w:p>
    <w:bookmarkEnd w:id="101"/>
    <w:p w14:paraId="3FEF51A8" w14:textId="7B5C355C" w:rsidR="00FD46E2" w:rsidRPr="002322B7" w:rsidRDefault="00FD46E2">
      <w:pPr>
        <w:spacing w:before="0" w:after="160" w:line="259" w:lineRule="auto"/>
      </w:pPr>
      <w:r w:rsidRPr="002322B7">
        <w:br w:type="page"/>
      </w:r>
    </w:p>
    <w:p w14:paraId="6F41680A" w14:textId="77777777" w:rsidR="006719E7" w:rsidRPr="002322B7" w:rsidRDefault="006719E7" w:rsidP="006719E7">
      <w:pPr>
        <w:pStyle w:val="Heading-level2"/>
      </w:pPr>
      <w:bookmarkStart w:id="134" w:name="_Toc178256580"/>
      <w:bookmarkEnd w:id="102"/>
      <w:r w:rsidRPr="002322B7">
        <w:lastRenderedPageBreak/>
        <w:t>A broad network of trade agreements</w:t>
      </w:r>
      <w:bookmarkEnd w:id="134"/>
    </w:p>
    <w:p w14:paraId="4EBED8E8" w14:textId="3182D70E" w:rsidR="006719E7" w:rsidRPr="002322B7" w:rsidRDefault="006E633D" w:rsidP="003F1867">
      <w:pPr>
        <w:pStyle w:val="Body-copy"/>
        <w:rPr>
          <w:lang w:val="en-AU"/>
        </w:rPr>
      </w:pPr>
      <w:r w:rsidRPr="002322B7">
        <w:rPr>
          <w:lang w:val="en-AU"/>
        </w:rPr>
        <w:t>Australia has 18 FTAs</w:t>
      </w:r>
      <w:r w:rsidR="00F93CF3" w:rsidRPr="002322B7">
        <w:rPr>
          <w:lang w:val="en-AU"/>
        </w:rPr>
        <w:t>. They</w:t>
      </w:r>
      <w:r w:rsidR="00580B53" w:rsidRPr="002322B7">
        <w:rPr>
          <w:lang w:val="en-AU"/>
        </w:rPr>
        <w:t xml:space="preserve"> include </w:t>
      </w:r>
      <w:r w:rsidRPr="002322B7">
        <w:rPr>
          <w:lang w:val="en-AU"/>
        </w:rPr>
        <w:t xml:space="preserve">bilateral agreements with our principal trading partners </w:t>
      </w:r>
      <w:r w:rsidR="00580B53" w:rsidRPr="002322B7">
        <w:rPr>
          <w:lang w:val="en-AU"/>
        </w:rPr>
        <w:t xml:space="preserve">such as </w:t>
      </w:r>
      <w:r w:rsidRPr="002322B7">
        <w:rPr>
          <w:lang w:val="en-AU"/>
        </w:rPr>
        <w:t>the U</w:t>
      </w:r>
      <w:r w:rsidR="009D070D">
        <w:rPr>
          <w:lang w:val="en-AU"/>
        </w:rPr>
        <w:t>S</w:t>
      </w:r>
      <w:r w:rsidRPr="002322B7">
        <w:rPr>
          <w:lang w:val="en-AU"/>
        </w:rPr>
        <w:t>, China, Korea, Japan and Singapore. Australia is also a member of regional multi-party trade agreements</w:t>
      </w:r>
      <w:r w:rsidR="00AF2D09" w:rsidRPr="002322B7">
        <w:rPr>
          <w:lang w:val="en-AU"/>
        </w:rPr>
        <w:t>. These</w:t>
      </w:r>
      <w:r w:rsidRPr="002322B7">
        <w:rPr>
          <w:lang w:val="en-AU"/>
        </w:rPr>
        <w:t xml:space="preserve"> includ</w:t>
      </w:r>
      <w:r w:rsidR="00AF2D09" w:rsidRPr="002322B7">
        <w:rPr>
          <w:lang w:val="en-AU"/>
        </w:rPr>
        <w:t>e</w:t>
      </w:r>
      <w:r w:rsidRPr="002322B7">
        <w:rPr>
          <w:lang w:val="en-AU"/>
        </w:rPr>
        <w:t xml:space="preserve"> the Regional Comprehensive Economic Partnership Agreement (RCEP), which is a free trade agreement with 14 Asia-Pacific countries</w:t>
      </w:r>
      <w:r w:rsidR="00AD441D">
        <w:rPr>
          <w:lang w:val="en-AU"/>
        </w:rPr>
        <w:t>, as well as</w:t>
      </w:r>
      <w:r w:rsidR="00F67843" w:rsidRPr="002322B7">
        <w:rPr>
          <w:lang w:val="en-AU"/>
        </w:rPr>
        <w:t xml:space="preserve"> </w:t>
      </w:r>
      <w:r w:rsidRPr="002322B7">
        <w:rPr>
          <w:lang w:val="en-AU"/>
        </w:rPr>
        <w:t>the ASEAN-Australia-New Zealand Free Trade A</w:t>
      </w:r>
      <w:r w:rsidR="003D7477">
        <w:rPr>
          <w:lang w:val="en-AU"/>
        </w:rPr>
        <w:t>rea</w:t>
      </w:r>
      <w:r w:rsidRPr="002322B7">
        <w:rPr>
          <w:lang w:val="en-AU"/>
        </w:rPr>
        <w:t xml:space="preserve"> (AANZFTA)</w:t>
      </w:r>
      <w:r w:rsidR="00982BF2">
        <w:rPr>
          <w:lang w:val="en-AU"/>
        </w:rPr>
        <w:t xml:space="preserve"> agreement</w:t>
      </w:r>
      <w:r w:rsidRPr="002322B7">
        <w:rPr>
          <w:lang w:val="en-AU"/>
        </w:rPr>
        <w:t>. Two recent FTAs are set to boost trade with strategic partners</w:t>
      </w:r>
      <w:r w:rsidR="00F67843" w:rsidRPr="002322B7">
        <w:rPr>
          <w:lang w:val="en-AU"/>
        </w:rPr>
        <w:t xml:space="preserve">. The </w:t>
      </w:r>
      <w:r w:rsidRPr="002322B7">
        <w:rPr>
          <w:lang w:val="en-AU"/>
        </w:rPr>
        <w:t>Australia-India Economic Cooperation and Trade Agreement (ECTA) c</w:t>
      </w:r>
      <w:r w:rsidR="00F67843" w:rsidRPr="002322B7">
        <w:rPr>
          <w:lang w:val="en-AU"/>
        </w:rPr>
        <w:t>ame</w:t>
      </w:r>
      <w:r w:rsidRPr="002322B7">
        <w:rPr>
          <w:lang w:val="en-AU"/>
        </w:rPr>
        <w:t xml:space="preserve"> into force in December 2022, and the Australia-United Kingdom Free Trade Agreement (A-UKFTA) bec</w:t>
      </w:r>
      <w:r w:rsidR="00F67843" w:rsidRPr="002322B7">
        <w:rPr>
          <w:lang w:val="en-AU"/>
        </w:rPr>
        <w:t>ame</w:t>
      </w:r>
      <w:r w:rsidRPr="002322B7">
        <w:rPr>
          <w:lang w:val="en-AU"/>
        </w:rPr>
        <w:t xml:space="preserve"> operational in May 2023.</w:t>
      </w:r>
    </w:p>
    <w:p w14:paraId="0A9425A2" w14:textId="1A530AA0" w:rsidR="006719E7" w:rsidRPr="002322B7" w:rsidRDefault="006719E7" w:rsidP="006719E7">
      <w:pPr>
        <w:pStyle w:val="Caption"/>
      </w:pPr>
      <w:bookmarkStart w:id="135" w:name="_Toc164873547"/>
      <w:bookmarkStart w:id="136" w:name="_Toc178256528"/>
      <w:r w:rsidRPr="002322B7">
        <w:t xml:space="preserve">Figure </w:t>
      </w:r>
      <w:r w:rsidR="00CF16FA">
        <w:fldChar w:fldCharType="begin"/>
      </w:r>
      <w:r w:rsidR="00CF16FA">
        <w:instrText xml:space="preserve"> SEQ Figure \* ARABIC </w:instrText>
      </w:r>
      <w:r w:rsidR="00CF16FA">
        <w:fldChar w:fldCharType="separate"/>
      </w:r>
      <w:r w:rsidR="002459CF">
        <w:rPr>
          <w:noProof/>
        </w:rPr>
        <w:t>29</w:t>
      </w:r>
      <w:r w:rsidR="00CF16FA">
        <w:rPr>
          <w:noProof/>
        </w:rPr>
        <w:fldChar w:fldCharType="end"/>
      </w:r>
      <w:r w:rsidRPr="002322B7">
        <w:t xml:space="preserve"> –</w:t>
      </w:r>
      <w:bookmarkEnd w:id="135"/>
      <w:r w:rsidRPr="002322B7">
        <w:t xml:space="preserve"> Australia’s free trade agreements</w:t>
      </w:r>
      <w:bookmarkEnd w:id="136"/>
    </w:p>
    <w:p w14:paraId="70747A29" w14:textId="05D3D86E" w:rsidR="006719E7" w:rsidRPr="002322B7" w:rsidRDefault="006719E7" w:rsidP="006719E7"/>
    <w:p w14:paraId="3F7F6D95" w14:textId="2B22ADA8" w:rsidR="006719E7" w:rsidRPr="002322B7" w:rsidRDefault="008D468B" w:rsidP="006719E7">
      <w:pPr>
        <w:pStyle w:val="Sourcesandnotes"/>
      </w:pPr>
      <w:r>
        <w:rPr>
          <w:noProof/>
        </w:rPr>
        <w:drawing>
          <wp:inline distT="0" distB="0" distL="0" distR="0" wp14:anchorId="637BFB47" wp14:editId="20F96D74">
            <wp:extent cx="6300000" cy="5456454"/>
            <wp:effectExtent l="0" t="0" r="5715" b="0"/>
            <wp:docPr id="598014315" name="Picture 39" descr="The image has a map and a table. &#10;The map shows Australia's Free Trade Agreements (FTA). It shows the country and the year the Free Trade Agreement with the country entered into force. &#10;The information in the map is China 2015; India 2022; Thailand 2005; Malaysia 2013; Korea 2014; Japan 2015; United States 2005; Hong Kong SAR 2020; Singapore 2003; Indonesia 2020; Peru 2020; Chile 2009; United Kingdom 2023;  and New Zealand 1983.&#10;The table shows Australia’s three multi-party Free Trade Agreements. &#10;First, the ASEAN-Australia New Zealand Free Trade Agreement (2010-11) includes New Zealand, Indonesia, Brunei, Singapore, Malaysia, Thailand, the Philippines, Vietnam, Cambodia, Laos, and Myanmar.&#10;Second, the Comprehensive and Progressive agreement for Trans-Pacific Partnership (2018-19) includes New Zealand, Indonesia, Brunei, Singapore, Malaysia, Vietnam, Japan, Canada, Mexico, Peru, and Chile.&#10;Third, the Regional Comprehensive Economic Partnership (2022) includes New Zealand, Brunei, Singapore, Malaysia, Thailand, Vietnam, Cambodia, Laos, China, Korea, and Jap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14315" name="Picture 39" descr="The image has a map and a table. &#10;The map shows Australia's Free Trade Agreements (FTA). It shows the country and the year the Free Trade Agreement with the country entered into force. &#10;The information in the map is China 2015; India 2022; Thailand 2005; Malaysia 2013; Korea 2014; Japan 2015; United States 2005; Hong Kong SAR 2020; Singapore 2003; Indonesia 2020; Peru 2020; Chile 2009; United Kingdom 2023;  and New Zealand 1983.&#10;The table shows Australia’s three multi-party Free Trade Agreements. &#10;First, the ASEAN-Australia New Zealand Free Trade Agreement (2010-11) includes New Zealand, Indonesia, Brunei, Singapore, Malaysia, Thailand, the Philippines, Vietnam, Cambodia, Laos, and Myanmar.&#10;Second, the Comprehensive and Progressive agreement for Trans-Pacific Partnership (2018-19) includes New Zealand, Indonesia, Brunei, Singapore, Malaysia, Vietnam, Japan, Canada, Mexico, Peru, and Chile.&#10;Third, the Regional Comprehensive Economic Partnership (2022) includes New Zealand, Brunei, Singapore, Malaysia, Thailand, Vietnam, Cambodia, Laos, China, Korea, and Japan.&#10;"/>
                    <pic:cNvPicPr/>
                  </pic:nvPicPr>
                  <pic:blipFill rotWithShape="1">
                    <a:blip r:embed="rId46" cstate="hqprint">
                      <a:extLst>
                        <a:ext uri="{28A0092B-C50C-407E-A947-70E740481C1C}">
                          <a14:useLocalDpi xmlns:a14="http://schemas.microsoft.com/office/drawing/2010/main"/>
                        </a:ext>
                      </a:extLst>
                    </a:blip>
                    <a:srcRect/>
                    <a:stretch/>
                  </pic:blipFill>
                  <pic:spPr bwMode="auto">
                    <a:xfrm>
                      <a:off x="0" y="0"/>
                      <a:ext cx="6300000" cy="5456454"/>
                    </a:xfrm>
                    <a:prstGeom prst="rect">
                      <a:avLst/>
                    </a:prstGeom>
                    <a:ln>
                      <a:noFill/>
                    </a:ln>
                    <a:extLst>
                      <a:ext uri="{53640926-AAD7-44D8-BBD7-CCE9431645EC}">
                        <a14:shadowObscured xmlns:a14="http://schemas.microsoft.com/office/drawing/2010/main"/>
                      </a:ext>
                    </a:extLst>
                  </pic:spPr>
                </pic:pic>
              </a:graphicData>
            </a:graphic>
          </wp:inline>
        </w:drawing>
      </w:r>
      <w:r w:rsidR="006719E7" w:rsidRPr="002322B7">
        <w:rPr>
          <w:b/>
          <w:bCs/>
        </w:rPr>
        <w:t>Notes: 1.</w:t>
      </w:r>
      <w:r w:rsidR="006719E7" w:rsidRPr="002322B7">
        <w:t xml:space="preserve"> Information on the status of FTA negotiations can be found here: https://www.dfat.gov.au/trade/agreements/trade-agreements </w:t>
      </w:r>
      <w:r w:rsidR="006719E7" w:rsidRPr="002322B7">
        <w:rPr>
          <w:b/>
          <w:bCs/>
        </w:rPr>
        <w:t xml:space="preserve">2. </w:t>
      </w:r>
      <w:r w:rsidR="006719E7" w:rsidRPr="002322B7">
        <w:t xml:space="preserve">The Pacific Agreement on Closer Economic Relations Plus entered into force in 2020. Australia, New Zealand, Samoa, Kiribati, Tonga, Solomon Islands, Niue and Cook Islands are parties to the Agreement. </w:t>
      </w:r>
    </w:p>
    <w:p w14:paraId="169BBC2E" w14:textId="77777777" w:rsidR="006E633D" w:rsidRPr="002322B7" w:rsidRDefault="006719E7" w:rsidP="006E633D">
      <w:pPr>
        <w:pStyle w:val="Sourcesandnotes"/>
      </w:pPr>
      <w:r w:rsidRPr="002322B7">
        <w:rPr>
          <w:b/>
          <w:bCs/>
        </w:rPr>
        <w:lastRenderedPageBreak/>
        <w:t xml:space="preserve">Sources: </w:t>
      </w:r>
      <w:r w:rsidRPr="002322B7">
        <w:t xml:space="preserve">The Department of Foreign Affairs and Trade, 2023, Australia’s free trade agreements; Austrade. </w:t>
      </w:r>
    </w:p>
    <w:p w14:paraId="2BF0241B" w14:textId="1296A26D" w:rsidR="00F25F66" w:rsidRPr="002322B7" w:rsidRDefault="00F25F66" w:rsidP="00F25F66">
      <w:pPr>
        <w:pStyle w:val="Heading-level2"/>
      </w:pPr>
      <w:bookmarkStart w:id="137" w:name="_Toc178256581"/>
      <w:r w:rsidRPr="002322B7">
        <w:lastRenderedPageBreak/>
        <w:t>Pioneering the modernisation of global trade</w:t>
      </w:r>
      <w:bookmarkEnd w:id="137"/>
    </w:p>
    <w:p w14:paraId="36A5DEE6" w14:textId="6C1B659C" w:rsidR="00F25F66" w:rsidRPr="002322B7" w:rsidRDefault="00F25F66" w:rsidP="003F1867">
      <w:pPr>
        <w:pStyle w:val="Body-copy"/>
        <w:rPr>
          <w:lang w:val="en-AU"/>
        </w:rPr>
      </w:pPr>
      <w:r w:rsidRPr="002322B7">
        <w:rPr>
          <w:lang w:val="en-AU"/>
        </w:rPr>
        <w:t>Australia is at the forefront of</w:t>
      </w:r>
      <w:r w:rsidR="00CC6195" w:rsidRPr="002322B7">
        <w:rPr>
          <w:lang w:val="en-AU"/>
        </w:rPr>
        <w:t xml:space="preserve"> efforts to adopt mode</w:t>
      </w:r>
      <w:r w:rsidR="005C7E09" w:rsidRPr="002322B7">
        <w:rPr>
          <w:lang w:val="en-AU"/>
        </w:rPr>
        <w:t>rn</w:t>
      </w:r>
      <w:r w:rsidRPr="002322B7">
        <w:rPr>
          <w:lang w:val="en-AU"/>
        </w:rPr>
        <w:t xml:space="preserve"> trade standards, ranking 3</w:t>
      </w:r>
      <w:r w:rsidRPr="002322B7">
        <w:rPr>
          <w:vertAlign w:val="superscript"/>
          <w:lang w:val="en-AU"/>
        </w:rPr>
        <w:t>rd</w:t>
      </w:r>
      <w:r w:rsidRPr="002322B7">
        <w:rPr>
          <w:lang w:val="en-AU"/>
        </w:rPr>
        <w:t xml:space="preserve"> </w:t>
      </w:r>
      <w:r w:rsidR="005C7E09" w:rsidRPr="002322B7">
        <w:rPr>
          <w:lang w:val="en-AU"/>
        </w:rPr>
        <w:t>i</w:t>
      </w:r>
      <w:r w:rsidRPr="002322B7">
        <w:rPr>
          <w:lang w:val="en-AU"/>
        </w:rPr>
        <w:t xml:space="preserve">n the United Nations' Trade Digitalization Index. </w:t>
      </w:r>
      <w:bookmarkStart w:id="138" w:name="_Hlk164834252"/>
      <w:r w:rsidRPr="002322B7">
        <w:rPr>
          <w:lang w:val="en-AU"/>
        </w:rPr>
        <w:t>This reflects Australia’s determination to adopt digital solutions that streamline trade processes and automate transactions</w:t>
      </w:r>
      <w:bookmarkEnd w:id="138"/>
      <w:r w:rsidRPr="002322B7">
        <w:rPr>
          <w:lang w:val="en-AU"/>
        </w:rPr>
        <w:t xml:space="preserve">. </w:t>
      </w:r>
      <w:bookmarkStart w:id="139" w:name="_Hlk164834265"/>
      <w:r w:rsidR="00110943">
        <w:rPr>
          <w:lang w:val="en-AU"/>
        </w:rPr>
        <w:t>And m</w:t>
      </w:r>
      <w:r w:rsidR="008B2F99" w:rsidRPr="002322B7">
        <w:rPr>
          <w:lang w:val="en-AU"/>
        </w:rPr>
        <w:t>ore</w:t>
      </w:r>
      <w:r w:rsidRPr="002322B7">
        <w:rPr>
          <w:lang w:val="en-AU"/>
        </w:rPr>
        <w:t xml:space="preserve"> is coming</w:t>
      </w:r>
      <w:r w:rsidR="008B2F99" w:rsidRPr="002322B7">
        <w:rPr>
          <w:lang w:val="en-AU"/>
        </w:rPr>
        <w:t xml:space="preserve">. </w:t>
      </w:r>
      <w:r w:rsidRPr="002322B7">
        <w:rPr>
          <w:lang w:val="en-AU"/>
        </w:rPr>
        <w:t xml:space="preserve">Australia </w:t>
      </w:r>
      <w:r w:rsidR="008B2F99" w:rsidRPr="002322B7">
        <w:rPr>
          <w:lang w:val="en-AU"/>
        </w:rPr>
        <w:t>is developing its</w:t>
      </w:r>
      <w:r w:rsidRPr="002322B7">
        <w:rPr>
          <w:lang w:val="en-AU"/>
        </w:rPr>
        <w:t xml:space="preserve"> Simplified Trade System</w:t>
      </w:r>
      <w:r w:rsidR="00571126" w:rsidRPr="002322B7">
        <w:rPr>
          <w:lang w:val="en-AU"/>
        </w:rPr>
        <w:t xml:space="preserve"> (STS), which will</w:t>
      </w:r>
      <w:r w:rsidRPr="002322B7">
        <w:rPr>
          <w:lang w:val="en-AU"/>
        </w:rPr>
        <w:t xml:space="preserve"> help companies comply with trade regulations.</w:t>
      </w:r>
      <w:bookmarkEnd w:id="139"/>
      <w:r w:rsidRPr="002322B7">
        <w:rPr>
          <w:lang w:val="en-AU"/>
        </w:rPr>
        <w:t xml:space="preserve"> </w:t>
      </w:r>
      <w:r w:rsidR="00571126" w:rsidRPr="002322B7">
        <w:rPr>
          <w:lang w:val="en-AU"/>
        </w:rPr>
        <w:t>STS</w:t>
      </w:r>
      <w:r w:rsidRPr="002322B7">
        <w:rPr>
          <w:lang w:val="en-AU"/>
        </w:rPr>
        <w:t xml:space="preserve"> will simplify procedures, upgrade systems</w:t>
      </w:r>
      <w:r w:rsidR="00BB42D2" w:rsidRPr="002322B7">
        <w:rPr>
          <w:lang w:val="en-AU"/>
        </w:rPr>
        <w:t>,</w:t>
      </w:r>
      <w:r w:rsidRPr="002322B7">
        <w:rPr>
          <w:lang w:val="en-AU"/>
        </w:rPr>
        <w:t xml:space="preserve"> and </w:t>
      </w:r>
      <w:r w:rsidR="00B92126" w:rsidRPr="00B92126">
        <w:rPr>
          <w:lang w:val="en-AU"/>
        </w:rPr>
        <w:t>making it easier to trade for importers and exporters</w:t>
      </w:r>
      <w:r w:rsidRPr="002322B7">
        <w:rPr>
          <w:lang w:val="en-AU"/>
        </w:rPr>
        <w:t>.</w:t>
      </w:r>
    </w:p>
    <w:p w14:paraId="1464F526" w14:textId="77777777" w:rsidR="00F25F66" w:rsidRPr="002322B7" w:rsidRDefault="00F25F66" w:rsidP="003F1867">
      <w:pPr>
        <w:pStyle w:val="Body-copy"/>
        <w:rPr>
          <w:lang w:val="en-AU"/>
        </w:rPr>
      </w:pPr>
    </w:p>
    <w:p w14:paraId="001D733F" w14:textId="59EC0F5C" w:rsidR="00F25F66" w:rsidRDefault="00F25F66" w:rsidP="00F25F66">
      <w:pPr>
        <w:pStyle w:val="Caption"/>
      </w:pPr>
      <w:bookmarkStart w:id="140" w:name="_Toc165471223"/>
      <w:bookmarkStart w:id="141" w:name="_Toc178256529"/>
      <w:r w:rsidRPr="002322B7">
        <w:t xml:space="preserve">Figure </w:t>
      </w:r>
      <w:r w:rsidR="00CF16FA">
        <w:fldChar w:fldCharType="begin"/>
      </w:r>
      <w:r w:rsidR="00CF16FA">
        <w:instrText xml:space="preserve"> SEQ Figure \* ARABIC </w:instrText>
      </w:r>
      <w:r w:rsidR="00CF16FA">
        <w:fldChar w:fldCharType="separate"/>
      </w:r>
      <w:r w:rsidR="002459CF">
        <w:rPr>
          <w:noProof/>
        </w:rPr>
        <w:t>30</w:t>
      </w:r>
      <w:r w:rsidR="00CF16FA">
        <w:rPr>
          <w:noProof/>
        </w:rPr>
        <w:fldChar w:fldCharType="end"/>
      </w:r>
      <w:r w:rsidRPr="002322B7">
        <w:t xml:space="preserve"> – Trade digitalisation index¹ for selected economies, 2023</w:t>
      </w:r>
      <w:bookmarkEnd w:id="140"/>
      <w:bookmarkEnd w:id="141"/>
    </w:p>
    <w:p w14:paraId="57D4E024" w14:textId="1AA1FA57" w:rsidR="007504B5" w:rsidRDefault="007504B5" w:rsidP="007504B5">
      <w:r>
        <w:rPr>
          <w:noProof/>
        </w:rPr>
        <w:drawing>
          <wp:inline distT="0" distB="0" distL="0" distR="0" wp14:anchorId="530D9D8B" wp14:editId="27090B0B">
            <wp:extent cx="6336030" cy="4577080"/>
            <wp:effectExtent l="0" t="0" r="7620" b="0"/>
            <wp:docPr id="391625901" name="Picture 40" descr="The graph shows the Trade digitalisation index for selected economies in 2023. The information is as follows: Netherlands (Ranked #1) 96%; New Zealand (Ranked #1) 96%; Australia (Ranked #3) 93%; Korea (Ranked #3) 93%; Singapore (Ranked #3) 93%; Saudi Arabia (Ranked #7) 91%; Japan (Ranked #10) 89%; China (Ranked #14) 87%; India (Ranked #14) 87%; Mexico (Ranked #14) 87%; Sweden (Ranked #20) 84%; Germany (Ranked #22) 82%; Thailand (Ranked #22) 82%; UK (Ranked #22) 82%; Philippines (Ranked #39) 78%; Canada (Ranked #45) 76%; Russia (Ranked #45) 76%; Italy (Ranked #56) 73%; France (Ranked #65) 69%; Vietnam (Ranked #65) 69%; and Nepal (Ranked #100)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25901" name="Picture 40" descr="The graph shows the Trade digitalisation index for selected economies in 2023. The information is as follows: Netherlands (Ranked #1) 96%; New Zealand (Ranked #1) 96%; Australia (Ranked #3) 93%; Korea (Ranked #3) 93%; Singapore (Ranked #3) 93%; Saudi Arabia (Ranked #7) 91%; Japan (Ranked #10) 89%; China (Ranked #14) 87%; India (Ranked #14) 87%; Mexico (Ranked #14) 87%; Sweden (Ranked #20) 84%; Germany (Ranked #22) 82%; Thailand (Ranked #22) 82%; UK (Ranked #22) 82%; Philippines (Ranked #39) 78%; Canada (Ranked #45) 76%; Russia (Ranked #45) 76%; Italy (Ranked #56) 73%; France (Ranked #65) 69%; Vietnam (Ranked #65) 69%; and Nepal (Ranked #100) 53%."/>
                    <pic:cNvPicPr/>
                  </pic:nvPicPr>
                  <pic:blipFill rotWithShape="1">
                    <a:blip r:embed="rId47" cstate="hqprint">
                      <a:extLst>
                        <a:ext uri="{28A0092B-C50C-407E-A947-70E740481C1C}">
                          <a14:useLocalDpi xmlns:a14="http://schemas.microsoft.com/office/drawing/2010/main"/>
                        </a:ext>
                      </a:extLst>
                    </a:blip>
                    <a:srcRect/>
                    <a:stretch/>
                  </pic:blipFill>
                  <pic:spPr bwMode="auto">
                    <a:xfrm>
                      <a:off x="0" y="0"/>
                      <a:ext cx="6336030" cy="4577080"/>
                    </a:xfrm>
                    <a:prstGeom prst="rect">
                      <a:avLst/>
                    </a:prstGeom>
                    <a:ln>
                      <a:noFill/>
                    </a:ln>
                    <a:extLst>
                      <a:ext uri="{53640926-AAD7-44D8-BBD7-CCE9431645EC}">
                        <a14:shadowObscured xmlns:a14="http://schemas.microsoft.com/office/drawing/2010/main"/>
                      </a:ext>
                    </a:extLst>
                  </pic:spPr>
                </pic:pic>
              </a:graphicData>
            </a:graphic>
          </wp:inline>
        </w:drawing>
      </w:r>
    </w:p>
    <w:p w14:paraId="5EBA927D" w14:textId="77777777" w:rsidR="00F25F66" w:rsidRPr="002322B7" w:rsidRDefault="00F25F66" w:rsidP="00F25F66">
      <w:pPr>
        <w:pStyle w:val="Sourcesandnotes"/>
      </w:pPr>
      <w:permStart w:id="1460742972" w:ed="AUSTRADE\Fernando-ramirez"/>
      <w:permEnd w:id="1460742972"/>
      <w:r w:rsidRPr="002322B7">
        <w:rPr>
          <w:b/>
          <w:bCs/>
        </w:rPr>
        <w:t>Note: 1.</w:t>
      </w:r>
      <w:r w:rsidRPr="002322B7">
        <w:t xml:space="preserve"> Across 163 economies. </w:t>
      </w:r>
    </w:p>
    <w:p w14:paraId="3692BC75" w14:textId="77777777" w:rsidR="00F25F66" w:rsidRPr="002322B7" w:rsidRDefault="00F25F66" w:rsidP="00F25F66">
      <w:pPr>
        <w:pStyle w:val="Sourcesandnotes"/>
      </w:pPr>
      <w:r w:rsidRPr="002322B7">
        <w:rPr>
          <w:b/>
          <w:bCs/>
        </w:rPr>
        <w:t>Sources:</w:t>
      </w:r>
      <w:r w:rsidRPr="002322B7">
        <w:t xml:space="preserve"> United Nations Economic and Social commission for Asia and the Pacific, 2024, Trade Digitalization Index: A new tool for assessing the global state of play in the digitalization of trade procedures, accessed on 25 February 2024; Austrade.</w:t>
      </w:r>
    </w:p>
    <w:p w14:paraId="12767A54" w14:textId="77777777" w:rsidR="001B7642" w:rsidRPr="002322B7" w:rsidRDefault="001B7642" w:rsidP="001B7642">
      <w:pPr>
        <w:pStyle w:val="Heading-level2"/>
      </w:pPr>
      <w:bookmarkStart w:id="142" w:name="_Toc165471187"/>
      <w:bookmarkStart w:id="143" w:name="_Toc178256582"/>
      <w:r w:rsidRPr="002322B7">
        <w:lastRenderedPageBreak/>
        <w:t>A global hub with diverse connections</w:t>
      </w:r>
      <w:bookmarkEnd w:id="142"/>
      <w:bookmarkEnd w:id="143"/>
    </w:p>
    <w:p w14:paraId="663FA608" w14:textId="6C5367E8" w:rsidR="001B7642" w:rsidRPr="002322B7" w:rsidRDefault="0071020B" w:rsidP="003F1867">
      <w:pPr>
        <w:pStyle w:val="Body-copy"/>
        <w:rPr>
          <w:lang w:val="en-AU"/>
        </w:rPr>
      </w:pPr>
      <w:r w:rsidRPr="002322B7">
        <w:rPr>
          <w:lang w:val="en-AU"/>
        </w:rPr>
        <w:t xml:space="preserve">Australians are known for being open and welcoming. According to the European Institute of Business Administration (INSEAD), Australia </w:t>
      </w:r>
      <w:r w:rsidR="00C15C55">
        <w:rPr>
          <w:lang w:val="en-AU"/>
        </w:rPr>
        <w:t xml:space="preserve">is </w:t>
      </w:r>
      <w:r w:rsidRPr="002322B7">
        <w:rPr>
          <w:lang w:val="en-AU"/>
        </w:rPr>
        <w:t>rank</w:t>
      </w:r>
      <w:r w:rsidR="00C15C55">
        <w:rPr>
          <w:lang w:val="en-AU"/>
        </w:rPr>
        <w:t>ed</w:t>
      </w:r>
      <w:r w:rsidR="008D277F" w:rsidRPr="002322B7">
        <w:rPr>
          <w:lang w:val="en-AU"/>
        </w:rPr>
        <w:t xml:space="preserve"> </w:t>
      </w:r>
      <w:r w:rsidR="003B008E" w:rsidRPr="002322B7">
        <w:rPr>
          <w:lang w:val="en-AU"/>
        </w:rPr>
        <w:t>6</w:t>
      </w:r>
      <w:r w:rsidR="003B008E" w:rsidRPr="002322B7">
        <w:rPr>
          <w:vertAlign w:val="superscript"/>
          <w:lang w:val="en-AU"/>
        </w:rPr>
        <w:t>th</w:t>
      </w:r>
      <w:r w:rsidRPr="002322B7">
        <w:rPr>
          <w:lang w:val="en-AU"/>
        </w:rPr>
        <w:t xml:space="preserve"> </w:t>
      </w:r>
      <w:r w:rsidR="00C15C55">
        <w:rPr>
          <w:lang w:val="en-AU"/>
        </w:rPr>
        <w:t xml:space="preserve">globally </w:t>
      </w:r>
      <w:r w:rsidR="000A5E89" w:rsidRPr="002322B7">
        <w:rPr>
          <w:lang w:val="en-AU"/>
        </w:rPr>
        <w:t xml:space="preserve">in terms of tolerance towards migration. </w:t>
      </w:r>
      <w:r w:rsidR="001B7642" w:rsidRPr="002322B7">
        <w:rPr>
          <w:lang w:val="en-AU"/>
        </w:rPr>
        <w:t>Australia ranks 3</w:t>
      </w:r>
      <w:r w:rsidR="001B7642" w:rsidRPr="002322B7">
        <w:rPr>
          <w:vertAlign w:val="superscript"/>
          <w:lang w:val="en-AU"/>
        </w:rPr>
        <w:t>rd</w:t>
      </w:r>
      <w:r w:rsidR="001B7642" w:rsidRPr="002322B7">
        <w:rPr>
          <w:lang w:val="en-AU"/>
        </w:rPr>
        <w:t xml:space="preserve"> in the </w:t>
      </w:r>
      <w:r w:rsidR="009E079D" w:rsidRPr="002322B7">
        <w:rPr>
          <w:lang w:val="en-AU"/>
        </w:rPr>
        <w:t>OECD</w:t>
      </w:r>
      <w:r w:rsidR="001B7642" w:rsidRPr="002322B7">
        <w:rPr>
          <w:lang w:val="en-AU"/>
        </w:rPr>
        <w:t xml:space="preserve"> for our high proportion of foreign-born citizens</w:t>
      </w:r>
      <w:r w:rsidR="009E0DD7">
        <w:rPr>
          <w:lang w:val="en-AU"/>
        </w:rPr>
        <w:t>,</w:t>
      </w:r>
      <w:r w:rsidR="005C48AB">
        <w:rPr>
          <w:lang w:val="en-AU"/>
        </w:rPr>
        <w:t xml:space="preserve"> who account for </w:t>
      </w:r>
      <w:r w:rsidR="001B7642" w:rsidRPr="002322B7">
        <w:rPr>
          <w:lang w:val="en-AU"/>
        </w:rPr>
        <w:t>29% of Australia’s population</w:t>
      </w:r>
      <w:r w:rsidR="009E0DD7">
        <w:rPr>
          <w:lang w:val="en-AU"/>
        </w:rPr>
        <w:t xml:space="preserve"> – </w:t>
      </w:r>
      <w:r w:rsidR="001B7642" w:rsidRPr="002322B7">
        <w:rPr>
          <w:lang w:val="en-AU"/>
        </w:rPr>
        <w:t xml:space="preserve">double the average ratio for OECD countries. </w:t>
      </w:r>
      <w:r w:rsidR="004E71E2" w:rsidRPr="002322B7">
        <w:rPr>
          <w:lang w:val="en-AU"/>
        </w:rPr>
        <w:t>Our multicultural and diaspora communities boost Australian trade through their linguistic abilities and connections to international markets.</w:t>
      </w:r>
    </w:p>
    <w:p w14:paraId="32D15F9E" w14:textId="3E5B14CA" w:rsidR="001B7642" w:rsidRDefault="001B7642" w:rsidP="001B7642">
      <w:pPr>
        <w:pStyle w:val="Caption"/>
      </w:pPr>
      <w:bookmarkStart w:id="144" w:name="_Toc165471236"/>
      <w:bookmarkStart w:id="145" w:name="_Toc178256530"/>
      <w:r w:rsidRPr="002322B7">
        <w:t xml:space="preserve">Figure </w:t>
      </w:r>
      <w:r w:rsidR="00CF16FA">
        <w:fldChar w:fldCharType="begin"/>
      </w:r>
      <w:r w:rsidR="00CF16FA">
        <w:instrText xml:space="preserve"> SEQ Figure \* ARABIC </w:instrText>
      </w:r>
      <w:r w:rsidR="00CF16FA">
        <w:fldChar w:fldCharType="separate"/>
      </w:r>
      <w:r w:rsidR="002459CF">
        <w:rPr>
          <w:noProof/>
        </w:rPr>
        <w:t>31</w:t>
      </w:r>
      <w:r w:rsidR="00CF16FA">
        <w:rPr>
          <w:noProof/>
        </w:rPr>
        <w:fldChar w:fldCharType="end"/>
      </w:r>
      <w:r w:rsidRPr="002322B7">
        <w:t xml:space="preserve"> – Foreign-born population across OECD countries, 2000 and 2022¹</w:t>
      </w:r>
      <w:bookmarkEnd w:id="144"/>
      <w:bookmarkEnd w:id="145"/>
    </w:p>
    <w:p w14:paraId="236EA011" w14:textId="6DD1D743" w:rsidR="001450CE" w:rsidRDefault="001450CE" w:rsidP="001450CE">
      <w:r>
        <w:rPr>
          <w:noProof/>
        </w:rPr>
        <w:drawing>
          <wp:inline distT="0" distB="0" distL="0" distR="0" wp14:anchorId="263C1163" wp14:editId="646237F1">
            <wp:extent cx="6336030" cy="4378960"/>
            <wp:effectExtent l="0" t="0" r="7620" b="2540"/>
            <wp:docPr id="815120973" name="Picture 41" descr="The bar chart shows the percentage of foreign-born population across OECD countries in 2000 and 2022 (the number in brackets is the ranking in 2022). The information is as follows:&#10;Mexico (38) 1% in 2022, 0.5% in 2000; Japan (37) 2.2% in 2022, 1.2% in 2000; Korea (35) 3.5% in 2022, 0.4% in 2000; Chile (29) 7.5% in 2022, 1.2% in 2000; Denmark (24) 11% in 2022, 5.6% in 2000; France (20) 12.7% in 2022, 10.1% in 2000; US (18) 14% in 2022, 10.5% in 2000; OECD average 14% in 2022, 9.7% in 2000; UK (17) 14.3% in 2022, 7.9% in 2000; Netherlands (16) 14.5% in 2022, 9.8% in 2000; Spain (14) 15.6% in 2022, 3.6% in 2000; Norway (13) 16.6% in 2022, 6.5% in 2000; Germany (12) 16.8% in 2022, 12.5% in 2000; Belgium (11) 18.4% in 2022, 10.1% in 2000; Israel² (10) 19.1% in 2022, 32.7% in 2000; Sweden (8) 20.1% in 2022, 11.1% in 2000; Ireland (7) 20.3% in 2022, 8.1% in 2000; Austria (6) 20.6% in 2022, 10.8% in 2000; Canada (5) 22% in 2022, 17.4% in 2000; New Zealand (4) 27.4% in 2022, 17.2% in 2000; Australia (3) 29.3% in 2022, 23.2% in 2000; Switzerland (2) 30.7% in 2022, 21.6% in 2000; and Luxembourg (1) 49.8% in 2022, 32.5% in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20973" name="Picture 41" descr="The bar chart shows the percentage of foreign-born population across OECD countries in 2000 and 2022 (the number in brackets is the ranking in 2022). The information is as follows:&#10;Mexico (38) 1% in 2022, 0.5% in 2000; Japan (37) 2.2% in 2022, 1.2% in 2000; Korea (35) 3.5% in 2022, 0.4% in 2000; Chile (29) 7.5% in 2022, 1.2% in 2000; Denmark (24) 11% in 2022, 5.6% in 2000; France (20) 12.7% in 2022, 10.1% in 2000; US (18) 14% in 2022, 10.5% in 2000; OECD average 14% in 2022, 9.7% in 2000; UK (17) 14.3% in 2022, 7.9% in 2000; Netherlands (16) 14.5% in 2022, 9.8% in 2000; Spain (14) 15.6% in 2022, 3.6% in 2000; Norway (13) 16.6% in 2022, 6.5% in 2000; Germany (12) 16.8% in 2022, 12.5% in 2000; Belgium (11) 18.4% in 2022, 10.1% in 2000; Israel² (10) 19.1% in 2022, 32.7% in 2000; Sweden (8) 20.1% in 2022, 11.1% in 2000; Ireland (7) 20.3% in 2022, 8.1% in 2000; Austria (6) 20.6% in 2022, 10.8% in 2000; Canada (5) 22% in 2022, 17.4% in 2000; New Zealand (4) 27.4% in 2022, 17.2% in 2000; Australia (3) 29.3% in 2022, 23.2% in 2000; Switzerland (2) 30.7% in 2022, 21.6% in 2000; and Luxembourg (1) 49.8% in 2022, 32.5% in 2000.&#10;"/>
                    <pic:cNvPicPr/>
                  </pic:nvPicPr>
                  <pic:blipFill rotWithShape="1">
                    <a:blip r:embed="rId48" cstate="hqprint">
                      <a:extLst>
                        <a:ext uri="{28A0092B-C50C-407E-A947-70E740481C1C}">
                          <a14:useLocalDpi xmlns:a14="http://schemas.microsoft.com/office/drawing/2010/main"/>
                        </a:ext>
                      </a:extLst>
                    </a:blip>
                    <a:srcRect/>
                    <a:stretch/>
                  </pic:blipFill>
                  <pic:spPr bwMode="auto">
                    <a:xfrm>
                      <a:off x="0" y="0"/>
                      <a:ext cx="6336030" cy="4378960"/>
                    </a:xfrm>
                    <a:prstGeom prst="rect">
                      <a:avLst/>
                    </a:prstGeom>
                    <a:ln>
                      <a:noFill/>
                    </a:ln>
                    <a:extLst>
                      <a:ext uri="{53640926-AAD7-44D8-BBD7-CCE9431645EC}">
                        <a14:shadowObscured xmlns:a14="http://schemas.microsoft.com/office/drawing/2010/main"/>
                      </a:ext>
                    </a:extLst>
                  </pic:spPr>
                </pic:pic>
              </a:graphicData>
            </a:graphic>
          </wp:inline>
        </w:drawing>
      </w:r>
    </w:p>
    <w:p w14:paraId="3B95B2BB" w14:textId="77777777" w:rsidR="001B7642" w:rsidRPr="002322B7" w:rsidRDefault="001B7642" w:rsidP="001B7642">
      <w:pPr>
        <w:pStyle w:val="Sourcesandnotes"/>
      </w:pPr>
      <w:r w:rsidRPr="002322B7">
        <w:rPr>
          <w:b/>
          <w:bCs/>
        </w:rPr>
        <w:t>Notes: 1.</w:t>
      </w:r>
      <w:r w:rsidRPr="002322B7">
        <w:t xml:space="preserve"> Data refers to 2000 or the closest available year, and to 2022 or the most recent available year. The OECD information is the simple average based on rates presented. For Japan and Korea, the data refers to the foreign population rather than the foreign-born population. </w:t>
      </w:r>
      <w:r w:rsidRPr="002322B7">
        <w:rPr>
          <w:b/>
          <w:bCs/>
        </w:rPr>
        <w:t>2.</w:t>
      </w:r>
      <w:r w:rsidRPr="002322B7">
        <w:t xml:space="preserve"> Israel’s high fertility rate and lower net migration rate reduced its percentage of foreign-born population. </w:t>
      </w:r>
    </w:p>
    <w:p w14:paraId="78F69682" w14:textId="77777777" w:rsidR="001B7642" w:rsidRPr="002322B7" w:rsidRDefault="001B7642" w:rsidP="001B7642">
      <w:pPr>
        <w:pStyle w:val="Sourcesandnotes"/>
      </w:pPr>
      <w:r w:rsidRPr="002322B7">
        <w:rPr>
          <w:b/>
          <w:bCs/>
        </w:rPr>
        <w:t>Sources:</w:t>
      </w:r>
      <w:r w:rsidRPr="002322B7">
        <w:t xml:space="preserve"> Organisation for Economic Co-operation and Development, 2023, International Migration Outlook 2023; Austrade.</w:t>
      </w:r>
    </w:p>
    <w:p w14:paraId="26F8EC9E" w14:textId="77777777" w:rsidR="001B7642" w:rsidRPr="002322B7" w:rsidRDefault="001B7642" w:rsidP="001B7642">
      <w:pPr>
        <w:pStyle w:val="Sourcesandnotes"/>
      </w:pPr>
    </w:p>
    <w:p w14:paraId="512E6492" w14:textId="77777777" w:rsidR="003259B5" w:rsidRPr="002322B7" w:rsidRDefault="003259B5" w:rsidP="003259B5">
      <w:pPr>
        <w:pStyle w:val="Heading-level2"/>
      </w:pPr>
      <w:bookmarkStart w:id="146" w:name="_Toc178256583"/>
      <w:bookmarkStart w:id="147" w:name="_Toc165017476"/>
      <w:r w:rsidRPr="002322B7">
        <w:lastRenderedPageBreak/>
        <w:t>Foreign investment reaches A$4.7 trillion</w:t>
      </w:r>
      <w:bookmarkEnd w:id="146"/>
      <w:r w:rsidRPr="002322B7">
        <w:t xml:space="preserve"> </w:t>
      </w:r>
      <w:bookmarkEnd w:id="147"/>
    </w:p>
    <w:p w14:paraId="7BD5135F" w14:textId="2F85E482" w:rsidR="003259B5" w:rsidRPr="002322B7" w:rsidRDefault="003259B5" w:rsidP="003F1867">
      <w:pPr>
        <w:pStyle w:val="Body-copy"/>
        <w:rPr>
          <w:lang w:val="en-AU"/>
        </w:rPr>
      </w:pPr>
      <w:r w:rsidRPr="002322B7">
        <w:rPr>
          <w:lang w:val="en-AU"/>
        </w:rPr>
        <w:t xml:space="preserve">Australia is a standout destination for global investors. Since 2003, the stock </w:t>
      </w:r>
      <w:r w:rsidR="00D26427" w:rsidRPr="002322B7">
        <w:rPr>
          <w:lang w:val="en-AU"/>
        </w:rPr>
        <w:t xml:space="preserve">of </w:t>
      </w:r>
      <w:r w:rsidRPr="002322B7">
        <w:rPr>
          <w:lang w:val="en-AU"/>
        </w:rPr>
        <w:t>FDI in Australia has risen by an average of 7.1% each year</w:t>
      </w:r>
      <w:r w:rsidR="009B0D2E" w:rsidRPr="002322B7">
        <w:rPr>
          <w:lang w:val="en-AU"/>
        </w:rPr>
        <w:t>. O</w:t>
      </w:r>
      <w:r w:rsidRPr="002322B7">
        <w:rPr>
          <w:lang w:val="en-AU"/>
        </w:rPr>
        <w:t xml:space="preserve">ther forms of foreign investment – including portfolio investments – have grown by 8% per year. This strong growth has resulted in the value of foreign investment in Australia reaching A$4.7 trillion. Confidence in our economy means Australia </w:t>
      </w:r>
      <w:r w:rsidR="00824BE3">
        <w:rPr>
          <w:lang w:val="en-AU"/>
        </w:rPr>
        <w:t xml:space="preserve">has </w:t>
      </w:r>
      <w:r w:rsidRPr="002322B7">
        <w:rPr>
          <w:lang w:val="en-AU"/>
        </w:rPr>
        <w:t>buck</w:t>
      </w:r>
      <w:r w:rsidR="00824BE3">
        <w:rPr>
          <w:lang w:val="en-AU"/>
        </w:rPr>
        <w:t>ed</w:t>
      </w:r>
      <w:r w:rsidRPr="002322B7">
        <w:rPr>
          <w:lang w:val="en-AU"/>
        </w:rPr>
        <w:t xml:space="preserve"> global trends</w:t>
      </w:r>
      <w:r w:rsidR="004A6295">
        <w:rPr>
          <w:lang w:val="en-AU"/>
        </w:rPr>
        <w:t>. W</w:t>
      </w:r>
      <w:r w:rsidR="004B3120">
        <w:rPr>
          <w:lang w:val="en-AU"/>
        </w:rPr>
        <w:t>hen</w:t>
      </w:r>
      <w:r w:rsidR="009B0D2E" w:rsidRPr="002322B7">
        <w:rPr>
          <w:lang w:val="en-AU"/>
        </w:rPr>
        <w:t xml:space="preserve"> </w:t>
      </w:r>
      <w:r w:rsidRPr="002322B7">
        <w:rPr>
          <w:lang w:val="en-AU"/>
        </w:rPr>
        <w:t>FDI in Australia surg</w:t>
      </w:r>
      <w:r w:rsidR="004B3120">
        <w:rPr>
          <w:lang w:val="en-AU"/>
        </w:rPr>
        <w:t>ed</w:t>
      </w:r>
      <w:r w:rsidR="009B0D2E" w:rsidRPr="002322B7">
        <w:rPr>
          <w:lang w:val="en-AU"/>
        </w:rPr>
        <w:t xml:space="preserve"> </w:t>
      </w:r>
      <w:r w:rsidRPr="002322B7">
        <w:rPr>
          <w:lang w:val="en-AU"/>
        </w:rPr>
        <w:t>by 9% in 2022</w:t>
      </w:r>
      <w:r w:rsidR="00595D04">
        <w:rPr>
          <w:lang w:val="en-AU"/>
        </w:rPr>
        <w:t>,</w:t>
      </w:r>
      <w:r w:rsidRPr="002322B7">
        <w:rPr>
          <w:lang w:val="en-AU"/>
        </w:rPr>
        <w:t xml:space="preserve"> the total stock of global FDI dipp</w:t>
      </w:r>
      <w:r w:rsidR="009B0D2E" w:rsidRPr="002322B7">
        <w:rPr>
          <w:lang w:val="en-AU"/>
        </w:rPr>
        <w:t>ed</w:t>
      </w:r>
      <w:r w:rsidRPr="002322B7">
        <w:rPr>
          <w:lang w:val="en-AU"/>
        </w:rPr>
        <w:t xml:space="preserve"> by 6%.</w:t>
      </w:r>
      <w:r w:rsidRPr="002322B7">
        <w:rPr>
          <w:vertAlign w:val="superscript"/>
          <w:lang w:val="en-AU"/>
        </w:rPr>
        <w:t xml:space="preserve"> </w:t>
      </w:r>
      <w:r w:rsidR="002C1CBA">
        <w:rPr>
          <w:lang w:val="en-AU"/>
        </w:rPr>
        <w:t>Over the past two decades, f</w:t>
      </w:r>
      <w:r w:rsidRPr="002322B7">
        <w:rPr>
          <w:lang w:val="en-AU"/>
        </w:rPr>
        <w:t xml:space="preserve">oreign investment has </w:t>
      </w:r>
      <w:r w:rsidR="00C51754">
        <w:rPr>
          <w:lang w:val="en-AU"/>
        </w:rPr>
        <w:t xml:space="preserve">had </w:t>
      </w:r>
      <w:r w:rsidRPr="002322B7">
        <w:rPr>
          <w:lang w:val="en-AU"/>
        </w:rPr>
        <w:t>a growing role in Australia’s economy. As a percentage of GDP, the stock of foreign investment has grown from 129% in 2003 to 181% in 2023.</w:t>
      </w:r>
    </w:p>
    <w:p w14:paraId="385517A7" w14:textId="19763CA8" w:rsidR="003259B5" w:rsidRDefault="003259B5" w:rsidP="003259B5">
      <w:pPr>
        <w:pStyle w:val="Caption"/>
      </w:pPr>
      <w:bookmarkStart w:id="148" w:name="_Toc178256531"/>
      <w:r w:rsidRPr="002322B7">
        <w:t xml:space="preserve">Figure </w:t>
      </w:r>
      <w:r w:rsidR="00CF16FA">
        <w:fldChar w:fldCharType="begin"/>
      </w:r>
      <w:r w:rsidR="00CF16FA">
        <w:instrText xml:space="preserve"> SEQ Figure \* ARABIC </w:instrText>
      </w:r>
      <w:r w:rsidR="00CF16FA">
        <w:fldChar w:fldCharType="separate"/>
      </w:r>
      <w:r w:rsidR="002459CF">
        <w:rPr>
          <w:noProof/>
        </w:rPr>
        <w:t>32</w:t>
      </w:r>
      <w:r w:rsidR="00CF16FA">
        <w:rPr>
          <w:noProof/>
        </w:rPr>
        <w:fldChar w:fldCharType="end"/>
      </w:r>
      <w:r w:rsidRPr="002322B7">
        <w:t xml:space="preserve"> – Total foreign investment stock in Australia, 2003 to 2023</w:t>
      </w:r>
      <w:bookmarkEnd w:id="148"/>
    </w:p>
    <w:p w14:paraId="148BE1CD" w14:textId="04A07A57" w:rsidR="001450CE" w:rsidRDefault="001450CE" w:rsidP="001450CE">
      <w:r>
        <w:rPr>
          <w:noProof/>
        </w:rPr>
        <w:drawing>
          <wp:inline distT="0" distB="0" distL="0" distR="0" wp14:anchorId="1B821D9F" wp14:editId="2D8BB9C3">
            <wp:extent cx="6336030" cy="4305300"/>
            <wp:effectExtent l="0" t="0" r="7620" b="0"/>
            <wp:docPr id="526232953" name="Picture 42" descr="The graph plots the foreign investment stock in Australia by type (direct and other) from the 2003 to 2023, expressed in billions of Australian dollars. The information is as follows: In 2003, A$317 billion for direct investment, A$753 billion of other, given a total of $1069 billion. The total represents 129% of GDP. In 2004, A$401 billion for direct investment, A$835 billion of other, given a total of $1236 billion. The total represents 138% of GDP. In 2005, A$370 billion for direct investment, A$968 billion of other, given a total of $1338 billion. The total represents 139% of GDP. In 2006, A$420 billion for direct investment, A$1174 billion of other, given a total of $1594 billion. The total represents 153% of GDP. In 2007, A$486 billion for direct investment, A$1314 billion of other, given a total of $1800 billion. The total represents 159% of GDP. In 2008, A$490 billion for direct investment, A$1388 billion of other, given a total of $1878 billion. The total represents 152% of GDP. In 2009, A$525 billion for direct investment, A$1472 billion of other, given a total of $1998 billion. The total represents 158% of GDP. In 2010, A$552 billion for direct investment, A$1517 billion of other, given a total of $2069 billion. The total represents 152% of GDP. In 2011, A$586 billion for direct investment, A$1568 billion of other, given a total of $2154 billion. The total represents 147% of GDP. In 2012, A$629 billion for direct investment, A$1690 billion of other, given a total of $2319 billion. The total represents 153% of GDP. In 2013, A$680 billion for direct investment, A$1918 billion of other, given a total of $2598 billion. The total represents 165% of GDP. In 2014, A$754 billion for direct investment, A$2143 billion of other, given a total of $2897 billion. The total represents 179% of GDP. In 2015, A$843 billion for direct investment, A$2335 billion of other, given a total of $3178 billion. The total represents 194% of GDP. In 2016, A$905 billion for direct investment, A$2445 billion of other, given a total of $3350 billion. The total represents 197% of GDP. In 2017, A$960 billion for direct investment, A$2512 billion of other, given a total of $3472 billion. The total represents 193% of GDP. In 2018, A$1046 billion for direct investment, A$2638 billion of other, given a total of $3684 billion. The total represents 194% of GDP. In 2019, A$1091 billion for direct investment, A$2907 billion of other, given a total of $3998 billion. The total represents 200% of GDP. In 2020, A$1074 billion for direct investment, A$3039 billion of other, given a total of $4113 billion. The total represents 208% of GDP. In 2021, A$1115 billion for direct investment, A$3108 billion of other, given a total of $4223 billion. The total represents 192% of GDP. In 2022, A$1215 billion for direct investment, A$3450 billion of other, given a total of $4665 billion. The total represents 188% of GDP. In 2023, A$1251 billion for direct investment, A$3479 billion of other, given a total of $4730 billion. The total represents 181% of GD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32953" name="Picture 42" descr="The graph plots the foreign investment stock in Australia by type (direct and other) from the 2003 to 2023, expressed in billions of Australian dollars. The information is as follows: In 2003, A$317 billion for direct investment, A$753 billion of other, given a total of $1069 billion. The total represents 129% of GDP. In 2004, A$401 billion for direct investment, A$835 billion of other, given a total of $1236 billion. The total represents 138% of GDP. In 2005, A$370 billion for direct investment, A$968 billion of other, given a total of $1338 billion. The total represents 139% of GDP. In 2006, A$420 billion for direct investment, A$1174 billion of other, given a total of $1594 billion. The total represents 153% of GDP. In 2007, A$486 billion for direct investment, A$1314 billion of other, given a total of $1800 billion. The total represents 159% of GDP. In 2008, A$490 billion for direct investment, A$1388 billion of other, given a total of $1878 billion. The total represents 152% of GDP. In 2009, A$525 billion for direct investment, A$1472 billion of other, given a total of $1998 billion. The total represents 158% of GDP. In 2010, A$552 billion for direct investment, A$1517 billion of other, given a total of $2069 billion. The total represents 152% of GDP. In 2011, A$586 billion for direct investment, A$1568 billion of other, given a total of $2154 billion. The total represents 147% of GDP. In 2012, A$629 billion for direct investment, A$1690 billion of other, given a total of $2319 billion. The total represents 153% of GDP. In 2013, A$680 billion for direct investment, A$1918 billion of other, given a total of $2598 billion. The total represents 165% of GDP. In 2014, A$754 billion for direct investment, A$2143 billion of other, given a total of $2897 billion. The total represents 179% of GDP. In 2015, A$843 billion for direct investment, A$2335 billion of other, given a total of $3178 billion. The total represents 194% of GDP. In 2016, A$905 billion for direct investment, A$2445 billion of other, given a total of $3350 billion. The total represents 197% of GDP. In 2017, A$960 billion for direct investment, A$2512 billion of other, given a total of $3472 billion. The total represents 193% of GDP. In 2018, A$1046 billion for direct investment, A$2638 billion of other, given a total of $3684 billion. The total represents 194% of GDP. In 2019, A$1091 billion for direct investment, A$2907 billion of other, given a total of $3998 billion. The total represents 200% of GDP. In 2020, A$1074 billion for direct investment, A$3039 billion of other, given a total of $4113 billion. The total represents 208% of GDP. In 2021, A$1115 billion for direct investment, A$3108 billion of other, given a total of $4223 billion. The total represents 192% of GDP. In 2022, A$1215 billion for direct investment, A$3450 billion of other, given a total of $4665 billion. The total represents 188% of GDP. In 2023, A$1251 billion for direct investment, A$3479 billion of other, given a total of $4730 billion. The total represents 181% of GDP. "/>
                    <pic:cNvPicPr/>
                  </pic:nvPicPr>
                  <pic:blipFill rotWithShape="1">
                    <a:blip r:embed="rId49" cstate="hqprint">
                      <a:extLst>
                        <a:ext uri="{28A0092B-C50C-407E-A947-70E740481C1C}">
                          <a14:useLocalDpi xmlns:a14="http://schemas.microsoft.com/office/drawing/2010/main"/>
                        </a:ext>
                      </a:extLst>
                    </a:blip>
                    <a:srcRect/>
                    <a:stretch/>
                  </pic:blipFill>
                  <pic:spPr bwMode="auto">
                    <a:xfrm>
                      <a:off x="0" y="0"/>
                      <a:ext cx="6336030" cy="4305300"/>
                    </a:xfrm>
                    <a:prstGeom prst="rect">
                      <a:avLst/>
                    </a:prstGeom>
                    <a:ln>
                      <a:noFill/>
                    </a:ln>
                    <a:extLst>
                      <a:ext uri="{53640926-AAD7-44D8-BBD7-CCE9431645EC}">
                        <a14:shadowObscured xmlns:a14="http://schemas.microsoft.com/office/drawing/2010/main"/>
                      </a:ext>
                    </a:extLst>
                  </pic:spPr>
                </pic:pic>
              </a:graphicData>
            </a:graphic>
          </wp:inline>
        </w:drawing>
      </w:r>
    </w:p>
    <w:p w14:paraId="4A51D9E7" w14:textId="00BCA0A8" w:rsidR="003259B5" w:rsidRPr="002322B7" w:rsidRDefault="003259B5" w:rsidP="003259B5">
      <w:pPr>
        <w:pStyle w:val="Sourcesandnotes"/>
      </w:pPr>
      <w:r w:rsidRPr="002322B7">
        <w:rPr>
          <w:b/>
          <w:bCs/>
        </w:rPr>
        <w:t>Note: 1.</w:t>
      </w:r>
      <w:r w:rsidRPr="002322B7">
        <w:t xml:space="preserve"> Other investment is the balance of total investment less direct investment. As such, it represents portfolio investment, financial derivatives and other investment categories from Australian Bureau of Statistics (ABS) source data. </w:t>
      </w:r>
    </w:p>
    <w:p w14:paraId="4121494F" w14:textId="77777777" w:rsidR="003259B5" w:rsidRPr="002322B7" w:rsidRDefault="003259B5" w:rsidP="003259B5">
      <w:pPr>
        <w:pStyle w:val="Sourcesandnotes"/>
      </w:pPr>
      <w:r w:rsidRPr="002322B7">
        <w:rPr>
          <w:b/>
          <w:bCs/>
        </w:rPr>
        <w:t>Sources:</w:t>
      </w:r>
      <w:r w:rsidRPr="002322B7">
        <w:t xml:space="preserve"> ABS, 2024, Balance of payments, Table 15; ABS, 2024, Australian national accounts: national income, expenditure and product, Table 3; United Nations Conference on Trade and Development, 2024, Data Centre – Foreign direct investment: Inward and outward flows and stock, annual; Austrade. </w:t>
      </w:r>
    </w:p>
    <w:p w14:paraId="35064619" w14:textId="77777777" w:rsidR="003259B5" w:rsidRPr="002322B7" w:rsidRDefault="003259B5" w:rsidP="003259B5">
      <w:pPr>
        <w:pStyle w:val="Sourcesandnotes"/>
      </w:pPr>
    </w:p>
    <w:p w14:paraId="4CBC0439" w14:textId="77777777" w:rsidR="003259B5" w:rsidRPr="002322B7" w:rsidRDefault="003259B5" w:rsidP="003259B5">
      <w:pPr>
        <w:pStyle w:val="Heading-level2"/>
      </w:pPr>
      <w:bookmarkStart w:id="149" w:name="_Toc165017477"/>
      <w:bookmarkStart w:id="150" w:name="_Toc178256584"/>
      <w:r w:rsidRPr="002322B7">
        <w:lastRenderedPageBreak/>
        <w:t>Australia attracts investors from America, Europe and Asia</w:t>
      </w:r>
      <w:bookmarkEnd w:id="149"/>
      <w:bookmarkEnd w:id="150"/>
      <w:r w:rsidRPr="002322B7">
        <w:t xml:space="preserve"> </w:t>
      </w:r>
    </w:p>
    <w:p w14:paraId="63FAE20F" w14:textId="4EF4A3AF" w:rsidR="003259B5" w:rsidRPr="002322B7" w:rsidRDefault="003259B5" w:rsidP="003F1867">
      <w:pPr>
        <w:pStyle w:val="Body-copy"/>
        <w:rPr>
          <w:lang w:val="en-AU"/>
        </w:rPr>
      </w:pPr>
      <w:r w:rsidRPr="002322B7">
        <w:rPr>
          <w:lang w:val="en-AU"/>
        </w:rPr>
        <w:t>Investment in Australia arrives from around the world. Since 2013, FDI has risen by 17%</w:t>
      </w:r>
      <w:r w:rsidR="00AA58FA" w:rsidRPr="002322B7">
        <w:rPr>
          <w:lang w:val="en-AU"/>
        </w:rPr>
        <w:t xml:space="preserve"> per year</w:t>
      </w:r>
      <w:r w:rsidRPr="002322B7">
        <w:rPr>
          <w:lang w:val="en-AU"/>
        </w:rPr>
        <w:t xml:space="preserve"> from Canada, 8%</w:t>
      </w:r>
      <w:r w:rsidR="00AA58FA" w:rsidRPr="002322B7">
        <w:rPr>
          <w:lang w:val="en-AU"/>
        </w:rPr>
        <w:t xml:space="preserve"> per year</w:t>
      </w:r>
      <w:r w:rsidRPr="002322B7">
        <w:rPr>
          <w:lang w:val="en-AU"/>
        </w:rPr>
        <w:t xml:space="preserve"> from Japan, 7% </w:t>
      </w:r>
      <w:r w:rsidR="00AA58FA" w:rsidRPr="002322B7">
        <w:rPr>
          <w:lang w:val="en-AU"/>
        </w:rPr>
        <w:t xml:space="preserve">per year </w:t>
      </w:r>
      <w:r w:rsidRPr="002322B7">
        <w:rPr>
          <w:lang w:val="en-AU"/>
        </w:rPr>
        <w:t xml:space="preserve">from China and 5% </w:t>
      </w:r>
      <w:r w:rsidR="00AA58FA" w:rsidRPr="002322B7">
        <w:rPr>
          <w:lang w:val="en-AU"/>
        </w:rPr>
        <w:t xml:space="preserve">per year </w:t>
      </w:r>
      <w:r w:rsidRPr="002322B7">
        <w:rPr>
          <w:lang w:val="en-AU"/>
        </w:rPr>
        <w:t xml:space="preserve">from Singapore. The US, </w:t>
      </w:r>
      <w:r w:rsidR="00054F33" w:rsidRPr="002322B7">
        <w:rPr>
          <w:lang w:val="en-AU"/>
        </w:rPr>
        <w:t xml:space="preserve">the </w:t>
      </w:r>
      <w:r w:rsidRPr="002322B7">
        <w:rPr>
          <w:lang w:val="en-AU"/>
        </w:rPr>
        <w:t xml:space="preserve">UK and Japan are Australia's leading investors, accounting for 18%, 13% and 12% of the total stock of FDI respectively. Investment from </w:t>
      </w:r>
      <w:r w:rsidR="000E2AB5">
        <w:rPr>
          <w:lang w:val="en-AU"/>
        </w:rPr>
        <w:t xml:space="preserve">other parts of </w:t>
      </w:r>
      <w:r w:rsidRPr="002322B7">
        <w:rPr>
          <w:lang w:val="en-AU"/>
        </w:rPr>
        <w:t>Asia is</w:t>
      </w:r>
      <w:r w:rsidR="00465CCD" w:rsidRPr="002322B7">
        <w:rPr>
          <w:lang w:val="en-AU"/>
        </w:rPr>
        <w:t xml:space="preserve"> also</w:t>
      </w:r>
      <w:r w:rsidRPr="002322B7">
        <w:rPr>
          <w:lang w:val="en-AU"/>
        </w:rPr>
        <w:t xml:space="preserve"> increasing</w:t>
      </w:r>
      <w:r w:rsidR="00AA58FA" w:rsidRPr="002322B7">
        <w:rPr>
          <w:lang w:val="en-AU"/>
        </w:rPr>
        <w:t>,</w:t>
      </w:r>
      <w:r w:rsidRPr="002322B7">
        <w:rPr>
          <w:lang w:val="en-AU"/>
        </w:rPr>
        <w:t xml:space="preserve"> with ASEAN countries boosting their investments in Australia by 5% per year since 2013. The total FDI stock from ASEAN members has now reached A$61 billion</w:t>
      </w:r>
      <w:r w:rsidR="001B69E0" w:rsidRPr="002322B7">
        <w:rPr>
          <w:lang w:val="en-AU"/>
        </w:rPr>
        <w:t xml:space="preserve">. As a bloc, ASEAN countries are now </w:t>
      </w:r>
      <w:r w:rsidRPr="002322B7">
        <w:rPr>
          <w:lang w:val="en-AU"/>
        </w:rPr>
        <w:t>the 5</w:t>
      </w:r>
      <w:r w:rsidRPr="002322B7">
        <w:rPr>
          <w:vertAlign w:val="superscript"/>
          <w:lang w:val="en-AU"/>
        </w:rPr>
        <w:t>th</w:t>
      </w:r>
      <w:r w:rsidR="001071DD" w:rsidRPr="002322B7">
        <w:rPr>
          <w:lang w:val="en-AU"/>
        </w:rPr>
        <w:t>-</w:t>
      </w:r>
      <w:r w:rsidRPr="002322B7">
        <w:rPr>
          <w:lang w:val="en-AU"/>
        </w:rPr>
        <w:t>largest source of FDI in Australia, led by Singapore and Malaysia.</w:t>
      </w:r>
    </w:p>
    <w:p w14:paraId="2ABF541C" w14:textId="2DE7ECA6" w:rsidR="003259B5" w:rsidRDefault="003259B5" w:rsidP="003259B5">
      <w:pPr>
        <w:pStyle w:val="Caption"/>
      </w:pPr>
      <w:bookmarkStart w:id="151" w:name="_Toc164873540"/>
      <w:bookmarkStart w:id="152" w:name="_Toc178256532"/>
      <w:r w:rsidRPr="002322B7">
        <w:t xml:space="preserve">Figure </w:t>
      </w:r>
      <w:r w:rsidR="00CF16FA">
        <w:fldChar w:fldCharType="begin"/>
      </w:r>
      <w:r w:rsidR="00CF16FA">
        <w:instrText xml:space="preserve"> SEQ Figure \* ARABIC </w:instrText>
      </w:r>
      <w:r w:rsidR="00CF16FA">
        <w:fldChar w:fldCharType="separate"/>
      </w:r>
      <w:r w:rsidR="002459CF">
        <w:rPr>
          <w:noProof/>
        </w:rPr>
        <w:t>33</w:t>
      </w:r>
      <w:r w:rsidR="00CF16FA">
        <w:rPr>
          <w:noProof/>
        </w:rPr>
        <w:fldChar w:fldCharType="end"/>
      </w:r>
      <w:r w:rsidRPr="002322B7">
        <w:t xml:space="preserve"> – Australia's main sources of foreign direct investment stock, 2013–202</w:t>
      </w:r>
      <w:bookmarkEnd w:id="151"/>
      <w:r w:rsidRPr="002322B7">
        <w:t>3</w:t>
      </w:r>
      <w:bookmarkEnd w:id="152"/>
    </w:p>
    <w:p w14:paraId="38C43F8B" w14:textId="78220DA2" w:rsidR="00C54E2B" w:rsidRPr="00C54E2B" w:rsidRDefault="00C54E2B" w:rsidP="00C54E2B">
      <w:r>
        <w:rPr>
          <w:noProof/>
        </w:rPr>
        <w:drawing>
          <wp:inline distT="0" distB="0" distL="0" distR="0" wp14:anchorId="7FF71CF7" wp14:editId="2D9AFA94">
            <wp:extent cx="6300000" cy="4700566"/>
            <wp:effectExtent l="0" t="0" r="5715" b="5080"/>
            <wp:docPr id="1689657651" name="Picture 43" descr="The table shows Australia’s main sources of foreign direct investment stock.&#10;The information in the table is: 1) US $152 billion in 2013, $187 billion in 2022, $210 billion in 2023, 17.8% share in 2021, 12.5% change 2020 - 2021, 3.3% CAGR 2011-2021, 8% of GDP in 2021. 2) UK $79 billion in 2013, $136 billion in 2022, $150 billion in 2023, 12.7% share in 2021, 10.5% change 2020 - 2021, 6.6% CAGR 2011-2021, 5.7% of GDP in 2021. 3) Japan $68 billion in 2013, $134 billion in 2022, $141 billion in 2023, 11.9% share in 2021, 5.5% change 2020 - 2021, 7.6% CAGR 2011-2021, 5.4% of GDP in 2021. 4) Canada $17 billion in 2013, $83 billion in 2022, $82 billion in 2023, 6.9% share in 2021, -1.6% change 2020 - 2021, 17% CAGR 2011-2021, 3.1% of GDP in 2021. 5) China $23 billion in 2013, $47 billion in 2022, $47 billion in 2023, 3.9% share in 2021, -0.5% change 2020 - 2021, 7.1% CAGR 2011-2021, 1.8% of GDP in 2021. 6) Netherlands $30 billion in 2013, $60 billion in 2022, $46 billion in 2023, 3.9% share in 2021, -23.5% change 2020 - 2021, 4.4% CAGR 2011-2021, 1.7% of GDP in 2021. 7) Bermuda $10 billion in 2013, $46 billion in 2022, $45 billion in 2023, 3.9% share in 2021, -0.6% change 2020 - 2021, 16.3% CAGR 2011-2021, 1.7% of GDP in 2021. 8) Singapore $23 billion in 2013, $40 billion in 2022, $39 billion in 2023, 3.3% share in 2021, -1.8% change 2020 - 2021, 5.4% CAGR 2011-2021, 1.5% of GDP in 2021. 9) Germany $13 billion in 2013, $21 billion in 2022, $22 billion in 2023, 1.8% share in 2021, 2.6% change 2020 - 2021, 4.9% CAGR 2011-2021, 0.8% of GDP in 2021. 10) Virgin Islands, British value not presented, $22 billion in 2022, $22 billion in 2023, 1.8% share in 2021, -0.5% change 2020 - 2021, value not presented, 0.8% of GDP in 2021. 11) Hong Kong SAR $8 billion in 2013, $18 billion in 2022, $17 billion in 2023, 1.4% share in 2021, -5.8% change 2020 - 2021, 7.6% CAGR 2011-2021, 0.6% of GDP in 2021. 12) Malaysia $9 billion in 2013, $13 billion in 2022, $15 billion in 2023, 1.3% share in 2021, 14% change 2020 - 2021, 5.1% CAGR 2011-2021, 0.6% of GDP in 2021. 13) France $6 billion in 2013, $12 billion in 2022, $14 billion in 2023, 1.2% share in 2021, 21.2% change 2020 - 2021, 10.1% CAGR 2011-2021, 0.6% of GDP in 2021. 14) Switzerland $19 billion in 2013, $14 billion in 2022, $14 billion in 2023, 1.2% share in 2021, -0.6% change 2020 - 2021, -3% CAGR 2011-2021, 0.5% of GDP in 2021. 15) Sweden $1 billion in 2013, $7 billion in 2022, $8 billion in 2023, 0.7% share in 2021, 7.3% change 2020 - 2021, 19.1% CAGR 2011-2021, 0.3% of GDP in 2021. 16) Ireland $0 billion in 2013, $8 billion in 2022, $8 billion in 2023, 0.6% share in 2021, -8.1% change 2020 - 2021, 35.3% CAGR 2011-2021, 0.3% of GDP in 2021. Other economies $183 billion in 2013, $300 billion in 2022, $302 billion in 2023, 25.6% share in 2021, 0.7% change 2020 - 2021, 5.1% CAGR 2011-2021, 11.5% of GDP in 2021. FDI stock – all economies $643 billion in 2013, $1147 billion in 2022, $1180 billion in 2023, 100% share in 2021, 3% change 2020 - 2021, 6.3% CAGR 2011-2021, 45% of GDP in 2021. OECD $413 billion in 2013, $700 billion in 2022, $732 billion in 2023, 62% share in 2021, 4.5% change 2020 - 2021, 5.9% CAGR 2011-2021, 27.9% of GDP in 2021. APEC $312 billion in 2013, $542 billion in 2022, $571 billion in 2023, 48.4% share in 2021, 5.3% change 2020 - 2021, 6.2% CAGR 2011-2021, 21.8% of GDP in 2021. EU (excl. UK) $69 billion in 2013, $132 billion in 2022, $121 billion in 2023, 10.2% share in 2021, -8.8% change 2020 - 2021, 5.7% CAGR 2011-2021, 4.6% of GDP in 2021. ASEAN $37 billion in 2013, $59 billion in 2022, $61 billion in 2023, 5.1% share in 2021, 2.3% change 2020 - 2021, 5% CAGR 2011-2021, 2.3% of GDP in 2021. FDI stock as a percentage of GDP 40.9%in 2013, 46.2% in 2022, and 45.0% in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57651" name="Picture 43" descr="The table shows Australia’s main sources of foreign direct investment stock.&#10;The information in the table is: 1) US $152 billion in 2013, $187 billion in 2022, $210 billion in 2023, 17.8% share in 2021, 12.5% change 2020 - 2021, 3.3% CAGR 2011-2021, 8% of GDP in 2021. 2) UK $79 billion in 2013, $136 billion in 2022, $150 billion in 2023, 12.7% share in 2021, 10.5% change 2020 - 2021, 6.6% CAGR 2011-2021, 5.7% of GDP in 2021. 3) Japan $68 billion in 2013, $134 billion in 2022, $141 billion in 2023, 11.9% share in 2021, 5.5% change 2020 - 2021, 7.6% CAGR 2011-2021, 5.4% of GDP in 2021. 4) Canada $17 billion in 2013, $83 billion in 2022, $82 billion in 2023, 6.9% share in 2021, -1.6% change 2020 - 2021, 17% CAGR 2011-2021, 3.1% of GDP in 2021. 5) China $23 billion in 2013, $47 billion in 2022, $47 billion in 2023, 3.9% share in 2021, -0.5% change 2020 - 2021, 7.1% CAGR 2011-2021, 1.8% of GDP in 2021. 6) Netherlands $30 billion in 2013, $60 billion in 2022, $46 billion in 2023, 3.9% share in 2021, -23.5% change 2020 - 2021, 4.4% CAGR 2011-2021, 1.7% of GDP in 2021. 7) Bermuda $10 billion in 2013, $46 billion in 2022, $45 billion in 2023, 3.9% share in 2021, -0.6% change 2020 - 2021, 16.3% CAGR 2011-2021, 1.7% of GDP in 2021. 8) Singapore $23 billion in 2013, $40 billion in 2022, $39 billion in 2023, 3.3% share in 2021, -1.8% change 2020 - 2021, 5.4% CAGR 2011-2021, 1.5% of GDP in 2021. 9) Germany $13 billion in 2013, $21 billion in 2022, $22 billion in 2023, 1.8% share in 2021, 2.6% change 2020 - 2021, 4.9% CAGR 2011-2021, 0.8% of GDP in 2021. 10) Virgin Islands, British value not presented, $22 billion in 2022, $22 billion in 2023, 1.8% share in 2021, -0.5% change 2020 - 2021, value not presented, 0.8% of GDP in 2021. 11) Hong Kong SAR $8 billion in 2013, $18 billion in 2022, $17 billion in 2023, 1.4% share in 2021, -5.8% change 2020 - 2021, 7.6% CAGR 2011-2021, 0.6% of GDP in 2021. 12) Malaysia $9 billion in 2013, $13 billion in 2022, $15 billion in 2023, 1.3% share in 2021, 14% change 2020 - 2021, 5.1% CAGR 2011-2021, 0.6% of GDP in 2021. 13) France $6 billion in 2013, $12 billion in 2022, $14 billion in 2023, 1.2% share in 2021, 21.2% change 2020 - 2021, 10.1% CAGR 2011-2021, 0.6% of GDP in 2021. 14) Switzerland $19 billion in 2013, $14 billion in 2022, $14 billion in 2023, 1.2% share in 2021, -0.6% change 2020 - 2021, -3% CAGR 2011-2021, 0.5% of GDP in 2021. 15) Sweden $1 billion in 2013, $7 billion in 2022, $8 billion in 2023, 0.7% share in 2021, 7.3% change 2020 - 2021, 19.1% CAGR 2011-2021, 0.3% of GDP in 2021. 16) Ireland $0 billion in 2013, $8 billion in 2022, $8 billion in 2023, 0.6% share in 2021, -8.1% change 2020 - 2021, 35.3% CAGR 2011-2021, 0.3% of GDP in 2021. Other economies $183 billion in 2013, $300 billion in 2022, $302 billion in 2023, 25.6% share in 2021, 0.7% change 2020 - 2021, 5.1% CAGR 2011-2021, 11.5% of GDP in 2021. FDI stock – all economies $643 billion in 2013, $1147 billion in 2022, $1180 billion in 2023, 100% share in 2021, 3% change 2020 - 2021, 6.3% CAGR 2011-2021, 45% of GDP in 2021. OECD $413 billion in 2013, $700 billion in 2022, $732 billion in 2023, 62% share in 2021, 4.5% change 2020 - 2021, 5.9% CAGR 2011-2021, 27.9% of GDP in 2021. APEC $312 billion in 2013, $542 billion in 2022, $571 billion in 2023, 48.4% share in 2021, 5.3% change 2020 - 2021, 6.2% CAGR 2011-2021, 21.8% of GDP in 2021. EU (excl. UK) $69 billion in 2013, $132 billion in 2022, $121 billion in 2023, 10.2% share in 2021, -8.8% change 2020 - 2021, 5.7% CAGR 2011-2021, 4.6% of GDP in 2021. ASEAN $37 billion in 2013, $59 billion in 2022, $61 billion in 2023, 5.1% share in 2021, 2.3% change 2020 - 2021, 5% CAGR 2011-2021, 2.3% of GDP in 2021. FDI stock as a percentage of GDP 40.9%in 2013, 46.2% in 2022, and 45.0% in 2023.&#10;"/>
                    <pic:cNvPicPr/>
                  </pic:nvPicPr>
                  <pic:blipFill rotWithShape="1">
                    <a:blip r:embed="rId50" cstate="hqprint">
                      <a:extLst>
                        <a:ext uri="{28A0092B-C50C-407E-A947-70E740481C1C}">
                          <a14:useLocalDpi xmlns:a14="http://schemas.microsoft.com/office/drawing/2010/main"/>
                        </a:ext>
                      </a:extLst>
                    </a:blip>
                    <a:srcRect/>
                    <a:stretch/>
                  </pic:blipFill>
                  <pic:spPr bwMode="auto">
                    <a:xfrm>
                      <a:off x="0" y="0"/>
                      <a:ext cx="6300000" cy="4700566"/>
                    </a:xfrm>
                    <a:prstGeom prst="rect">
                      <a:avLst/>
                    </a:prstGeom>
                    <a:ln>
                      <a:noFill/>
                    </a:ln>
                    <a:extLst>
                      <a:ext uri="{53640926-AAD7-44D8-BBD7-CCE9431645EC}">
                        <a14:shadowObscured xmlns:a14="http://schemas.microsoft.com/office/drawing/2010/main"/>
                      </a:ext>
                    </a:extLst>
                  </pic:spPr>
                </pic:pic>
              </a:graphicData>
            </a:graphic>
          </wp:inline>
        </w:drawing>
      </w:r>
    </w:p>
    <w:p w14:paraId="7180A015" w14:textId="77777777" w:rsidR="003259B5" w:rsidRPr="002322B7" w:rsidRDefault="003259B5" w:rsidP="003259B5">
      <w:pPr>
        <w:pStyle w:val="Sourcesandnotes"/>
      </w:pPr>
      <w:r w:rsidRPr="002322B7">
        <w:rPr>
          <w:b/>
          <w:bCs/>
        </w:rPr>
        <w:t>Notes: ASEAN =</w:t>
      </w:r>
      <w:r w:rsidRPr="002322B7">
        <w:t xml:space="preserve"> The Association of Southeast Asian Nations. </w:t>
      </w:r>
      <w:r w:rsidRPr="002322B7">
        <w:rPr>
          <w:b/>
          <w:bCs/>
        </w:rPr>
        <w:t>CAGR =</w:t>
      </w:r>
      <w:r w:rsidRPr="002322B7">
        <w:t xml:space="preserve"> compound annual growth rate. </w:t>
      </w:r>
      <w:r w:rsidRPr="002322B7">
        <w:rPr>
          <w:b/>
          <w:bCs/>
        </w:rPr>
        <w:t>SAR =</w:t>
      </w:r>
      <w:r w:rsidRPr="002322B7">
        <w:t xml:space="preserve"> Special administrative region of China. </w:t>
      </w:r>
    </w:p>
    <w:p w14:paraId="6E8A44DB" w14:textId="77777777" w:rsidR="003259B5" w:rsidRPr="002322B7" w:rsidRDefault="003259B5" w:rsidP="003259B5">
      <w:pPr>
        <w:pStyle w:val="Sourcesandnotes"/>
      </w:pPr>
      <w:r w:rsidRPr="002322B7">
        <w:rPr>
          <w:b/>
          <w:bCs/>
        </w:rPr>
        <w:t>Sources:</w:t>
      </w:r>
      <w:r w:rsidRPr="002322B7">
        <w:t xml:space="preserve"> Australian Bureau of Statistics (ABS), 2024, International Investment Position, Australia: Supplementary Statistics 2023, Table 2; ABS, 2024, Australian National Accounts: National Income, Expenditure and Product, Table 3; Austrade.</w:t>
      </w:r>
    </w:p>
    <w:p w14:paraId="557FDEF0" w14:textId="77777777" w:rsidR="001B7642" w:rsidRPr="002322B7" w:rsidRDefault="001B7642" w:rsidP="001B7642"/>
    <w:p w14:paraId="3654AF8B" w14:textId="77777777" w:rsidR="00F25F66" w:rsidRPr="002322B7" w:rsidRDefault="00F25F66" w:rsidP="00F25F66">
      <w:pPr>
        <w:pStyle w:val="Sourcesandnotes"/>
      </w:pPr>
    </w:p>
    <w:p w14:paraId="7FEA821A" w14:textId="77777777" w:rsidR="000E07C3" w:rsidRPr="002322B7" w:rsidRDefault="000E07C3" w:rsidP="000E07C3">
      <w:pPr>
        <w:pStyle w:val="Heading-level2"/>
      </w:pPr>
      <w:bookmarkStart w:id="153" w:name="_Toc165017480"/>
      <w:bookmarkStart w:id="154" w:name="_Toc178256585"/>
      <w:r w:rsidRPr="002322B7">
        <w:lastRenderedPageBreak/>
        <w:t xml:space="preserve">The trillion-dollar </w:t>
      </w:r>
      <w:bookmarkEnd w:id="153"/>
      <w:r w:rsidRPr="002322B7">
        <w:t>trading nation</w:t>
      </w:r>
      <w:bookmarkEnd w:id="154"/>
    </w:p>
    <w:p w14:paraId="628E0BDD" w14:textId="158757E6" w:rsidR="000E07C3" w:rsidRPr="002322B7" w:rsidRDefault="000E07C3" w:rsidP="003F1867">
      <w:pPr>
        <w:pStyle w:val="Body-copy"/>
        <w:rPr>
          <w:lang w:val="en-AU"/>
        </w:rPr>
      </w:pPr>
      <w:r w:rsidRPr="002322B7">
        <w:rPr>
          <w:lang w:val="en-AU"/>
        </w:rPr>
        <w:t>Australia has a globalised economy</w:t>
      </w:r>
      <w:r w:rsidR="00422E8A" w:rsidRPr="002322B7">
        <w:rPr>
          <w:lang w:val="en-AU"/>
        </w:rPr>
        <w:t xml:space="preserve">: </w:t>
      </w:r>
      <w:r w:rsidR="00054F33" w:rsidRPr="002322B7">
        <w:rPr>
          <w:lang w:val="en-AU"/>
        </w:rPr>
        <w:t xml:space="preserve">today, </w:t>
      </w:r>
      <w:r w:rsidR="00422E8A" w:rsidRPr="002322B7">
        <w:rPr>
          <w:lang w:val="en-AU"/>
        </w:rPr>
        <w:t xml:space="preserve">our </w:t>
      </w:r>
      <w:r w:rsidR="0025641E">
        <w:rPr>
          <w:lang w:val="en-AU"/>
        </w:rPr>
        <w:t>international</w:t>
      </w:r>
      <w:r w:rsidRPr="002322B7">
        <w:rPr>
          <w:lang w:val="en-AU"/>
        </w:rPr>
        <w:t xml:space="preserve"> trade </w:t>
      </w:r>
      <w:r w:rsidR="00422E8A" w:rsidRPr="002322B7">
        <w:rPr>
          <w:lang w:val="en-AU"/>
        </w:rPr>
        <w:t xml:space="preserve">is worth </w:t>
      </w:r>
      <w:r w:rsidRPr="002322B7">
        <w:rPr>
          <w:lang w:val="en-AU"/>
        </w:rPr>
        <w:t>a</w:t>
      </w:r>
      <w:r w:rsidR="00B40007" w:rsidRPr="002322B7">
        <w:rPr>
          <w:lang w:val="en-AU"/>
        </w:rPr>
        <w:t>lmost</w:t>
      </w:r>
      <w:r w:rsidRPr="002322B7">
        <w:rPr>
          <w:lang w:val="en-AU"/>
        </w:rPr>
        <w:t xml:space="preserve"> </w:t>
      </w:r>
      <w:r w:rsidR="00B40007" w:rsidRPr="002322B7">
        <w:rPr>
          <w:lang w:val="en-AU"/>
        </w:rPr>
        <w:t>half</w:t>
      </w:r>
      <w:r w:rsidRPr="002322B7">
        <w:rPr>
          <w:lang w:val="en-AU"/>
        </w:rPr>
        <w:t xml:space="preserve"> of Australia’s GDP. The Asia¹ and Oceania regions account for around three-quarters of Australia’s two-way trade in goods and services, and most regional trade benefits from bilateral and multilateral trade agreements. China accounts for 26% of Australia</w:t>
      </w:r>
      <w:r w:rsidR="004551D6" w:rsidRPr="002322B7">
        <w:rPr>
          <w:lang w:val="en-AU"/>
        </w:rPr>
        <w:t>’s</w:t>
      </w:r>
      <w:r w:rsidRPr="002322B7">
        <w:rPr>
          <w:lang w:val="en-AU"/>
        </w:rPr>
        <w:t xml:space="preserve"> bilateral trade, followed by Japan (12%), the US (8%) and Korea (6%), </w:t>
      </w:r>
      <w:r w:rsidR="00651754" w:rsidRPr="002322B7">
        <w:rPr>
          <w:lang w:val="en-AU"/>
        </w:rPr>
        <w:t>while</w:t>
      </w:r>
      <w:r w:rsidRPr="002322B7">
        <w:rPr>
          <w:lang w:val="en-AU"/>
        </w:rPr>
        <w:t xml:space="preserve"> 15% is with ASEAN countries. Australia </w:t>
      </w:r>
      <w:r w:rsidR="00A87EB6">
        <w:rPr>
          <w:lang w:val="en-AU"/>
        </w:rPr>
        <w:t>also</w:t>
      </w:r>
      <w:r w:rsidRPr="002322B7">
        <w:rPr>
          <w:lang w:val="en-AU"/>
        </w:rPr>
        <w:t xml:space="preserve"> nurtures trade relations with </w:t>
      </w:r>
      <w:r w:rsidR="000E2AB5">
        <w:rPr>
          <w:lang w:val="en-AU"/>
        </w:rPr>
        <w:t xml:space="preserve">other </w:t>
      </w:r>
      <w:r w:rsidRPr="002322B7">
        <w:rPr>
          <w:lang w:val="en-AU"/>
        </w:rPr>
        <w:t>traditional partners, with the EU and the UK representing 11% of our total trade.</w:t>
      </w:r>
    </w:p>
    <w:p w14:paraId="7E6A1731" w14:textId="256500DA" w:rsidR="000E07C3" w:rsidRDefault="000E07C3" w:rsidP="000E07C3">
      <w:pPr>
        <w:pStyle w:val="Caption"/>
      </w:pPr>
      <w:bookmarkStart w:id="155" w:name="_Toc164873543"/>
      <w:bookmarkStart w:id="156" w:name="_Toc178256533"/>
      <w:r w:rsidRPr="002322B7">
        <w:t xml:space="preserve">Figure </w:t>
      </w:r>
      <w:r w:rsidR="00CF16FA">
        <w:fldChar w:fldCharType="begin"/>
      </w:r>
      <w:r w:rsidR="00CF16FA">
        <w:instrText xml:space="preserve"> SEQ Figure \* ARABIC </w:instrText>
      </w:r>
      <w:r w:rsidR="00CF16FA">
        <w:fldChar w:fldCharType="separate"/>
      </w:r>
      <w:r w:rsidR="002459CF">
        <w:rPr>
          <w:noProof/>
        </w:rPr>
        <w:t>34</w:t>
      </w:r>
      <w:r w:rsidR="00CF16FA">
        <w:rPr>
          <w:noProof/>
        </w:rPr>
        <w:fldChar w:fldCharType="end"/>
      </w:r>
      <w:r w:rsidRPr="002322B7">
        <w:t xml:space="preserve"> – Australia’s exports and imports of goods and services</w:t>
      </w:r>
      <w:bookmarkEnd w:id="155"/>
      <w:bookmarkEnd w:id="156"/>
    </w:p>
    <w:p w14:paraId="1ED7AD50" w14:textId="136FB821" w:rsidR="00C54E2B" w:rsidRDefault="00C54E2B" w:rsidP="00C54E2B">
      <w:r>
        <w:rPr>
          <w:noProof/>
        </w:rPr>
        <w:drawing>
          <wp:inline distT="0" distB="0" distL="0" distR="0" wp14:anchorId="3FF78110" wp14:editId="19A016E4">
            <wp:extent cx="6300000" cy="4645759"/>
            <wp:effectExtent l="0" t="0" r="5715" b="2540"/>
            <wp:docPr id="1532709992" name="Picture 44" descr="The table show Australian exports and imports of goods and services by economy (or market). The information in the table is:1) China A$267 billion in 2020-21, A$283.4 billion in 2021-22, A$316.9 billion in 2022-23, represented 12.4% of GDP, represented 25.7% of total trade in 2022-23, grew at 10.2% 5-year CAGR.  2) Japan A$67 billion in 2020-21, A$117.3 billion in 2021-22, A$143.4 billion in 2022-23, represented 5.6% of GDP, represented 11.6% of total trade in 2022-23, grew at 13.1% 5-year CAGR.  3) US A$67.8 billion in 2020-21, A$76.4 billion in 2021-22, A$94.6 billion in 2022-23, represented 3.7% of GDP, represented 7.7% of total trade in 2022-23, grew at 6.3% 5-year CAGR.  4) Korea A$39.4 billion in 2020-21, A$68.6 billion in 2021-22, A$77.6 billion in 2022-23, represented 3% of GDP, represented 6.3% of total trade in 2022-23, grew at 8.2% 5-year CAGR.  5) Singapore A$28.6 billion in 2020-21, A$46.5 billion in 2021-22, A$50.9 billion in 2022-23, represented 2% of GDP, represented 4.1% of total trade in 2022-23, grew at 12.8% 5-year CAGR.  6) India A$27.1 billion in 2020-21, A$46.5 billion in 2021-22, A$45 billion in 2022-23, represented 1.8% of GDP, represented 3.6% of total trade in 2022-23, grew at 9.1% 5-year CAGR.  7) Taiwan A$17.1 billion in 2020-21, A$33.9 billion in 2021-22, A$41.5 billion in 2022-23, represented 1.6% of GDP, represented 3.4% of total trade in 2022-23, grew at 21.1% 5-year CAGR.  8) Malaysia A$21.2 billion in 2020-21, A$26.8 billion in 2021-22, A$35.3 billion in 2022-23, represented 1.4% of GDP, represented 2.9% of total trade in 2022-23, grew at 10.5% 5-year CAGR.  9) Germany A$23.7 billion in 2020-21, A$25.5 billion in 2021-22, A$34.3 billion in 2022-23, represented 1.3% of GDP, represented 2.8% of total trade in 2022-23, grew at 4% 5-year CAGR.  10) New Zealand A$20.9 billion in 2020-21, A$24.6 billion in 2021-22, A$30.8 billion in 2022-23, represented 1.2% of GDP, represented 2.5% of total trade in 2022-23, grew at 4.6% 5-year CAGR.  11) Thailand A$22.2 billion in 2020-21, A$26.4 billion in 2021-22, A$28.9 billion in 2022-23, represented 1.1% of GDP, represented 2.3% of total trade in 2022-23, grew at 5% 5-year CAGR.  12) Vietnam A$28.8 billion in 2020-21, A$22.2 billion in 2021-22, A$28.7 billion in 2022-23, represented 1.1% of GDP, represented 2.3% of total trade in 2022-23, grew at 0.6% 5-year CAGR.  13) UK A$14.1 billion in 2020-21, A$18.4 billion in 2021-22, A$26.2 billion in 2022-23, represented 1% of GDP, represented 2.1% of total trade in 2022-23, grew at 9.6% 5-year CAGR.  14) Indonesia A$15.8 billion in 2020-21, A$22 billion in 2021-22, A$25.7 billion in 2022-23, represented 1% of GDP, represented 2.1% of total trade in 2022-23, grew at 14.1% 5-year CAGR.  15) Hong Kong SAR A$11.2 billion in 2020-21, A$14 billion in 2021-22, A$13.5 billion in 2022-23, represented 0.5% of GDP, represented 1.1% of total trade in 2022-23, grew at -6.3% 5-year CAGR.  Other economies A$157.7 billion in 2020-21, A$200.6 billion in 2021-22, A$240.4 billion in 2022-23, represented 9.4% of GDP, represented 19.5% of total trade in 2022-23, grew at 8.6% 5-year CAGR.  Total all economies1 A$829.3 billion in 2020-21, A$1053.1 billion in 2021-22, A$1233.6 billion in 2022-23, represented 48.1% of GDP, represented 100% of total trade in 2022-23, grew at 9.1% 5-year CAGR.  APEC² A$618.2 billion in 2020-21, A$788.5 billion in 2021-22, A$928.7 billion in 2022-23, represented 36.2% of GDP, represented 75.3% of total trade in 2022-23, grew at 9.6% 5-year CAGR.  RCEP³ A$506.1 billion in 2020-21, A$645.5 billion in 2021-22, A$757.4 billion in 2022-23, represented 29.5% of GDP, represented 61.4% of total trade in 2022-23, grew at 10.3% 5-year CAGR.  ASEAN⁴ A$109.1 billion in 2020-21, A$150.6 billion in 2021-22, A$185.2 billion in 2022-23, represented 7.2% of GDP, represented 15% of total trade in 2022-23, grew at 11% 5-year CAGR.  EU plus UK A$106.7 billion in 2020-21, A$119 billion in 2021-22, A$137.2 billion in 2022-23, represented 5.4% of GDP, represented 11.1% of total trade in 2022-23, grew at 5.2% 5-year CAG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09992" name="Picture 44" descr="The table show Australian exports and imports of goods and services by economy (or market). The information in the table is:1) China A$267 billion in 2020-21, A$283.4 billion in 2021-22, A$316.9 billion in 2022-23, represented 12.4% of GDP, represented 25.7% of total trade in 2022-23, grew at 10.2% 5-year CAGR.  2) Japan A$67 billion in 2020-21, A$117.3 billion in 2021-22, A$143.4 billion in 2022-23, represented 5.6% of GDP, represented 11.6% of total trade in 2022-23, grew at 13.1% 5-year CAGR.  3) US A$67.8 billion in 2020-21, A$76.4 billion in 2021-22, A$94.6 billion in 2022-23, represented 3.7% of GDP, represented 7.7% of total trade in 2022-23, grew at 6.3% 5-year CAGR.  4) Korea A$39.4 billion in 2020-21, A$68.6 billion in 2021-22, A$77.6 billion in 2022-23, represented 3% of GDP, represented 6.3% of total trade in 2022-23, grew at 8.2% 5-year CAGR.  5) Singapore A$28.6 billion in 2020-21, A$46.5 billion in 2021-22, A$50.9 billion in 2022-23, represented 2% of GDP, represented 4.1% of total trade in 2022-23, grew at 12.8% 5-year CAGR.  6) India A$27.1 billion in 2020-21, A$46.5 billion in 2021-22, A$45 billion in 2022-23, represented 1.8% of GDP, represented 3.6% of total trade in 2022-23, grew at 9.1% 5-year CAGR.  7) Taiwan A$17.1 billion in 2020-21, A$33.9 billion in 2021-22, A$41.5 billion in 2022-23, represented 1.6% of GDP, represented 3.4% of total trade in 2022-23, grew at 21.1% 5-year CAGR.  8) Malaysia A$21.2 billion in 2020-21, A$26.8 billion in 2021-22, A$35.3 billion in 2022-23, represented 1.4% of GDP, represented 2.9% of total trade in 2022-23, grew at 10.5% 5-year CAGR.  9) Germany A$23.7 billion in 2020-21, A$25.5 billion in 2021-22, A$34.3 billion in 2022-23, represented 1.3% of GDP, represented 2.8% of total trade in 2022-23, grew at 4% 5-year CAGR.  10) New Zealand A$20.9 billion in 2020-21, A$24.6 billion in 2021-22, A$30.8 billion in 2022-23, represented 1.2% of GDP, represented 2.5% of total trade in 2022-23, grew at 4.6% 5-year CAGR.  11) Thailand A$22.2 billion in 2020-21, A$26.4 billion in 2021-22, A$28.9 billion in 2022-23, represented 1.1% of GDP, represented 2.3% of total trade in 2022-23, grew at 5% 5-year CAGR.  12) Vietnam A$28.8 billion in 2020-21, A$22.2 billion in 2021-22, A$28.7 billion in 2022-23, represented 1.1% of GDP, represented 2.3% of total trade in 2022-23, grew at 0.6% 5-year CAGR.  13) UK A$14.1 billion in 2020-21, A$18.4 billion in 2021-22, A$26.2 billion in 2022-23, represented 1% of GDP, represented 2.1% of total trade in 2022-23, grew at 9.6% 5-year CAGR.  14) Indonesia A$15.8 billion in 2020-21, A$22 billion in 2021-22, A$25.7 billion in 2022-23, represented 1% of GDP, represented 2.1% of total trade in 2022-23, grew at 14.1% 5-year CAGR.  15) Hong Kong SAR A$11.2 billion in 2020-21, A$14 billion in 2021-22, A$13.5 billion in 2022-23, represented 0.5% of GDP, represented 1.1% of total trade in 2022-23, grew at -6.3% 5-year CAGR.  Other economies A$157.7 billion in 2020-21, A$200.6 billion in 2021-22, A$240.4 billion in 2022-23, represented 9.4% of GDP, represented 19.5% of total trade in 2022-23, grew at 8.6% 5-year CAGR.  Total all economies1 A$829.3 billion in 2020-21, A$1053.1 billion in 2021-22, A$1233.6 billion in 2022-23, represented 48.1% of GDP, represented 100% of total trade in 2022-23, grew at 9.1% 5-year CAGR.  APEC² A$618.2 billion in 2020-21, A$788.5 billion in 2021-22, A$928.7 billion in 2022-23, represented 36.2% of GDP, represented 75.3% of total trade in 2022-23, grew at 9.6% 5-year CAGR.  RCEP³ A$506.1 billion in 2020-21, A$645.5 billion in 2021-22, A$757.4 billion in 2022-23, represented 29.5% of GDP, represented 61.4% of total trade in 2022-23, grew at 10.3% 5-year CAGR.  ASEAN⁴ A$109.1 billion in 2020-21, A$150.6 billion in 2021-22, A$185.2 billion in 2022-23, represented 7.2% of GDP, represented 15% of total trade in 2022-23, grew at 11% 5-year CAGR.  EU plus UK A$106.7 billion in 2020-21, A$119 billion in 2021-22, A$137.2 billion in 2022-23, represented 5.4% of GDP, represented 11.1% of total trade in 2022-23, grew at 5.2% 5-year CAGR. "/>
                    <pic:cNvPicPr/>
                  </pic:nvPicPr>
                  <pic:blipFill rotWithShape="1">
                    <a:blip r:embed="rId51" cstate="hqprint">
                      <a:extLst>
                        <a:ext uri="{28A0092B-C50C-407E-A947-70E740481C1C}">
                          <a14:useLocalDpi xmlns:a14="http://schemas.microsoft.com/office/drawing/2010/main"/>
                        </a:ext>
                      </a:extLst>
                    </a:blip>
                    <a:srcRect/>
                    <a:stretch/>
                  </pic:blipFill>
                  <pic:spPr bwMode="auto">
                    <a:xfrm>
                      <a:off x="0" y="0"/>
                      <a:ext cx="6300000" cy="4645759"/>
                    </a:xfrm>
                    <a:prstGeom prst="rect">
                      <a:avLst/>
                    </a:prstGeom>
                    <a:ln>
                      <a:noFill/>
                    </a:ln>
                    <a:extLst>
                      <a:ext uri="{53640926-AAD7-44D8-BBD7-CCE9431645EC}">
                        <a14:shadowObscured xmlns:a14="http://schemas.microsoft.com/office/drawing/2010/main"/>
                      </a:ext>
                    </a:extLst>
                  </pic:spPr>
                </pic:pic>
              </a:graphicData>
            </a:graphic>
          </wp:inline>
        </w:drawing>
      </w:r>
    </w:p>
    <w:p w14:paraId="31133E5B" w14:textId="2AF5D0A4" w:rsidR="000E07C3" w:rsidRPr="002322B7" w:rsidRDefault="000E07C3" w:rsidP="000E07C3">
      <w:pPr>
        <w:pStyle w:val="Sourcesandnotes"/>
      </w:pPr>
      <w:r w:rsidRPr="002322B7">
        <w:rPr>
          <w:b/>
          <w:bCs/>
        </w:rPr>
        <w:t xml:space="preserve">Notes: 1. </w:t>
      </w:r>
      <w:r w:rsidRPr="002322B7">
        <w:t xml:space="preserve">The region includes the Middle East region as defined by Australia’s Department for Foreign Affairs and Trade (DFAT). For more information visit their website (www.dfat.gov.au/trade/resources/trade-statistics/Pages/trade-time-series-data). </w:t>
      </w:r>
      <w:r w:rsidRPr="002322B7">
        <w:rPr>
          <w:b/>
          <w:bCs/>
        </w:rPr>
        <w:t xml:space="preserve">2. </w:t>
      </w:r>
      <w:r w:rsidRPr="002322B7">
        <w:t xml:space="preserve">Totals may not always add up exactly due to rounding. Refer to the DFAT website (www.dfat.gov.au/trade/Pages/trade-and-investment) for more information. </w:t>
      </w:r>
      <w:r w:rsidRPr="002322B7">
        <w:rPr>
          <w:b/>
          <w:bCs/>
        </w:rPr>
        <w:t>3.</w:t>
      </w:r>
      <w:r w:rsidRPr="002322B7">
        <w:t xml:space="preserve"> Asia Pacific Economic Cooperation. </w:t>
      </w:r>
      <w:r w:rsidRPr="002322B7">
        <w:rPr>
          <w:b/>
          <w:bCs/>
        </w:rPr>
        <w:t>4.</w:t>
      </w:r>
      <w:r w:rsidRPr="002322B7">
        <w:t xml:space="preserve"> Regional Comprehensive Economic Partnership, which is a free trade agreement with 14 Asia-Pacific countries. </w:t>
      </w:r>
      <w:r w:rsidRPr="002322B7">
        <w:rPr>
          <w:b/>
          <w:bCs/>
        </w:rPr>
        <w:t>5.</w:t>
      </w:r>
      <w:r w:rsidRPr="002322B7">
        <w:t xml:space="preserve"> Association of Southeast Asian Nations. </w:t>
      </w:r>
      <w:r w:rsidRPr="002322B7">
        <w:rPr>
          <w:b/>
          <w:bCs/>
        </w:rPr>
        <w:t>CAGR =</w:t>
      </w:r>
      <w:r w:rsidRPr="002322B7">
        <w:t xml:space="preserve"> compound annual growth rate. </w:t>
      </w:r>
      <w:r w:rsidRPr="002322B7">
        <w:rPr>
          <w:b/>
          <w:bCs/>
        </w:rPr>
        <w:t>SAR =</w:t>
      </w:r>
      <w:r w:rsidRPr="002322B7">
        <w:t xml:space="preserve"> Special administrative region of China. </w:t>
      </w:r>
    </w:p>
    <w:p w14:paraId="4A4BE5C0" w14:textId="77777777" w:rsidR="000E07C3" w:rsidRPr="002322B7" w:rsidRDefault="000E07C3" w:rsidP="000E07C3">
      <w:pPr>
        <w:pStyle w:val="Sourcesandnotes"/>
      </w:pPr>
      <w:r w:rsidRPr="002322B7">
        <w:rPr>
          <w:b/>
          <w:bCs/>
        </w:rPr>
        <w:t xml:space="preserve">Sources: </w:t>
      </w:r>
      <w:r w:rsidRPr="002322B7">
        <w:t>Department of Foreign Affairs and Trade, 2024, Trade time series data accessed 23 April 2024; Australian Bureau of Statistics, 2024, Australian National Accounts: National Income, Expenditure and Product, Table 3; Austrade.</w:t>
      </w:r>
    </w:p>
    <w:p w14:paraId="318A0B6A" w14:textId="77777777" w:rsidR="000108E0" w:rsidRPr="002322B7" w:rsidRDefault="000108E0" w:rsidP="000108E0">
      <w:pPr>
        <w:pStyle w:val="Heading-level2"/>
      </w:pPr>
      <w:bookmarkStart w:id="157" w:name="_Toc165079511"/>
      <w:bookmarkStart w:id="158" w:name="_Toc178256586"/>
      <w:r w:rsidRPr="002322B7">
        <w:lastRenderedPageBreak/>
        <w:t>An open trading economy for services</w:t>
      </w:r>
      <w:bookmarkEnd w:id="157"/>
      <w:bookmarkEnd w:id="158"/>
    </w:p>
    <w:p w14:paraId="17E4B162" w14:textId="51A0D305" w:rsidR="000108E0" w:rsidRPr="002322B7" w:rsidRDefault="000108E0" w:rsidP="003F1867">
      <w:pPr>
        <w:pStyle w:val="Body-copy"/>
        <w:rPr>
          <w:lang w:val="en-AU"/>
        </w:rPr>
      </w:pPr>
      <w:r w:rsidRPr="002322B7">
        <w:rPr>
          <w:lang w:val="en-AU"/>
        </w:rPr>
        <w:t xml:space="preserve">Australia is more open to trade in services than most wealthy economies. In 2022, the </w:t>
      </w:r>
      <w:r w:rsidR="00DE3B12" w:rsidRPr="00DE3B12">
        <w:rPr>
          <w:lang w:val="en-AU"/>
        </w:rPr>
        <w:t>OECD</w:t>
      </w:r>
      <w:r w:rsidRPr="002322B7">
        <w:rPr>
          <w:lang w:val="en-AU"/>
        </w:rPr>
        <w:t xml:space="preserve"> assessed Australia to be less restrictive in services trade </w:t>
      </w:r>
      <w:r w:rsidR="00990003">
        <w:rPr>
          <w:lang w:val="en-AU"/>
        </w:rPr>
        <w:t>when</w:t>
      </w:r>
      <w:r w:rsidRPr="002322B7">
        <w:rPr>
          <w:lang w:val="en-AU"/>
        </w:rPr>
        <w:t xml:space="preserve"> compared </w:t>
      </w:r>
      <w:r w:rsidR="00737917" w:rsidRPr="002322B7">
        <w:rPr>
          <w:lang w:val="en-AU"/>
        </w:rPr>
        <w:t>to the average among its</w:t>
      </w:r>
      <w:r w:rsidRPr="002322B7">
        <w:rPr>
          <w:lang w:val="en-AU"/>
        </w:rPr>
        <w:t xml:space="preserve"> 38 </w:t>
      </w:r>
      <w:r w:rsidR="00737917" w:rsidRPr="002322B7">
        <w:rPr>
          <w:lang w:val="en-AU"/>
        </w:rPr>
        <w:t>member</w:t>
      </w:r>
      <w:r w:rsidRPr="002322B7">
        <w:rPr>
          <w:lang w:val="en-AU"/>
        </w:rPr>
        <w:t xml:space="preserve"> countries. Australia has several standout s</w:t>
      </w:r>
      <w:r w:rsidR="00737917" w:rsidRPr="002322B7">
        <w:rPr>
          <w:lang w:val="en-AU"/>
        </w:rPr>
        <w:t>ervice s</w:t>
      </w:r>
      <w:r w:rsidRPr="002322B7">
        <w:rPr>
          <w:lang w:val="en-AU"/>
        </w:rPr>
        <w:t>ectors</w:t>
      </w:r>
      <w:r w:rsidR="0016659C">
        <w:rPr>
          <w:lang w:val="en-AU"/>
        </w:rPr>
        <w:t xml:space="preserve"> with o</w:t>
      </w:r>
      <w:r w:rsidRPr="002322B7">
        <w:rPr>
          <w:lang w:val="en-AU"/>
        </w:rPr>
        <w:t>ur freight transportation ranked 2</w:t>
      </w:r>
      <w:r w:rsidRPr="002322B7">
        <w:rPr>
          <w:vertAlign w:val="superscript"/>
          <w:lang w:val="en-AU"/>
        </w:rPr>
        <w:t>nd</w:t>
      </w:r>
      <w:r w:rsidRPr="002322B7">
        <w:rPr>
          <w:lang w:val="en-AU"/>
        </w:rPr>
        <w:t xml:space="preserve"> in openness and air transport ranked 5</w:t>
      </w:r>
      <w:r w:rsidRPr="002322B7">
        <w:rPr>
          <w:vertAlign w:val="superscript"/>
          <w:lang w:val="en-AU"/>
        </w:rPr>
        <w:t>th</w:t>
      </w:r>
      <w:r w:rsidR="00385D3D" w:rsidRPr="002322B7">
        <w:rPr>
          <w:lang w:val="en-AU"/>
        </w:rPr>
        <w:t>-</w:t>
      </w:r>
      <w:r w:rsidRPr="002322B7">
        <w:rPr>
          <w:lang w:val="en-AU"/>
        </w:rPr>
        <w:t xml:space="preserve">least restrictive. Openness is powering Australia’s recovery in two-way trade in services, which grew by 49% in 2022 and </w:t>
      </w:r>
      <w:r w:rsidR="00424E03">
        <w:rPr>
          <w:lang w:val="en-AU"/>
        </w:rPr>
        <w:t xml:space="preserve">by </w:t>
      </w:r>
      <w:r w:rsidRPr="002322B7">
        <w:rPr>
          <w:lang w:val="en-AU"/>
        </w:rPr>
        <w:t xml:space="preserve">32% in 2023 to reach A$226 billion.  </w:t>
      </w:r>
    </w:p>
    <w:p w14:paraId="3B75C834" w14:textId="47047834" w:rsidR="000108E0" w:rsidRDefault="000108E0" w:rsidP="000108E0">
      <w:pPr>
        <w:pStyle w:val="Caption"/>
      </w:pPr>
      <w:bookmarkStart w:id="159" w:name="_Toc178256534"/>
      <w:r w:rsidRPr="002322B7">
        <w:t xml:space="preserve">Figure </w:t>
      </w:r>
      <w:r w:rsidR="00CF16FA">
        <w:fldChar w:fldCharType="begin"/>
      </w:r>
      <w:r w:rsidR="00CF16FA">
        <w:instrText xml:space="preserve"> SEQ Figure \* ARABIC </w:instrText>
      </w:r>
      <w:r w:rsidR="00CF16FA">
        <w:fldChar w:fldCharType="separate"/>
      </w:r>
      <w:r w:rsidR="002459CF">
        <w:rPr>
          <w:noProof/>
        </w:rPr>
        <w:t>35</w:t>
      </w:r>
      <w:r w:rsidR="00CF16FA">
        <w:rPr>
          <w:noProof/>
        </w:rPr>
        <w:fldChar w:fldCharType="end"/>
      </w:r>
      <w:r w:rsidRPr="002322B7">
        <w:t xml:space="preserve"> – Services trade restrictiveness index¹ by sector, Australia vs OECD average in 2022²</w:t>
      </w:r>
      <w:bookmarkEnd w:id="159"/>
    </w:p>
    <w:p w14:paraId="57ED84D8" w14:textId="7CAE8699" w:rsidR="004C49A3" w:rsidRDefault="004C49A3" w:rsidP="004C49A3">
      <w:r>
        <w:rPr>
          <w:noProof/>
        </w:rPr>
        <w:drawing>
          <wp:inline distT="0" distB="0" distL="0" distR="0" wp14:anchorId="4E6E8501" wp14:editId="7AE0B581">
            <wp:extent cx="6336030" cy="4293870"/>
            <wp:effectExtent l="0" t="0" r="7620" b="0"/>
            <wp:docPr id="1318872253" name="Picture 45" descr="The graph plots the service trade restrictiveness index by sector for Australia and the average across OECD economies in 2022. The lower the index, the more open an economy is to trade. The information, including Australia’s ranking in brackets, is as follows: Air transport (Australia's rank #5) value 0.31 for Australia and 0.39 OECD. Maritime transport (Australia's rank #9) value 0.19 for Australia and 0.24 OECD. Commercial banking (Australia's rank #18) value 0.19 for Australia and 0.2 OECD. Accounting³ (Australia's rank #11) value 0.19 for Australia and 0.29 OECD. Logistics cargo-handling (Australia's rank #18) value 0.18 for Australia and 0.2 OECD. Telecom (Australia's rank #18) value 0.17 for Australia and 0.19 OECD. Logistics storage and warehouse (Australia's rank #15) value 0.17 for Australia and 0.2 OECD. Computer (Australia's rank #14) value 0.17 for Australia and 0.2 OECD. Legal (Australia's rank #8) value 0.16 for Australia and 0.33 OECD. Rail freight transport (Australia's rank #6) value 0.16 for Australia and 0.24 OECD. Engineering (Australia's rank #9) value 0.16 for Australia and 0.21 OECD. Distribution (Australia's rank #11) value 0.14 for Australia and 0.17 OECD. Road freight transport (Australia's rank #2) value 0.13 for Australia and 0.21 O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72253" name="Picture 45" descr="The graph plots the service trade restrictiveness index by sector for Australia and the average across OECD economies in 2022. The lower the index, the more open an economy is to trade. The information, including Australia’s ranking in brackets, is as follows: Air transport (Australia's rank #5) value 0.31 for Australia and 0.39 OECD. Maritime transport (Australia's rank #9) value 0.19 for Australia and 0.24 OECD. Commercial banking (Australia's rank #18) value 0.19 for Australia and 0.2 OECD. Accounting³ (Australia's rank #11) value 0.19 for Australia and 0.29 OECD. Logistics cargo-handling (Australia's rank #18) value 0.18 for Australia and 0.2 OECD. Telecom (Australia's rank #18) value 0.17 for Australia and 0.19 OECD. Logistics storage and warehouse (Australia's rank #15) value 0.17 for Australia and 0.2 OECD. Computer (Australia's rank #14) value 0.17 for Australia and 0.2 OECD. Legal (Australia's rank #8) value 0.16 for Australia and 0.33 OECD. Rail freight transport (Australia's rank #6) value 0.16 for Australia and 0.24 OECD. Engineering (Australia's rank #9) value 0.16 for Australia and 0.21 OECD. Distribution (Australia's rank #11) value 0.14 for Australia and 0.17 OECD. Road freight transport (Australia's rank #2) value 0.13 for Australia and 0.21 OECD."/>
                    <pic:cNvPicPr/>
                  </pic:nvPicPr>
                  <pic:blipFill rotWithShape="1">
                    <a:blip r:embed="rId52" cstate="hqprint">
                      <a:extLst>
                        <a:ext uri="{28A0092B-C50C-407E-A947-70E740481C1C}">
                          <a14:useLocalDpi xmlns:a14="http://schemas.microsoft.com/office/drawing/2010/main"/>
                        </a:ext>
                      </a:extLst>
                    </a:blip>
                    <a:srcRect/>
                    <a:stretch/>
                  </pic:blipFill>
                  <pic:spPr bwMode="auto">
                    <a:xfrm>
                      <a:off x="0" y="0"/>
                      <a:ext cx="6336030" cy="4293870"/>
                    </a:xfrm>
                    <a:prstGeom prst="rect">
                      <a:avLst/>
                    </a:prstGeom>
                    <a:ln>
                      <a:noFill/>
                    </a:ln>
                    <a:extLst>
                      <a:ext uri="{53640926-AAD7-44D8-BBD7-CCE9431645EC}">
                        <a14:shadowObscured xmlns:a14="http://schemas.microsoft.com/office/drawing/2010/main"/>
                      </a:ext>
                    </a:extLst>
                  </pic:spPr>
                </pic:pic>
              </a:graphicData>
            </a:graphic>
          </wp:inline>
        </w:drawing>
      </w:r>
    </w:p>
    <w:p w14:paraId="5FB7C15E" w14:textId="77777777" w:rsidR="000108E0" w:rsidRPr="002322B7" w:rsidRDefault="000108E0" w:rsidP="000108E0">
      <w:pPr>
        <w:pStyle w:val="Sourcesandnotes"/>
      </w:pPr>
      <w:r w:rsidRPr="002322B7">
        <w:rPr>
          <w:b/>
          <w:bCs/>
        </w:rPr>
        <w:t>Notes: 1.</w:t>
      </w:r>
      <w:r w:rsidRPr="002322B7">
        <w:t xml:space="preserve"> Unweighted STRI average of 38 OECD countries. </w:t>
      </w:r>
      <w:r w:rsidRPr="002322B7">
        <w:rPr>
          <w:b/>
          <w:bCs/>
        </w:rPr>
        <w:t>2.</w:t>
      </w:r>
      <w:r w:rsidRPr="002322B7">
        <w:t xml:space="preserve"> The number in brackets indicates Australia’s global ranking across 38 OECD countries. </w:t>
      </w:r>
      <w:r w:rsidRPr="002322B7">
        <w:rPr>
          <w:b/>
          <w:bCs/>
        </w:rPr>
        <w:t>3.</w:t>
      </w:r>
      <w:r w:rsidRPr="002322B7">
        <w:t xml:space="preserve"> Different countries have different accounting standards, making it challenging for businesses to comply with all regulatory environments. This complexity could potentially lead to increased costs or legal issues, thereby affecting trade.</w:t>
      </w:r>
    </w:p>
    <w:p w14:paraId="27822D49" w14:textId="77777777" w:rsidR="000108E0" w:rsidRPr="002322B7" w:rsidRDefault="000108E0" w:rsidP="000108E0">
      <w:pPr>
        <w:pStyle w:val="Sourcesandnotes"/>
      </w:pPr>
      <w:r w:rsidRPr="002322B7">
        <w:rPr>
          <w:b/>
          <w:bCs/>
        </w:rPr>
        <w:t>Sources:</w:t>
      </w:r>
      <w:r w:rsidRPr="002322B7">
        <w:t xml:space="preserve"> Australian Bureau of Statistics, 2024, Balance of Payments and International Investment Position; Austrade; Organisation for Economic Co-operation and Development, 2023, Services Trade Restrictiveness Index, accessed April 2024; Austrade.</w:t>
      </w:r>
    </w:p>
    <w:p w14:paraId="480FFFD8" w14:textId="77777777" w:rsidR="000108E0" w:rsidRPr="002322B7" w:rsidRDefault="000108E0" w:rsidP="000108E0">
      <w:pPr>
        <w:spacing w:before="0" w:after="160" w:line="259" w:lineRule="auto"/>
      </w:pPr>
    </w:p>
    <w:p w14:paraId="5F5EF7F3" w14:textId="3527801F" w:rsidR="00721D45" w:rsidRPr="002322B7" w:rsidRDefault="009C1203" w:rsidP="000E07C3">
      <w:pPr>
        <w:pStyle w:val="Heading-level2"/>
      </w:pPr>
      <w:bookmarkStart w:id="160" w:name="_Toc178256587"/>
      <w:r w:rsidRPr="002322B7">
        <w:lastRenderedPageBreak/>
        <w:t>Abundant</w:t>
      </w:r>
      <w:r w:rsidR="0088568B" w:rsidRPr="002322B7">
        <w:t xml:space="preserve"> energy and resources</w:t>
      </w:r>
      <w:bookmarkEnd w:id="160"/>
    </w:p>
    <w:p w14:paraId="28D6B956" w14:textId="07B40A8B" w:rsidR="00E15C45" w:rsidRPr="002322B7" w:rsidRDefault="00E15C45" w:rsidP="003F1867">
      <w:pPr>
        <w:pStyle w:val="Body-copy"/>
        <w:rPr>
          <w:lang w:val="en-AU"/>
        </w:rPr>
      </w:pPr>
      <w:r w:rsidRPr="4FEBF9DC">
        <w:rPr>
          <w:lang w:val="en-AU"/>
        </w:rPr>
        <w:t xml:space="preserve">Australia </w:t>
      </w:r>
      <w:r w:rsidR="009C1203" w:rsidRPr="4FEBF9DC">
        <w:rPr>
          <w:lang w:val="en-AU"/>
        </w:rPr>
        <w:t>is</w:t>
      </w:r>
      <w:r w:rsidRPr="4FEBF9DC">
        <w:rPr>
          <w:lang w:val="en-AU"/>
        </w:rPr>
        <w:t xml:space="preserve"> the </w:t>
      </w:r>
      <w:r w:rsidR="007E18A4" w:rsidRPr="4FEBF9DC">
        <w:rPr>
          <w:lang w:val="en-AU"/>
        </w:rPr>
        <w:t>2</w:t>
      </w:r>
      <w:r w:rsidR="007E18A4" w:rsidRPr="4FEBF9DC">
        <w:rPr>
          <w:vertAlign w:val="superscript"/>
          <w:lang w:val="en-AU"/>
        </w:rPr>
        <w:t>nd</w:t>
      </w:r>
      <w:r w:rsidRPr="4FEBF9DC">
        <w:rPr>
          <w:lang w:val="en-AU"/>
        </w:rPr>
        <w:t xml:space="preserve">-largest exporter </w:t>
      </w:r>
      <w:r w:rsidR="009C1203" w:rsidRPr="4FEBF9DC">
        <w:rPr>
          <w:lang w:val="en-AU"/>
        </w:rPr>
        <w:t>of</w:t>
      </w:r>
      <w:r w:rsidRPr="4FEBF9DC">
        <w:rPr>
          <w:lang w:val="en-AU"/>
        </w:rPr>
        <w:t xml:space="preserve"> energy and resources </w:t>
      </w:r>
      <w:r w:rsidR="009C1203" w:rsidRPr="4FEBF9DC">
        <w:rPr>
          <w:lang w:val="en-AU"/>
        </w:rPr>
        <w:t>in the world</w:t>
      </w:r>
      <w:r w:rsidRPr="4FEBF9DC">
        <w:rPr>
          <w:lang w:val="en-AU"/>
        </w:rPr>
        <w:t xml:space="preserve">. </w:t>
      </w:r>
      <w:r w:rsidR="009C1203" w:rsidRPr="4FEBF9DC">
        <w:rPr>
          <w:lang w:val="en-AU"/>
        </w:rPr>
        <w:t>We</w:t>
      </w:r>
      <w:r w:rsidRPr="4FEBF9DC">
        <w:rPr>
          <w:lang w:val="en-AU"/>
        </w:rPr>
        <w:t xml:space="preserve"> lead the world in iron ore exports</w:t>
      </w:r>
      <w:r w:rsidR="00144AEE" w:rsidRPr="4FEBF9DC">
        <w:rPr>
          <w:lang w:val="en-AU"/>
        </w:rPr>
        <w:t>, which</w:t>
      </w:r>
      <w:r w:rsidR="00756C1E" w:rsidRPr="4FEBF9DC">
        <w:rPr>
          <w:lang w:val="en-AU"/>
        </w:rPr>
        <w:t xml:space="preserve"> are now worth ov</w:t>
      </w:r>
      <w:r w:rsidRPr="4FEBF9DC">
        <w:rPr>
          <w:lang w:val="en-AU"/>
        </w:rPr>
        <w:t xml:space="preserve">er US$90 billion </w:t>
      </w:r>
      <w:r w:rsidR="00756C1E" w:rsidRPr="4FEBF9DC">
        <w:rPr>
          <w:lang w:val="en-AU"/>
        </w:rPr>
        <w:t>and</w:t>
      </w:r>
      <w:r w:rsidRPr="4FEBF9DC">
        <w:rPr>
          <w:lang w:val="en-AU"/>
        </w:rPr>
        <w:t xml:space="preserve"> account for a remarkable 40% of </w:t>
      </w:r>
      <w:r w:rsidR="001610CD" w:rsidRPr="4FEBF9DC">
        <w:rPr>
          <w:lang w:val="en-AU"/>
        </w:rPr>
        <w:t xml:space="preserve">Australia’s </w:t>
      </w:r>
      <w:r w:rsidR="00A2654D">
        <w:rPr>
          <w:lang w:val="en-AU"/>
        </w:rPr>
        <w:t>energy and resources</w:t>
      </w:r>
      <w:r w:rsidR="001610CD" w:rsidRPr="4FEBF9DC">
        <w:rPr>
          <w:lang w:val="en-AU"/>
        </w:rPr>
        <w:t xml:space="preserve"> </w:t>
      </w:r>
      <w:r w:rsidRPr="4FEBF9DC">
        <w:rPr>
          <w:lang w:val="en-AU"/>
        </w:rPr>
        <w:t>exports. With the largest identified reserves of iron ore</w:t>
      </w:r>
      <w:r w:rsidR="00724BA9" w:rsidRPr="4FEBF9DC">
        <w:rPr>
          <w:lang w:val="en-AU"/>
        </w:rPr>
        <w:t xml:space="preserve"> – including </w:t>
      </w:r>
      <w:r w:rsidRPr="4FEBF9DC">
        <w:rPr>
          <w:lang w:val="en-AU"/>
        </w:rPr>
        <w:t>magnetite and high-grade hematite</w:t>
      </w:r>
      <w:r w:rsidR="00724BA9" w:rsidRPr="4FEBF9DC">
        <w:rPr>
          <w:lang w:val="en-AU"/>
        </w:rPr>
        <w:t xml:space="preserve"> –</w:t>
      </w:r>
      <w:r w:rsidRPr="4FEBF9DC">
        <w:rPr>
          <w:lang w:val="en-AU"/>
        </w:rPr>
        <w:t xml:space="preserve"> Australia is perfectly positioned to drive the production of green steel.</w:t>
      </w:r>
      <w:r w:rsidR="00724BA9" w:rsidRPr="4FEBF9DC">
        <w:rPr>
          <w:lang w:val="en-AU"/>
        </w:rPr>
        <w:t xml:space="preserve"> </w:t>
      </w:r>
      <w:r w:rsidRPr="4FEBF9DC">
        <w:rPr>
          <w:lang w:val="en-AU"/>
        </w:rPr>
        <w:t xml:space="preserve">Australia is </w:t>
      </w:r>
      <w:r w:rsidR="00875805" w:rsidRPr="4FEBF9DC">
        <w:rPr>
          <w:lang w:val="en-AU"/>
        </w:rPr>
        <w:t>also</w:t>
      </w:r>
      <w:r w:rsidRPr="4FEBF9DC">
        <w:rPr>
          <w:lang w:val="en-AU"/>
        </w:rPr>
        <w:t xml:space="preserve"> the top exporter of </w:t>
      </w:r>
      <w:r w:rsidR="002B6DA3" w:rsidRPr="4FEBF9DC">
        <w:rPr>
          <w:lang w:val="en-AU"/>
        </w:rPr>
        <w:t>l</w:t>
      </w:r>
      <w:r w:rsidRPr="4FEBF9DC">
        <w:rPr>
          <w:lang w:val="en-AU"/>
        </w:rPr>
        <w:t>iqu</w:t>
      </w:r>
      <w:r w:rsidR="001D2FFC">
        <w:rPr>
          <w:lang w:val="en-AU"/>
        </w:rPr>
        <w:t>e</w:t>
      </w:r>
      <w:r w:rsidRPr="4FEBF9DC">
        <w:rPr>
          <w:lang w:val="en-AU"/>
        </w:rPr>
        <w:t xml:space="preserve">fied </w:t>
      </w:r>
      <w:r w:rsidR="002B6DA3" w:rsidRPr="4FEBF9DC">
        <w:rPr>
          <w:lang w:val="en-AU"/>
        </w:rPr>
        <w:t>n</w:t>
      </w:r>
      <w:r w:rsidRPr="4FEBF9DC">
        <w:rPr>
          <w:lang w:val="en-AU"/>
        </w:rPr>
        <w:t xml:space="preserve">atural </w:t>
      </w:r>
      <w:r w:rsidR="002B6DA3" w:rsidRPr="4FEBF9DC">
        <w:rPr>
          <w:lang w:val="en-AU"/>
        </w:rPr>
        <w:t>g</w:t>
      </w:r>
      <w:r w:rsidRPr="4FEBF9DC">
        <w:rPr>
          <w:lang w:val="en-AU"/>
        </w:rPr>
        <w:t>as (LNG), with US$50 billion</w:t>
      </w:r>
      <w:r w:rsidR="0027517F" w:rsidRPr="4FEBF9DC">
        <w:rPr>
          <w:lang w:val="en-AU"/>
        </w:rPr>
        <w:t xml:space="preserve"> </w:t>
      </w:r>
      <w:r w:rsidR="008F321F" w:rsidRPr="4FEBF9DC">
        <w:rPr>
          <w:lang w:val="en-AU"/>
        </w:rPr>
        <w:t xml:space="preserve">worth </w:t>
      </w:r>
      <w:r w:rsidR="0027517F" w:rsidRPr="4FEBF9DC">
        <w:rPr>
          <w:lang w:val="en-AU"/>
        </w:rPr>
        <w:t xml:space="preserve">of </w:t>
      </w:r>
      <w:r w:rsidRPr="4FEBF9DC">
        <w:rPr>
          <w:lang w:val="en-AU"/>
        </w:rPr>
        <w:t>exports</w:t>
      </w:r>
      <w:r w:rsidR="00746CEA" w:rsidRPr="4FEBF9DC">
        <w:rPr>
          <w:lang w:val="en-AU"/>
        </w:rPr>
        <w:t xml:space="preserve"> that</w:t>
      </w:r>
      <w:r w:rsidR="00FE39F0" w:rsidRPr="4FEBF9DC">
        <w:rPr>
          <w:lang w:val="en-AU"/>
        </w:rPr>
        <w:t xml:space="preserve"> account for </w:t>
      </w:r>
      <w:r w:rsidRPr="4FEBF9DC">
        <w:rPr>
          <w:lang w:val="en-AU"/>
        </w:rPr>
        <w:t xml:space="preserve">43% of global </w:t>
      </w:r>
      <w:r w:rsidR="00FE39F0" w:rsidRPr="4FEBF9DC">
        <w:rPr>
          <w:lang w:val="en-AU"/>
        </w:rPr>
        <w:t>trade in LNG. Australia’s</w:t>
      </w:r>
      <w:r w:rsidRPr="4FEBF9DC">
        <w:rPr>
          <w:lang w:val="en-AU"/>
        </w:rPr>
        <w:t xml:space="preserve"> abundant resources, advanced infrastructure, and commitment to sustainable practices make </w:t>
      </w:r>
      <w:r w:rsidR="00FE39F0" w:rsidRPr="4FEBF9DC">
        <w:rPr>
          <w:lang w:val="en-AU"/>
        </w:rPr>
        <w:t xml:space="preserve">us </w:t>
      </w:r>
      <w:r w:rsidRPr="4FEBF9DC">
        <w:rPr>
          <w:lang w:val="en-AU"/>
        </w:rPr>
        <w:t>an ideal destination for investment in energy and resources.</w:t>
      </w:r>
    </w:p>
    <w:p w14:paraId="2A967AC5" w14:textId="645FD448" w:rsidR="000A2D39" w:rsidRPr="002322B7" w:rsidRDefault="000A2D39" w:rsidP="000A2D39">
      <w:pPr>
        <w:pStyle w:val="Caption"/>
      </w:pPr>
      <w:bookmarkStart w:id="161" w:name="_Toc178256535"/>
      <w:r w:rsidRPr="002322B7">
        <w:t xml:space="preserve">Figure </w:t>
      </w:r>
      <w:r w:rsidR="00CF16FA">
        <w:fldChar w:fldCharType="begin"/>
      </w:r>
      <w:r w:rsidR="00CF16FA">
        <w:instrText xml:space="preserve"> SEQ Figure \* ARABIC </w:instrText>
      </w:r>
      <w:r w:rsidR="00CF16FA">
        <w:fldChar w:fldCharType="separate"/>
      </w:r>
      <w:r w:rsidR="002459CF">
        <w:rPr>
          <w:noProof/>
        </w:rPr>
        <w:t>36</w:t>
      </w:r>
      <w:r w:rsidR="00CF16FA">
        <w:rPr>
          <w:noProof/>
        </w:rPr>
        <w:fldChar w:fldCharType="end"/>
      </w:r>
      <w:r w:rsidRPr="002322B7">
        <w:t xml:space="preserve"> – </w:t>
      </w:r>
      <w:r w:rsidR="00443903" w:rsidRPr="002322B7">
        <w:t>E</w:t>
      </w:r>
      <w:r w:rsidR="00025F05" w:rsidRPr="002322B7">
        <w:t xml:space="preserve">nergy and resources </w:t>
      </w:r>
      <w:r w:rsidR="000A6A3F" w:rsidRPr="002322B7">
        <w:t>exports</w:t>
      </w:r>
      <w:r w:rsidR="00025F05" w:rsidRPr="002322B7">
        <w:t xml:space="preserve"> by </w:t>
      </w:r>
      <w:r w:rsidR="000D12C3" w:rsidRPr="002322B7">
        <w:t>economy</w:t>
      </w:r>
      <w:r w:rsidR="00D25F82" w:rsidRPr="002322B7">
        <w:t xml:space="preserve"> in</w:t>
      </w:r>
      <w:r w:rsidR="00025F05" w:rsidRPr="002322B7">
        <w:t xml:space="preserve"> 2023</w:t>
      </w:r>
      <w:bookmarkEnd w:id="161"/>
    </w:p>
    <w:p w14:paraId="3F459879" w14:textId="1B769A20" w:rsidR="000A2D39" w:rsidRPr="002322B7" w:rsidRDefault="00554C22" w:rsidP="000A2D39">
      <w:r>
        <w:rPr>
          <w:noProof/>
        </w:rPr>
        <w:drawing>
          <wp:inline distT="0" distB="0" distL="0" distR="0" wp14:anchorId="30037C0B" wp14:editId="1857C9AD">
            <wp:extent cx="6336030" cy="4449445"/>
            <wp:effectExtent l="0" t="0" r="7620" b="8255"/>
            <wp:docPr id="1834557032" name="Picture 46" descr="The graph presents the Energy and resources exports by economy in 2023. The information presents is as follows: &#10;US (ranked #1) US$400 billion; Australia (ranked #2) US$251 billion; China (ranked #3) US$220 billion; Canada (ranked #4) US$194 billion; Netherlands (ranked #5) US$163 billion; Norway (ranked #6) US$131 billion; Germany (ranked #7) US$123 billion; India (ranked #8) US$120 billion; Brazil (ranked #9) US$112 billion; Belgium (ranked #10) US$81 billion; Malaysia (ranked #11) US$71 billion; Japan (ranked #12) US$70 billion; France (ranked #13) US$68 billion; Kazakhstan (ranked #14) US$65 billion; and UK (ranked #15) US$64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57032" name="Picture 46" descr="The graph presents the Energy and resources exports by economy in 2023. The information presents is as follows: &#10;US (ranked #1) US$400 billion; Australia (ranked #2) US$251 billion; China (ranked #3) US$220 billion; Canada (ranked #4) US$194 billion; Netherlands (ranked #5) US$163 billion; Norway (ranked #6) US$131 billion; Germany (ranked #7) US$123 billion; India (ranked #8) US$120 billion; Brazil (ranked #9) US$112 billion; Belgium (ranked #10) US$81 billion; Malaysia (ranked #11) US$71 billion; Japan (ranked #12) US$70 billion; France (ranked #13) US$68 billion; Kazakhstan (ranked #14) US$65 billion; and UK (ranked #15) US$64 billion."/>
                    <pic:cNvPicPr/>
                  </pic:nvPicPr>
                  <pic:blipFill rotWithShape="1">
                    <a:blip r:embed="rId53" cstate="hqprint">
                      <a:extLst>
                        <a:ext uri="{28A0092B-C50C-407E-A947-70E740481C1C}">
                          <a14:useLocalDpi xmlns:a14="http://schemas.microsoft.com/office/drawing/2010/main"/>
                        </a:ext>
                      </a:extLst>
                    </a:blip>
                    <a:srcRect/>
                    <a:stretch/>
                  </pic:blipFill>
                  <pic:spPr bwMode="auto">
                    <a:xfrm>
                      <a:off x="0" y="0"/>
                      <a:ext cx="6336030" cy="4449445"/>
                    </a:xfrm>
                    <a:prstGeom prst="rect">
                      <a:avLst/>
                    </a:prstGeom>
                    <a:ln>
                      <a:noFill/>
                    </a:ln>
                    <a:extLst>
                      <a:ext uri="{53640926-AAD7-44D8-BBD7-CCE9431645EC}">
                        <a14:shadowObscured xmlns:a14="http://schemas.microsoft.com/office/drawing/2010/main"/>
                      </a:ext>
                    </a:extLst>
                  </pic:spPr>
                </pic:pic>
              </a:graphicData>
            </a:graphic>
          </wp:inline>
        </w:drawing>
      </w:r>
    </w:p>
    <w:p w14:paraId="7CADD5E4" w14:textId="23F216B2" w:rsidR="00A55E81" w:rsidRPr="002322B7" w:rsidRDefault="005436B6" w:rsidP="00D53D03">
      <w:pPr>
        <w:pStyle w:val="Sourcesandnotes"/>
      </w:pPr>
      <w:r w:rsidRPr="002322B7">
        <w:rPr>
          <w:b/>
          <w:bCs/>
        </w:rPr>
        <w:t xml:space="preserve">Notes: </w:t>
      </w:r>
      <w:r w:rsidR="00301C88" w:rsidRPr="002322B7">
        <w:rPr>
          <w:b/>
          <w:bCs/>
        </w:rPr>
        <w:t>1.</w:t>
      </w:r>
      <w:r w:rsidR="00301C88" w:rsidRPr="002322B7">
        <w:t xml:space="preserve">  </w:t>
      </w:r>
      <w:r w:rsidR="00D53D03" w:rsidRPr="002322B7">
        <w:t xml:space="preserve">The energy and resources sector </w:t>
      </w:r>
      <w:r w:rsidR="00323E50" w:rsidRPr="002322B7">
        <w:t>include</w:t>
      </w:r>
      <w:r w:rsidR="00D53D03" w:rsidRPr="002322B7">
        <w:t xml:space="preserve"> the following codes from the UN Harmoni</w:t>
      </w:r>
      <w:r w:rsidR="0009323B" w:rsidRPr="002322B7">
        <w:t>s</w:t>
      </w:r>
      <w:r w:rsidR="00D53D03" w:rsidRPr="002322B7">
        <w:t xml:space="preserve">ed Commodity Classification: 26, 27, 28, 72, 74, 75, 76, 78, 79, 80, and 81. </w:t>
      </w:r>
      <w:r w:rsidR="00D53D03" w:rsidRPr="002322B7">
        <w:rPr>
          <w:b/>
          <w:bCs/>
        </w:rPr>
        <w:t xml:space="preserve">2. </w:t>
      </w:r>
      <w:r w:rsidR="00D53D03" w:rsidRPr="002322B7">
        <w:t xml:space="preserve">The number in brackets shows </w:t>
      </w:r>
      <w:r w:rsidR="007B0004" w:rsidRPr="002322B7">
        <w:t>the region</w:t>
      </w:r>
      <w:r w:rsidR="00D53D03" w:rsidRPr="002322B7">
        <w:t xml:space="preserve"> rank among</w:t>
      </w:r>
      <w:r w:rsidR="007B0004" w:rsidRPr="002322B7">
        <w:t>st</w:t>
      </w:r>
      <w:r w:rsidR="00D53D03" w:rsidRPr="002322B7">
        <w:t xml:space="preserve"> 95 </w:t>
      </w:r>
      <w:r w:rsidR="007B0004" w:rsidRPr="002322B7">
        <w:t>economies</w:t>
      </w:r>
      <w:r w:rsidR="00D53D03" w:rsidRPr="002322B7">
        <w:t>.</w:t>
      </w:r>
      <w:r w:rsidR="00977408" w:rsidRPr="002322B7">
        <w:t xml:space="preserve"> </w:t>
      </w:r>
      <w:r w:rsidR="00D53D03" w:rsidRPr="002322B7">
        <w:rPr>
          <w:b/>
          <w:bCs/>
        </w:rPr>
        <w:t>3.</w:t>
      </w:r>
      <w:r w:rsidR="00D53D03" w:rsidRPr="002322B7">
        <w:t xml:space="preserve"> Values are reported by the exporting country.</w:t>
      </w:r>
    </w:p>
    <w:p w14:paraId="1E5D3DAC" w14:textId="6EFD7089" w:rsidR="005436B6" w:rsidRPr="002322B7" w:rsidRDefault="005436B6" w:rsidP="00BF4146">
      <w:pPr>
        <w:pStyle w:val="Sourcesandnotes"/>
      </w:pPr>
      <w:r w:rsidRPr="002322B7">
        <w:rPr>
          <w:b/>
          <w:bCs/>
        </w:rPr>
        <w:t xml:space="preserve">Sources: </w:t>
      </w:r>
      <w:r w:rsidR="00A55E81" w:rsidRPr="002322B7">
        <w:t>United Nations</w:t>
      </w:r>
      <w:r w:rsidRPr="002322B7">
        <w:t>, 2024,</w:t>
      </w:r>
      <w:r w:rsidR="00A55E81" w:rsidRPr="002322B7">
        <w:t xml:space="preserve"> UN Comtrade </w:t>
      </w:r>
      <w:r w:rsidRPr="002322B7">
        <w:t xml:space="preserve">Trade </w:t>
      </w:r>
      <w:r w:rsidR="00625909" w:rsidRPr="002322B7">
        <w:t xml:space="preserve">Database, </w:t>
      </w:r>
      <w:r w:rsidRPr="002322B7">
        <w:t xml:space="preserve">data accessed </w:t>
      </w:r>
      <w:r w:rsidR="00625909" w:rsidRPr="002322B7">
        <w:t>4</w:t>
      </w:r>
      <w:r w:rsidRPr="002322B7">
        <w:t xml:space="preserve"> </w:t>
      </w:r>
      <w:r w:rsidR="00625909" w:rsidRPr="002322B7">
        <w:t>June</w:t>
      </w:r>
      <w:r w:rsidRPr="002322B7">
        <w:t xml:space="preserve"> 2024; </w:t>
      </w:r>
      <w:r w:rsidR="00A42F2F" w:rsidRPr="002322B7">
        <w:t xml:space="preserve">US Department of the Interior, 2024, Mineral Commodity Summaries; </w:t>
      </w:r>
      <w:r w:rsidRPr="002322B7">
        <w:t>Austrade.</w:t>
      </w:r>
    </w:p>
    <w:p w14:paraId="74CF0AB0" w14:textId="77777777" w:rsidR="00BF4146" w:rsidRPr="002322B7" w:rsidRDefault="00BF4146" w:rsidP="00BF4146">
      <w:pPr>
        <w:pStyle w:val="Sourcesandnotes"/>
      </w:pPr>
    </w:p>
    <w:p w14:paraId="5CB9D588" w14:textId="6A23180F" w:rsidR="000E07C3" w:rsidRPr="002322B7" w:rsidRDefault="000E07C3" w:rsidP="000E07C3">
      <w:pPr>
        <w:pStyle w:val="Heading-level2"/>
      </w:pPr>
      <w:bookmarkStart w:id="162" w:name="_Toc178256588"/>
      <w:r w:rsidRPr="002322B7">
        <w:lastRenderedPageBreak/>
        <w:t>Agrifood exports grow in global and premium markets</w:t>
      </w:r>
      <w:bookmarkEnd w:id="162"/>
    </w:p>
    <w:p w14:paraId="6041B9FD" w14:textId="25AA8CAB" w:rsidR="000E07C3" w:rsidRPr="002322B7" w:rsidRDefault="000E07C3" w:rsidP="003F1867">
      <w:pPr>
        <w:pStyle w:val="Body-copy"/>
        <w:rPr>
          <w:lang w:val="en-AU"/>
        </w:rPr>
      </w:pPr>
      <w:r w:rsidRPr="002322B7">
        <w:rPr>
          <w:lang w:val="en-AU"/>
        </w:rPr>
        <w:t>There is strong global demand for Australian produce</w:t>
      </w:r>
      <w:r w:rsidR="009472C4" w:rsidRPr="002322B7">
        <w:rPr>
          <w:lang w:val="en-AU"/>
        </w:rPr>
        <w:t xml:space="preserve">. The </w:t>
      </w:r>
      <w:r w:rsidRPr="002322B7">
        <w:rPr>
          <w:lang w:val="en-AU"/>
        </w:rPr>
        <w:t xml:space="preserve">value of our agrifood exports </w:t>
      </w:r>
      <w:r w:rsidR="009472C4" w:rsidRPr="002322B7">
        <w:rPr>
          <w:lang w:val="en-AU"/>
        </w:rPr>
        <w:t xml:space="preserve">is </w:t>
      </w:r>
      <w:r w:rsidRPr="002322B7">
        <w:rPr>
          <w:lang w:val="en-AU"/>
        </w:rPr>
        <w:t>forecast to reach A$72 billion in 2023-24</w:t>
      </w:r>
      <w:r w:rsidR="00D20BDF">
        <w:rPr>
          <w:lang w:val="en-AU"/>
        </w:rPr>
        <w:t xml:space="preserve"> with g</w:t>
      </w:r>
      <w:r w:rsidR="009472C4" w:rsidRPr="002322B7">
        <w:rPr>
          <w:lang w:val="en-AU"/>
        </w:rPr>
        <w:t xml:space="preserve">rowth </w:t>
      </w:r>
      <w:r w:rsidR="00994A02">
        <w:rPr>
          <w:lang w:val="en-AU"/>
        </w:rPr>
        <w:t>being</w:t>
      </w:r>
      <w:r w:rsidRPr="002322B7">
        <w:rPr>
          <w:lang w:val="en-AU"/>
        </w:rPr>
        <w:t xml:space="preserve"> supported by Australia’s efficient and tech-friendly farming industry. Around three-quarters of our agriculture exports come from a combination of beef </w:t>
      </w:r>
      <w:r w:rsidR="00947D9D" w:rsidRPr="002322B7">
        <w:rPr>
          <w:lang w:val="en-AU"/>
        </w:rPr>
        <w:t>(</w:t>
      </w:r>
      <w:r w:rsidRPr="002322B7">
        <w:rPr>
          <w:lang w:val="en-AU"/>
        </w:rPr>
        <w:t>which will likely top A$11.3 billion in 2023-24</w:t>
      </w:r>
      <w:r w:rsidR="00947D9D" w:rsidRPr="002322B7">
        <w:rPr>
          <w:lang w:val="en-AU"/>
        </w:rPr>
        <w:t>)</w:t>
      </w:r>
      <w:r w:rsidR="00372232">
        <w:rPr>
          <w:lang w:val="en-AU"/>
        </w:rPr>
        <w:t>,</w:t>
      </w:r>
      <w:r w:rsidRPr="002322B7">
        <w:rPr>
          <w:lang w:val="en-AU"/>
        </w:rPr>
        <w:t xml:space="preserve"> wheat, cotton, canola, sheep meat, sugar, barley, wool, forest products, wine, fruit, lentils, tree nuts, grain sorghum and cheese. Australia’s agrifood exports </w:t>
      </w:r>
      <w:r w:rsidR="00947D9D" w:rsidRPr="002322B7">
        <w:rPr>
          <w:lang w:val="en-AU"/>
        </w:rPr>
        <w:t>will</w:t>
      </w:r>
      <w:r w:rsidRPr="002322B7">
        <w:rPr>
          <w:lang w:val="en-AU"/>
        </w:rPr>
        <w:t xml:space="preserve"> continue </w:t>
      </w:r>
      <w:r w:rsidR="00947D9D" w:rsidRPr="002322B7">
        <w:rPr>
          <w:lang w:val="en-AU"/>
        </w:rPr>
        <w:t xml:space="preserve">to </w:t>
      </w:r>
      <w:r w:rsidRPr="002322B7">
        <w:rPr>
          <w:lang w:val="en-AU"/>
        </w:rPr>
        <w:t>benefit from</w:t>
      </w:r>
      <w:r w:rsidR="00947D9D" w:rsidRPr="002322B7">
        <w:rPr>
          <w:lang w:val="en-AU"/>
        </w:rPr>
        <w:t xml:space="preserve"> </w:t>
      </w:r>
      <w:r w:rsidRPr="002322B7">
        <w:rPr>
          <w:lang w:val="en-AU"/>
        </w:rPr>
        <w:t xml:space="preserve">growing middle class populations in </w:t>
      </w:r>
      <w:r w:rsidR="00843AE1" w:rsidRPr="002322B7">
        <w:rPr>
          <w:lang w:val="en-AU"/>
        </w:rPr>
        <w:t xml:space="preserve">Asia, including </w:t>
      </w:r>
      <w:r w:rsidRPr="002322B7">
        <w:rPr>
          <w:lang w:val="en-AU"/>
        </w:rPr>
        <w:t>Southeast Asia</w:t>
      </w:r>
      <w:r w:rsidR="00EB525C" w:rsidRPr="002322B7">
        <w:rPr>
          <w:lang w:val="en-AU"/>
        </w:rPr>
        <w:t xml:space="preserve">. </w:t>
      </w:r>
      <w:r w:rsidR="000A38CF">
        <w:rPr>
          <w:lang w:val="en-AU"/>
        </w:rPr>
        <w:t>C</w:t>
      </w:r>
      <w:r w:rsidR="00EB525C" w:rsidRPr="002322B7">
        <w:rPr>
          <w:lang w:val="en-AU"/>
        </w:rPr>
        <w:t xml:space="preserve">onsumers in these markets </w:t>
      </w:r>
      <w:r w:rsidR="00A03919">
        <w:rPr>
          <w:lang w:val="en-AU"/>
        </w:rPr>
        <w:t>will be increasingly</w:t>
      </w:r>
      <w:r w:rsidR="00EB525C" w:rsidRPr="002322B7">
        <w:rPr>
          <w:lang w:val="en-AU"/>
        </w:rPr>
        <w:t xml:space="preserve"> w</w:t>
      </w:r>
      <w:r w:rsidRPr="002322B7">
        <w:rPr>
          <w:lang w:val="en-AU"/>
        </w:rPr>
        <w:t xml:space="preserve">illing to pay a premium for </w:t>
      </w:r>
      <w:r w:rsidR="00EB525C" w:rsidRPr="002322B7">
        <w:rPr>
          <w:lang w:val="en-AU"/>
        </w:rPr>
        <w:t xml:space="preserve">Australia’s </w:t>
      </w:r>
      <w:r w:rsidRPr="002322B7">
        <w:rPr>
          <w:lang w:val="en-AU"/>
        </w:rPr>
        <w:t xml:space="preserve">high agricultural standards and clean, green produce. </w:t>
      </w:r>
    </w:p>
    <w:p w14:paraId="54891B37" w14:textId="0A2B9B4A" w:rsidR="000E07C3" w:rsidRDefault="000E07C3" w:rsidP="000E07C3">
      <w:pPr>
        <w:pStyle w:val="Caption"/>
        <w:rPr>
          <w:vertAlign w:val="superscript"/>
        </w:rPr>
      </w:pPr>
      <w:bookmarkStart w:id="163" w:name="_Toc178256536"/>
      <w:r w:rsidRPr="002322B7">
        <w:t xml:space="preserve">Figure </w:t>
      </w:r>
      <w:r w:rsidR="00CF16FA">
        <w:fldChar w:fldCharType="begin"/>
      </w:r>
      <w:r w:rsidR="00CF16FA">
        <w:instrText xml:space="preserve"> SEQ Figure \* ARABIC </w:instrText>
      </w:r>
      <w:r w:rsidR="00CF16FA">
        <w:fldChar w:fldCharType="separate"/>
      </w:r>
      <w:r w:rsidR="002459CF">
        <w:rPr>
          <w:noProof/>
        </w:rPr>
        <w:t>37</w:t>
      </w:r>
      <w:r w:rsidR="00CF16FA">
        <w:rPr>
          <w:noProof/>
        </w:rPr>
        <w:fldChar w:fldCharType="end"/>
      </w:r>
      <w:r w:rsidRPr="002322B7">
        <w:t xml:space="preserve"> – Australia’s major agricultural products, 2023–24</w:t>
      </w:r>
      <w:r w:rsidRPr="002322B7">
        <w:rPr>
          <w:vertAlign w:val="superscript"/>
        </w:rPr>
        <w:t>E</w:t>
      </w:r>
      <w:bookmarkEnd w:id="163"/>
    </w:p>
    <w:p w14:paraId="2AE5F3EF" w14:textId="328666A2" w:rsidR="000E07C3" w:rsidRPr="002322B7" w:rsidRDefault="00636CBA" w:rsidP="000E07C3">
      <w:r>
        <w:rPr>
          <w:noProof/>
        </w:rPr>
        <w:drawing>
          <wp:inline distT="0" distB="0" distL="0" distR="0" wp14:anchorId="74A021A9" wp14:editId="740C564D">
            <wp:extent cx="6336030" cy="4557395"/>
            <wp:effectExtent l="0" t="0" r="7620" b="0"/>
            <wp:docPr id="1222464549" name="Picture 47" descr="The figure has one graph and one table. &#10;The table shows Australia agrifood production in 2023-24 by commodity, while the graph plots Australian major agricultural exports by commodity.&#10;The table’s information (production) is: Cattle and calves² A$11.6 billion; Wheat A$10.1 billion; Fruit and nuts A$6.5 billion; Milk³ A$6.0 billion; Vegetables A$5.8 billion; Canola A$3.9 billion; Poultry A$3.8 billion; Nursery A$3.5 billion; Barley A$3.4 billion; Cotton lint⁴ A$3.0 billion; Lambs⁵ A$3.0 billion; Wool⁶ A$2.9 billion; Forestry products A$2.3 billion; Sugar⁷ A$2.2 billion; Pigs⁵ A$1.7 billion;  Total farm, fisheries and forestry products A$85.9 billion.&#10;The information in the graph ( exports) is: Beef A$11.3 billion; Wheat  A$9.7 billion; Cotton¹ A$4.5 billion; Canola A$3.8 billion; Sheep Meat A$3.3 billion; Sugar A$3.2 billion; Barley  A$3.0 billion; Wool A$3.0 billion; Forest exports A$2.9 billion; Wine A$1.9 billion; Fruit A$1.8 billion; Lentils A$1.5 billion; Tree nuts A$0.9 billion; Grain sorghum A$0.9 billion; and Cheese A$0.9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64549" name="Picture 47" descr="The figure has one graph and one table. &#10;The table shows Australia agrifood production in 2023-24 by commodity, while the graph plots Australian major agricultural exports by commodity.&#10;The table’s information (production) is: Cattle and calves² A$11.6 billion; Wheat A$10.1 billion; Fruit and nuts A$6.5 billion; Milk³ A$6.0 billion; Vegetables A$5.8 billion; Canola A$3.9 billion; Poultry A$3.8 billion; Nursery A$3.5 billion; Barley A$3.4 billion; Cotton lint⁴ A$3.0 billion; Lambs⁵ A$3.0 billion; Wool⁶ A$2.9 billion; Forestry products A$2.3 billion; Sugar⁷ A$2.2 billion; Pigs⁵ A$1.7 billion;  Total farm, fisheries and forestry products A$85.9 billion.&#10;The information in the graph ( exports) is: Beef A$11.3 billion; Wheat  A$9.7 billion; Cotton¹ A$4.5 billion; Canola A$3.8 billion; Sheep Meat A$3.3 billion; Sugar A$3.2 billion; Barley  A$3.0 billion; Wool A$3.0 billion; Forest exports A$2.9 billion; Wine A$1.9 billion; Fruit A$1.8 billion; Lentils A$1.5 billion; Tree nuts A$0.9 billion; Grain sorghum A$0.9 billion; and Cheese A$0.9 billion. "/>
                    <pic:cNvPicPr/>
                  </pic:nvPicPr>
                  <pic:blipFill rotWithShape="1">
                    <a:blip r:embed="rId54" cstate="hqprint">
                      <a:extLst>
                        <a:ext uri="{28A0092B-C50C-407E-A947-70E740481C1C}">
                          <a14:useLocalDpi xmlns:a14="http://schemas.microsoft.com/office/drawing/2010/main"/>
                        </a:ext>
                      </a:extLst>
                    </a:blip>
                    <a:srcRect/>
                    <a:stretch/>
                  </pic:blipFill>
                  <pic:spPr bwMode="auto">
                    <a:xfrm>
                      <a:off x="0" y="0"/>
                      <a:ext cx="6336030" cy="4557395"/>
                    </a:xfrm>
                    <a:prstGeom prst="rect">
                      <a:avLst/>
                    </a:prstGeom>
                    <a:ln>
                      <a:noFill/>
                    </a:ln>
                    <a:extLst>
                      <a:ext uri="{53640926-AAD7-44D8-BBD7-CCE9431645EC}">
                        <a14:shadowObscured xmlns:a14="http://schemas.microsoft.com/office/drawing/2010/main"/>
                      </a:ext>
                    </a:extLst>
                  </pic:spPr>
                </pic:pic>
              </a:graphicData>
            </a:graphic>
          </wp:inline>
        </w:drawing>
      </w:r>
    </w:p>
    <w:p w14:paraId="52CBE154" w14:textId="77777777" w:rsidR="000E07C3" w:rsidRPr="002322B7" w:rsidRDefault="000E07C3" w:rsidP="000E07C3">
      <w:pPr>
        <w:pStyle w:val="Sourcesandnotes"/>
      </w:pPr>
      <w:r w:rsidRPr="002322B7">
        <w:rPr>
          <w:b/>
          <w:bCs/>
        </w:rPr>
        <w:t xml:space="preserve">Notes: 1. </w:t>
      </w:r>
      <w:r w:rsidRPr="002322B7">
        <w:t xml:space="preserve">Excludes cotton waste and linters. </w:t>
      </w:r>
      <w:r w:rsidRPr="002322B7">
        <w:rPr>
          <w:b/>
          <w:bCs/>
        </w:rPr>
        <w:t xml:space="preserve">2. </w:t>
      </w:r>
      <w:r w:rsidRPr="002322B7">
        <w:t xml:space="preserve">Includes dairy cattle. Excludes skin and hide values. </w:t>
      </w:r>
      <w:r w:rsidRPr="002322B7">
        <w:rPr>
          <w:b/>
          <w:bCs/>
        </w:rPr>
        <w:t xml:space="preserve">3. </w:t>
      </w:r>
      <w:r w:rsidRPr="002322B7">
        <w:t xml:space="preserve">Milk intake by factories and valued at the farm gate. </w:t>
      </w:r>
      <w:r w:rsidRPr="002322B7">
        <w:rPr>
          <w:b/>
          <w:bCs/>
        </w:rPr>
        <w:t xml:space="preserve">4. </w:t>
      </w:r>
      <w:r w:rsidRPr="002322B7">
        <w:t xml:space="preserve">Value delivered to gin. </w:t>
      </w:r>
      <w:r w:rsidRPr="002322B7">
        <w:rPr>
          <w:b/>
          <w:bCs/>
        </w:rPr>
        <w:t>5.</w:t>
      </w:r>
      <w:r w:rsidRPr="002322B7">
        <w:t xml:space="preserve"> Excludes skin and hide values. </w:t>
      </w:r>
      <w:r w:rsidRPr="002322B7">
        <w:rPr>
          <w:b/>
          <w:bCs/>
        </w:rPr>
        <w:t xml:space="preserve">6. </w:t>
      </w:r>
      <w:r w:rsidRPr="002322B7">
        <w:t xml:space="preserve">Shorn, dead and fellmongered wool, and wool exported on skins. </w:t>
      </w:r>
      <w:r w:rsidRPr="002322B7">
        <w:rPr>
          <w:b/>
          <w:bCs/>
        </w:rPr>
        <w:t xml:space="preserve">7. </w:t>
      </w:r>
      <w:r w:rsidRPr="002322B7">
        <w:t>Cut for crushing.</w:t>
      </w:r>
    </w:p>
    <w:p w14:paraId="7290349F" w14:textId="77777777" w:rsidR="000E07C3" w:rsidRPr="002322B7" w:rsidRDefault="000E07C3" w:rsidP="000E07C3">
      <w:pPr>
        <w:pStyle w:val="Sourcesandnotes"/>
      </w:pPr>
      <w:r w:rsidRPr="002322B7">
        <w:rPr>
          <w:b/>
          <w:bCs/>
        </w:rPr>
        <w:t xml:space="preserve">E </w:t>
      </w:r>
      <w:r w:rsidRPr="002322B7">
        <w:t xml:space="preserve">= ABARES estimate. </w:t>
      </w:r>
    </w:p>
    <w:p w14:paraId="213FA130" w14:textId="77777777" w:rsidR="000E07C3" w:rsidRPr="002322B7" w:rsidRDefault="000E07C3" w:rsidP="000E07C3">
      <w:pPr>
        <w:pStyle w:val="Sourcesandnotes"/>
      </w:pPr>
      <w:r w:rsidRPr="002322B7">
        <w:rPr>
          <w:b/>
          <w:bCs/>
        </w:rPr>
        <w:t xml:space="preserve">Sources: </w:t>
      </w:r>
      <w:r w:rsidRPr="002322B7">
        <w:t xml:space="preserve">Australian Bureau of Agricultural and Resource Economics and Sciences, 2024, Agricultural commodities – Statistical Tables 13 and 17; Austrade. </w:t>
      </w:r>
    </w:p>
    <w:p w14:paraId="7C60F7AC" w14:textId="77777777" w:rsidR="000E07C3" w:rsidRPr="002322B7" w:rsidRDefault="000E07C3" w:rsidP="000E07C3"/>
    <w:p w14:paraId="2F0A7061" w14:textId="77777777" w:rsidR="000E07C3" w:rsidRPr="002322B7" w:rsidRDefault="000E07C3" w:rsidP="000E07C3">
      <w:pPr>
        <w:pStyle w:val="Heading-level2"/>
      </w:pPr>
      <w:bookmarkStart w:id="164" w:name="_Toc178256589"/>
      <w:r w:rsidRPr="002322B7">
        <w:lastRenderedPageBreak/>
        <w:t>A growth market for international travellers</w:t>
      </w:r>
      <w:bookmarkEnd w:id="164"/>
    </w:p>
    <w:p w14:paraId="20E6E533" w14:textId="0E5A9563" w:rsidR="000E07C3" w:rsidRPr="002322B7" w:rsidRDefault="000E07C3" w:rsidP="003F1867">
      <w:pPr>
        <w:pStyle w:val="Body-copy"/>
        <w:rPr>
          <w:lang w:val="en-AU"/>
        </w:rPr>
      </w:pPr>
      <w:r w:rsidRPr="002322B7">
        <w:rPr>
          <w:lang w:val="en-AU"/>
        </w:rPr>
        <w:t>Australia offers unique and diverse tourism experiences</w:t>
      </w:r>
      <w:r w:rsidR="00B34907" w:rsidRPr="002322B7">
        <w:rPr>
          <w:lang w:val="en-AU"/>
        </w:rPr>
        <w:t xml:space="preserve">. </w:t>
      </w:r>
      <w:r w:rsidRPr="7C1EEDFB">
        <w:rPr>
          <w:lang w:val="en-AU"/>
        </w:rPr>
        <w:t>G</w:t>
      </w:r>
      <w:r w:rsidR="00B34907" w:rsidRPr="7C1EEDFB">
        <w:rPr>
          <w:lang w:val="en-AU"/>
        </w:rPr>
        <w:t>lobal</w:t>
      </w:r>
      <w:r w:rsidR="00B34907" w:rsidRPr="002322B7">
        <w:rPr>
          <w:lang w:val="en-AU"/>
        </w:rPr>
        <w:t xml:space="preserve"> travellers come to Australia to</w:t>
      </w:r>
      <w:r w:rsidRPr="002322B7">
        <w:rPr>
          <w:lang w:val="en-AU"/>
        </w:rPr>
        <w:t xml:space="preserve"> div</w:t>
      </w:r>
      <w:r w:rsidR="00B34907" w:rsidRPr="002322B7">
        <w:rPr>
          <w:lang w:val="en-AU"/>
        </w:rPr>
        <w:t>e</w:t>
      </w:r>
      <w:r w:rsidRPr="002322B7">
        <w:rPr>
          <w:lang w:val="en-AU"/>
        </w:rPr>
        <w:t xml:space="preserve"> on the Great Barrier Reef</w:t>
      </w:r>
      <w:r w:rsidR="1A0BAF93" w:rsidRPr="1B97CB81">
        <w:rPr>
          <w:lang w:val="en-AU"/>
        </w:rPr>
        <w:t>,</w:t>
      </w:r>
      <w:r w:rsidRPr="002322B7">
        <w:rPr>
          <w:lang w:val="en-AU"/>
        </w:rPr>
        <w:t xml:space="preserve"> explor</w:t>
      </w:r>
      <w:r w:rsidR="00B34907" w:rsidRPr="002322B7">
        <w:rPr>
          <w:lang w:val="en-AU"/>
        </w:rPr>
        <w:t>e</w:t>
      </w:r>
      <w:r w:rsidRPr="002322B7">
        <w:rPr>
          <w:lang w:val="en-AU"/>
        </w:rPr>
        <w:t xml:space="preserve"> remote areas</w:t>
      </w:r>
      <w:r w:rsidR="00C447CF" w:rsidRPr="002322B7">
        <w:rPr>
          <w:lang w:val="en-AU"/>
        </w:rPr>
        <w:t xml:space="preserve">, </w:t>
      </w:r>
      <w:r w:rsidR="25C469EE" w:rsidRPr="1B97CB81">
        <w:rPr>
          <w:lang w:val="en-AU"/>
        </w:rPr>
        <w:t xml:space="preserve">and </w:t>
      </w:r>
      <w:r w:rsidR="25C469EE" w:rsidRPr="73C61BB2">
        <w:rPr>
          <w:lang w:val="en-AU"/>
        </w:rPr>
        <w:t xml:space="preserve">interact with </w:t>
      </w:r>
      <w:r w:rsidR="44EEB6C7" w:rsidRPr="73C61BB2">
        <w:rPr>
          <w:lang w:val="en-AU"/>
        </w:rPr>
        <w:t xml:space="preserve">one </w:t>
      </w:r>
      <w:r w:rsidRPr="002322B7">
        <w:rPr>
          <w:lang w:val="en-AU"/>
        </w:rPr>
        <w:t xml:space="preserve">of the world's oldest </w:t>
      </w:r>
      <w:r w:rsidRPr="74754265">
        <w:rPr>
          <w:lang w:val="en-AU"/>
        </w:rPr>
        <w:t>continu</w:t>
      </w:r>
      <w:r w:rsidR="39DEF2D9" w:rsidRPr="74754265">
        <w:rPr>
          <w:lang w:val="en-AU"/>
        </w:rPr>
        <w:t>ing</w:t>
      </w:r>
      <w:r w:rsidRPr="002322B7">
        <w:rPr>
          <w:lang w:val="en-AU"/>
        </w:rPr>
        <w:t xml:space="preserve"> cultures.</w:t>
      </w:r>
      <w:r w:rsidR="00C447CF" w:rsidRPr="002322B7">
        <w:rPr>
          <w:lang w:val="en-AU"/>
        </w:rPr>
        <w:t xml:space="preserve"> </w:t>
      </w:r>
      <w:r w:rsidRPr="00112689">
        <w:rPr>
          <w:lang w:val="en-AU"/>
        </w:rPr>
        <w:t>Tourism Research Australia (TRA)¹ predicts international visitor spending will return to pre-COVID levels by 2024. Total visitor spending</w:t>
      </w:r>
      <w:r w:rsidR="00C447CF" w:rsidRPr="00112689">
        <w:rPr>
          <w:lang w:val="en-AU"/>
        </w:rPr>
        <w:t xml:space="preserve"> –</w:t>
      </w:r>
      <w:r w:rsidRPr="00112689">
        <w:rPr>
          <w:lang w:val="en-AU"/>
        </w:rPr>
        <w:t xml:space="preserve"> which includes domestic tourism</w:t>
      </w:r>
      <w:r w:rsidR="00C447CF" w:rsidRPr="00112689">
        <w:rPr>
          <w:lang w:val="en-AU"/>
        </w:rPr>
        <w:t xml:space="preserve"> –</w:t>
      </w:r>
      <w:r w:rsidRPr="00112689">
        <w:rPr>
          <w:lang w:val="en-AU"/>
        </w:rPr>
        <w:t xml:space="preserve"> is expected to grow by an average rate of 6% per year to reach A$223 billion by 2028.</w:t>
      </w:r>
      <w:r w:rsidR="00C447CF" w:rsidRPr="00112689">
        <w:rPr>
          <w:lang w:val="en-AU"/>
        </w:rPr>
        <w:t xml:space="preserve"> </w:t>
      </w:r>
      <w:r w:rsidR="358AC807" w:rsidRPr="718FFD6D">
        <w:rPr>
          <w:lang w:val="en-AU"/>
        </w:rPr>
        <w:t>C</w:t>
      </w:r>
      <w:r w:rsidRPr="718FFD6D">
        <w:rPr>
          <w:lang w:val="en-AU"/>
        </w:rPr>
        <w:t>onfidence</w:t>
      </w:r>
      <w:r w:rsidRPr="00112689">
        <w:rPr>
          <w:lang w:val="en-AU"/>
        </w:rPr>
        <w:t xml:space="preserve"> in </w:t>
      </w:r>
      <w:r w:rsidR="0FE1949C" w:rsidRPr="718FFD6D">
        <w:rPr>
          <w:lang w:val="en-AU"/>
        </w:rPr>
        <w:t xml:space="preserve">the future of </w:t>
      </w:r>
      <w:r w:rsidRPr="00112689">
        <w:rPr>
          <w:lang w:val="en-AU"/>
        </w:rPr>
        <w:t>Australian tourism remains strong. TRA reports that the tourism investment pipeline</w:t>
      </w:r>
      <w:r w:rsidR="00697FFA">
        <w:rPr>
          <w:lang w:val="en-AU"/>
        </w:rPr>
        <w:t>²</w:t>
      </w:r>
      <w:r w:rsidRPr="00112689">
        <w:rPr>
          <w:lang w:val="en-AU"/>
        </w:rPr>
        <w:t xml:space="preserve"> exceeded A$56 billion in 2022-23</w:t>
      </w:r>
      <w:r w:rsidR="00F26BBB" w:rsidRPr="00112689">
        <w:rPr>
          <w:lang w:val="en-AU"/>
        </w:rPr>
        <w:t>,</w:t>
      </w:r>
      <w:r w:rsidRPr="00112689">
        <w:rPr>
          <w:lang w:val="en-AU"/>
        </w:rPr>
        <w:t xml:space="preserve"> marking a 27% increase from the previous year.</w:t>
      </w:r>
      <w:r w:rsidR="00697FFA">
        <w:rPr>
          <w:lang w:val="en-AU"/>
        </w:rPr>
        <w:t>³</w:t>
      </w:r>
    </w:p>
    <w:p w14:paraId="54F3A925" w14:textId="49077A07" w:rsidR="000E07C3" w:rsidRPr="002322B7" w:rsidRDefault="000E07C3" w:rsidP="000E07C3">
      <w:pPr>
        <w:pStyle w:val="Caption"/>
      </w:pPr>
      <w:bookmarkStart w:id="165" w:name="_Toc178256537"/>
      <w:r w:rsidRPr="002322B7">
        <w:t xml:space="preserve">Figure </w:t>
      </w:r>
      <w:r w:rsidR="00CF16FA">
        <w:fldChar w:fldCharType="begin"/>
      </w:r>
      <w:r w:rsidR="00CF16FA">
        <w:instrText xml:space="preserve"> SEQ Figure \* ARABIC </w:instrText>
      </w:r>
      <w:r w:rsidR="00CF16FA">
        <w:fldChar w:fldCharType="separate"/>
      </w:r>
      <w:r w:rsidR="002459CF">
        <w:rPr>
          <w:noProof/>
        </w:rPr>
        <w:t>38</w:t>
      </w:r>
      <w:r w:rsidR="00CF16FA">
        <w:rPr>
          <w:noProof/>
        </w:rPr>
        <w:fldChar w:fldCharType="end"/>
      </w:r>
      <w:r w:rsidRPr="002322B7">
        <w:t xml:space="preserve"> – Tourism investment pipeline</w:t>
      </w:r>
      <w:r w:rsidR="00514053" w:rsidRPr="002322B7">
        <w:t>²</w:t>
      </w:r>
      <w:r w:rsidRPr="002322B7">
        <w:t xml:space="preserve"> in Australia by sector and financial year</w:t>
      </w:r>
      <w:r w:rsidR="00514053">
        <w:t>³</w:t>
      </w:r>
      <w:bookmarkEnd w:id="165"/>
    </w:p>
    <w:p w14:paraId="22ACE58E" w14:textId="284A10F2" w:rsidR="000E07C3" w:rsidRPr="002322B7" w:rsidRDefault="007005D4" w:rsidP="000E07C3">
      <w:r>
        <w:rPr>
          <w:noProof/>
        </w:rPr>
        <w:drawing>
          <wp:inline distT="0" distB="0" distL="0" distR="0" wp14:anchorId="3C78D4E1" wp14:editId="6CAE414F">
            <wp:extent cx="6336030" cy="2885440"/>
            <wp:effectExtent l="0" t="0" r="7620" b="0"/>
            <wp:docPr id="1688354080" name="Picture 48" descr="The graph plots Tourism investment pipeline in Australia by sector and financial year.&#10;In 2021-22, the investment was A$16.7 billion in the aviation sector, $16.1 billion in the arts, recreational and business services and $11.5 billion for accomodation, a total of $44.3 billion. &#10;In 2022-23, the investment was A$18.8 billion in the aviation sector, $25.1 billion in the arts, recreational and business services and $12.2 billion for accommodation, a total of $56.1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80" name="Picture 48" descr="The graph plots Tourism investment pipeline in Australia by sector and financial year.&#10;In 2021-22, the investment was A$16.7 billion in the aviation sector, $16.1 billion in the arts, recreational and business services and $11.5 billion for accomodation, a total of $44.3 billion. &#10;In 2022-23, the investment was A$18.8 billion in the aviation sector, $25.1 billion in the arts, recreational and business services and $12.2 billion for accommodation, a total of $56.1 billion. "/>
                    <pic:cNvPicPr/>
                  </pic:nvPicPr>
                  <pic:blipFill rotWithShape="1">
                    <a:blip r:embed="rId55" cstate="hqprint">
                      <a:extLst>
                        <a:ext uri="{28A0092B-C50C-407E-A947-70E740481C1C}">
                          <a14:useLocalDpi xmlns:a14="http://schemas.microsoft.com/office/drawing/2010/main"/>
                        </a:ext>
                      </a:extLst>
                    </a:blip>
                    <a:srcRect/>
                    <a:stretch/>
                  </pic:blipFill>
                  <pic:spPr bwMode="auto">
                    <a:xfrm>
                      <a:off x="0" y="0"/>
                      <a:ext cx="6336030" cy="2885440"/>
                    </a:xfrm>
                    <a:prstGeom prst="rect">
                      <a:avLst/>
                    </a:prstGeom>
                    <a:ln>
                      <a:noFill/>
                    </a:ln>
                    <a:extLst>
                      <a:ext uri="{53640926-AAD7-44D8-BBD7-CCE9431645EC}">
                        <a14:shadowObscured xmlns:a14="http://schemas.microsoft.com/office/drawing/2010/main"/>
                      </a:ext>
                    </a:extLst>
                  </pic:spPr>
                </pic:pic>
              </a:graphicData>
            </a:graphic>
          </wp:inline>
        </w:drawing>
      </w:r>
    </w:p>
    <w:p w14:paraId="5DEF4EC1" w14:textId="431A8933" w:rsidR="000E07C3" w:rsidRPr="002322B7" w:rsidRDefault="000E07C3" w:rsidP="000E07C3">
      <w:pPr>
        <w:pStyle w:val="Sourcesandnotes"/>
      </w:pPr>
      <w:r w:rsidRPr="002322B7">
        <w:rPr>
          <w:b/>
          <w:bCs/>
        </w:rPr>
        <w:t xml:space="preserve">Notes: 1. </w:t>
      </w:r>
      <w:r w:rsidRPr="002322B7">
        <w:t xml:space="preserve">Tourism Research Australia (TRA) is Australia’s official provider of tourism statistics. </w:t>
      </w:r>
      <w:r w:rsidRPr="002322B7">
        <w:rPr>
          <w:b/>
          <w:bCs/>
        </w:rPr>
        <w:t>2.</w:t>
      </w:r>
      <w:r w:rsidRPr="002322B7">
        <w:t xml:space="preserve"> </w:t>
      </w:r>
      <w:r w:rsidR="00281932">
        <w:t>Includes domestic and foreign investment</w:t>
      </w:r>
      <w:r w:rsidR="000F7E65">
        <w:t>.</w:t>
      </w:r>
      <w:r w:rsidR="00EB2FF3">
        <w:t xml:space="preserve"> </w:t>
      </w:r>
      <w:r w:rsidR="00514053" w:rsidRPr="00514053">
        <w:rPr>
          <w:b/>
          <w:bCs/>
        </w:rPr>
        <w:t>3.</w:t>
      </w:r>
      <w:r w:rsidR="00514053">
        <w:t xml:space="preserve"> </w:t>
      </w:r>
      <w:r w:rsidRPr="002322B7">
        <w:t>The financial year starts in July and ends in June.</w:t>
      </w:r>
    </w:p>
    <w:p w14:paraId="40AD179B" w14:textId="77777777" w:rsidR="000E07C3" w:rsidRPr="002322B7" w:rsidRDefault="000E07C3" w:rsidP="000E07C3">
      <w:pPr>
        <w:pStyle w:val="Sourcesandnotes"/>
      </w:pPr>
      <w:r w:rsidRPr="002322B7">
        <w:rPr>
          <w:b/>
          <w:bCs/>
        </w:rPr>
        <w:t>Source:</w:t>
      </w:r>
      <w:r w:rsidRPr="002322B7">
        <w:t xml:space="preserve"> Tourism Research Australia, 2024, Tourism Investment Monitor 2022–23.</w:t>
      </w:r>
    </w:p>
    <w:p w14:paraId="4B6F78D0" w14:textId="77777777" w:rsidR="000E07C3" w:rsidRPr="002322B7" w:rsidRDefault="000E07C3" w:rsidP="000E07C3"/>
    <w:p w14:paraId="1B780F1F" w14:textId="1CE53F98" w:rsidR="00FD46E2" w:rsidRPr="002322B7" w:rsidRDefault="00FD46E2">
      <w:pPr>
        <w:spacing w:before="0" w:after="160" w:line="259" w:lineRule="auto"/>
      </w:pPr>
      <w:r w:rsidRPr="002322B7">
        <w:br w:type="page"/>
      </w:r>
    </w:p>
    <w:p w14:paraId="2FFBD423" w14:textId="6FCADE20" w:rsidR="00E7720E" w:rsidRPr="002322B7" w:rsidRDefault="00D17F07" w:rsidP="00D17F07">
      <w:pPr>
        <w:pStyle w:val="Heading-level1"/>
      </w:pPr>
      <w:bookmarkStart w:id="166" w:name="_Toc178256590"/>
      <w:r w:rsidRPr="002322B7">
        <w:lastRenderedPageBreak/>
        <w:t xml:space="preserve">Chapter </w:t>
      </w:r>
      <w:r w:rsidR="00B166AB" w:rsidRPr="002322B7">
        <w:t>5</w:t>
      </w:r>
      <w:r w:rsidRPr="002322B7">
        <w:t xml:space="preserve"> – </w:t>
      </w:r>
      <w:r w:rsidR="00EA759A" w:rsidRPr="002322B7">
        <w:t>High</w:t>
      </w:r>
      <w:r w:rsidR="00640EA4" w:rsidRPr="002322B7">
        <w:t xml:space="preserve"> </w:t>
      </w:r>
      <w:r w:rsidR="00EA759A" w:rsidRPr="002322B7">
        <w:t>quality of life</w:t>
      </w:r>
      <w:bookmarkEnd w:id="166"/>
    </w:p>
    <w:p w14:paraId="6CD0B5CF" w14:textId="2B33120F" w:rsidR="00FD46E2" w:rsidRPr="002322B7" w:rsidRDefault="00E7720E" w:rsidP="00E7720E">
      <w:pPr>
        <w:pStyle w:val="Heading-level3"/>
      </w:pPr>
      <w:bookmarkStart w:id="167" w:name="_Toc170769082"/>
      <w:bookmarkStart w:id="168" w:name="_Toc178256591"/>
      <w:r w:rsidRPr="002322B7">
        <w:t>A</w:t>
      </w:r>
      <w:r w:rsidR="009D498E" w:rsidRPr="002322B7">
        <w:t>n attractive</w:t>
      </w:r>
      <w:r w:rsidR="00EA759A" w:rsidRPr="002322B7">
        <w:t xml:space="preserve"> place to live </w:t>
      </w:r>
      <w:r w:rsidRPr="002322B7">
        <w:t>and</w:t>
      </w:r>
      <w:r w:rsidR="00EA759A" w:rsidRPr="002322B7">
        <w:t xml:space="preserve"> work</w:t>
      </w:r>
      <w:bookmarkEnd w:id="167"/>
      <w:bookmarkEnd w:id="168"/>
    </w:p>
    <w:p w14:paraId="379D6EAA" w14:textId="4581680A" w:rsidR="005B4733" w:rsidRPr="002322B7" w:rsidRDefault="005B4733" w:rsidP="003F1867">
      <w:pPr>
        <w:pStyle w:val="Body-copy"/>
        <w:rPr>
          <w:lang w:val="en-AU"/>
        </w:rPr>
      </w:pPr>
      <w:r w:rsidRPr="002322B7">
        <w:rPr>
          <w:lang w:val="en-AU"/>
        </w:rPr>
        <w:t>Our cities are not only well-organi</w:t>
      </w:r>
      <w:r w:rsidR="00053944" w:rsidRPr="002322B7">
        <w:rPr>
          <w:lang w:val="en-AU"/>
        </w:rPr>
        <w:t>s</w:t>
      </w:r>
      <w:r w:rsidRPr="002322B7">
        <w:rPr>
          <w:lang w:val="en-AU"/>
        </w:rPr>
        <w:t xml:space="preserve">ed but also </w:t>
      </w:r>
      <w:r w:rsidR="00DA0AFC">
        <w:rPr>
          <w:lang w:val="en-AU"/>
        </w:rPr>
        <w:t>compare favourably</w:t>
      </w:r>
      <w:r w:rsidR="0005200E">
        <w:rPr>
          <w:lang w:val="en-AU"/>
        </w:rPr>
        <w:t xml:space="preserve"> with major cities in the Asian region</w:t>
      </w:r>
      <w:r w:rsidR="00937978">
        <w:rPr>
          <w:lang w:val="en-AU"/>
        </w:rPr>
        <w:t xml:space="preserve"> on costs</w:t>
      </w:r>
      <w:r w:rsidR="0002131A">
        <w:rPr>
          <w:lang w:val="en-AU"/>
        </w:rPr>
        <w:t>,</w:t>
      </w:r>
      <w:r w:rsidR="0005200E">
        <w:rPr>
          <w:lang w:val="en-AU"/>
        </w:rPr>
        <w:t xml:space="preserve"> </w:t>
      </w:r>
      <w:r w:rsidR="0098040C">
        <w:rPr>
          <w:lang w:val="en-AU"/>
        </w:rPr>
        <w:t>according to</w:t>
      </w:r>
      <w:r w:rsidRPr="002322B7">
        <w:rPr>
          <w:lang w:val="en-AU"/>
        </w:rPr>
        <w:t xml:space="preserve"> Mercer's 2022 Cost of Living Index. </w:t>
      </w:r>
    </w:p>
    <w:p w14:paraId="7CC32506" w14:textId="630715A6" w:rsidR="005B4733" w:rsidRPr="002322B7" w:rsidRDefault="005B4733" w:rsidP="003F1867">
      <w:pPr>
        <w:pStyle w:val="Body-copy"/>
        <w:rPr>
          <w:lang w:val="en-AU"/>
        </w:rPr>
      </w:pPr>
      <w:r w:rsidRPr="4FEBF9DC">
        <w:rPr>
          <w:lang w:val="en-AU"/>
        </w:rPr>
        <w:t xml:space="preserve">Australia is a </w:t>
      </w:r>
      <w:r w:rsidR="00BA1F05" w:rsidRPr="4FEBF9DC">
        <w:rPr>
          <w:lang w:val="en-AU"/>
        </w:rPr>
        <w:t>prosper</w:t>
      </w:r>
      <w:r w:rsidR="0055080F" w:rsidRPr="4FEBF9DC">
        <w:rPr>
          <w:lang w:val="en-AU"/>
        </w:rPr>
        <w:t>ous</w:t>
      </w:r>
      <w:r w:rsidRPr="4FEBF9DC">
        <w:rPr>
          <w:lang w:val="en-AU"/>
        </w:rPr>
        <w:t xml:space="preserve"> society </w:t>
      </w:r>
      <w:r w:rsidR="00942B18" w:rsidRPr="4FEBF9DC">
        <w:rPr>
          <w:lang w:val="en-AU"/>
        </w:rPr>
        <w:t xml:space="preserve">where wealth is </w:t>
      </w:r>
      <w:r w:rsidR="00010CDC" w:rsidRPr="4FEBF9DC">
        <w:rPr>
          <w:lang w:val="en-AU"/>
        </w:rPr>
        <w:t xml:space="preserve">more </w:t>
      </w:r>
      <w:r w:rsidRPr="4FEBF9DC">
        <w:rPr>
          <w:lang w:val="en-AU"/>
        </w:rPr>
        <w:t>evenly distributed</w:t>
      </w:r>
      <w:r w:rsidR="005E73F6" w:rsidRPr="4FEBF9DC">
        <w:rPr>
          <w:lang w:val="en-AU"/>
        </w:rPr>
        <w:t xml:space="preserve"> when compared with our peers</w:t>
      </w:r>
      <w:r w:rsidRPr="4FEBF9DC">
        <w:rPr>
          <w:lang w:val="en-AU"/>
        </w:rPr>
        <w:t>. We have one of the highest levels of median wealth globally, with nearly 6 million households earning annual incomes exceeding US$75,000 from a population nearing 27 million. This number is expected to rise to 7 million by 2030 as our economy outpace</w:t>
      </w:r>
      <w:r w:rsidR="00FF5BC9" w:rsidRPr="4FEBF9DC">
        <w:rPr>
          <w:lang w:val="en-AU"/>
        </w:rPr>
        <w:t>s</w:t>
      </w:r>
      <w:r w:rsidRPr="4FEBF9DC">
        <w:rPr>
          <w:lang w:val="en-AU"/>
        </w:rPr>
        <w:t xml:space="preserve"> our peers.</w:t>
      </w:r>
    </w:p>
    <w:p w14:paraId="67BDEF3B" w14:textId="00F254A7" w:rsidR="005B4733" w:rsidRPr="002322B7" w:rsidRDefault="005B4733" w:rsidP="003F1867">
      <w:pPr>
        <w:pStyle w:val="Body-copy"/>
        <w:rPr>
          <w:lang w:val="en-AU"/>
        </w:rPr>
      </w:pPr>
      <w:r w:rsidRPr="4FEBF9DC">
        <w:rPr>
          <w:lang w:val="en-AU"/>
        </w:rPr>
        <w:t>Australia's top-notch healthcare system is renowned for excellent public and private hospitals, world-class medical professionals</w:t>
      </w:r>
      <w:r w:rsidR="003352AB" w:rsidRPr="4FEBF9DC">
        <w:rPr>
          <w:lang w:val="en-AU"/>
        </w:rPr>
        <w:t>, and effective public health programs</w:t>
      </w:r>
      <w:r w:rsidRPr="4FEBF9DC">
        <w:rPr>
          <w:lang w:val="en-AU"/>
        </w:rPr>
        <w:t>. Government spending on healthcare reached US$131 billion in 2023</w:t>
      </w:r>
      <w:r w:rsidR="00D74004" w:rsidRPr="4FEBF9DC">
        <w:rPr>
          <w:lang w:val="en-AU"/>
        </w:rPr>
        <w:t xml:space="preserve">. This places </w:t>
      </w:r>
      <w:r w:rsidRPr="4FEBF9DC">
        <w:rPr>
          <w:lang w:val="en-AU"/>
        </w:rPr>
        <w:t xml:space="preserve">Australia </w:t>
      </w:r>
      <w:r w:rsidR="00C74021" w:rsidRPr="4FEBF9DC">
        <w:rPr>
          <w:lang w:val="en-AU"/>
        </w:rPr>
        <w:t>as</w:t>
      </w:r>
      <w:r w:rsidR="00D74004" w:rsidRPr="4FEBF9DC">
        <w:rPr>
          <w:lang w:val="en-AU"/>
        </w:rPr>
        <w:t xml:space="preserve"> the </w:t>
      </w:r>
      <w:r w:rsidR="00815147" w:rsidRPr="4FEBF9DC">
        <w:rPr>
          <w:lang w:val="en-AU"/>
        </w:rPr>
        <w:t>5</w:t>
      </w:r>
      <w:r w:rsidR="00C74021" w:rsidRPr="4FEBF9DC">
        <w:rPr>
          <w:vertAlign w:val="superscript"/>
          <w:lang w:val="en-AU"/>
        </w:rPr>
        <w:t>th</w:t>
      </w:r>
      <w:r w:rsidR="00C74021" w:rsidRPr="4FEBF9DC">
        <w:rPr>
          <w:lang w:val="en-AU"/>
        </w:rPr>
        <w:t>-highest</w:t>
      </w:r>
      <w:r w:rsidR="00D74004" w:rsidRPr="4FEBF9DC">
        <w:rPr>
          <w:lang w:val="en-AU"/>
        </w:rPr>
        <w:t xml:space="preserve"> globally in terms of healthcare spending per person</w:t>
      </w:r>
      <w:r w:rsidR="00C74021" w:rsidRPr="4FEBF9DC">
        <w:rPr>
          <w:lang w:val="en-AU"/>
        </w:rPr>
        <w:t>,</w:t>
      </w:r>
      <w:r w:rsidR="006A4E32" w:rsidRPr="4FEBF9DC">
        <w:rPr>
          <w:lang w:val="en-AU"/>
        </w:rPr>
        <w:t xml:space="preserve"> and 6</w:t>
      </w:r>
      <w:r w:rsidR="00C74021" w:rsidRPr="4FEBF9DC">
        <w:rPr>
          <w:vertAlign w:val="superscript"/>
          <w:lang w:val="en-AU"/>
        </w:rPr>
        <w:t>th</w:t>
      </w:r>
      <w:r w:rsidRPr="4FEBF9DC">
        <w:rPr>
          <w:lang w:val="en-AU"/>
        </w:rPr>
        <w:t>-</w:t>
      </w:r>
      <w:r w:rsidR="00C74021" w:rsidRPr="4FEBF9DC">
        <w:rPr>
          <w:lang w:val="en-AU"/>
        </w:rPr>
        <w:t>highest</w:t>
      </w:r>
      <w:r w:rsidR="006A4E32" w:rsidRPr="4FEBF9DC">
        <w:rPr>
          <w:lang w:val="en-AU"/>
        </w:rPr>
        <w:t xml:space="preserve"> in absolute terms</w:t>
      </w:r>
      <w:r w:rsidR="00D74004" w:rsidRPr="4FEBF9DC">
        <w:rPr>
          <w:lang w:val="en-AU"/>
        </w:rPr>
        <w:t xml:space="preserve">. </w:t>
      </w:r>
    </w:p>
    <w:p w14:paraId="055F9365" w14:textId="474E000F" w:rsidR="005E4A57" w:rsidRPr="002322B7" w:rsidRDefault="0079522A" w:rsidP="003F1867">
      <w:pPr>
        <w:pStyle w:val="Body-copy"/>
        <w:rPr>
          <w:lang w:val="en-AU"/>
        </w:rPr>
      </w:pPr>
      <w:r w:rsidRPr="002322B7">
        <w:rPr>
          <w:lang w:val="en-AU"/>
        </w:rPr>
        <w:t>Above</w:t>
      </w:r>
      <w:r w:rsidR="00E21BF7" w:rsidRPr="002322B7">
        <w:rPr>
          <w:lang w:val="en-AU"/>
        </w:rPr>
        <w:t xml:space="preserve"> all, Australians are happy people. In 2023, the World Happiness Index ranked Australia as the happiest country in the Asia and Oceania regions. Many believe that the Happiness Index is a more comprehensive indicator than traditional economic measurements like GDP. This is because it takes a holistic approach to measur</w:t>
      </w:r>
      <w:r w:rsidR="00AE15C7" w:rsidRPr="002322B7">
        <w:rPr>
          <w:lang w:val="en-AU"/>
        </w:rPr>
        <w:t>ing</w:t>
      </w:r>
      <w:r w:rsidR="00E21BF7" w:rsidRPr="002322B7">
        <w:rPr>
          <w:lang w:val="en-AU"/>
        </w:rPr>
        <w:t xml:space="preserve"> well-being</w:t>
      </w:r>
      <w:r w:rsidR="00AE15C7" w:rsidRPr="002322B7">
        <w:rPr>
          <w:lang w:val="en-AU"/>
        </w:rPr>
        <w:t>. This Happiness Index</w:t>
      </w:r>
      <w:r w:rsidR="00E21BF7" w:rsidRPr="002322B7">
        <w:rPr>
          <w:lang w:val="en-AU"/>
        </w:rPr>
        <w:t xml:space="preserve"> </w:t>
      </w:r>
      <w:r w:rsidR="00C92047" w:rsidRPr="002322B7">
        <w:rPr>
          <w:lang w:val="en-AU"/>
        </w:rPr>
        <w:t>is affected by</w:t>
      </w:r>
      <w:r w:rsidR="00E21BF7" w:rsidRPr="002322B7">
        <w:rPr>
          <w:lang w:val="en-AU"/>
        </w:rPr>
        <w:t xml:space="preserve"> factors such as mental and physical health, social connections, income inequality and environmental quality. </w:t>
      </w:r>
    </w:p>
    <w:p w14:paraId="6B01B2C6" w14:textId="67736A21" w:rsidR="005B4733" w:rsidRPr="002322B7" w:rsidRDefault="005E4A57" w:rsidP="003F1867">
      <w:pPr>
        <w:pStyle w:val="Body-copy"/>
        <w:rPr>
          <w:lang w:val="en-AU"/>
        </w:rPr>
      </w:pPr>
      <w:r w:rsidRPr="002322B7">
        <w:rPr>
          <w:lang w:val="en-AU"/>
        </w:rPr>
        <w:t xml:space="preserve">Today, </w:t>
      </w:r>
      <w:r w:rsidR="00E21BF7" w:rsidRPr="002322B7">
        <w:rPr>
          <w:lang w:val="en-AU"/>
        </w:rPr>
        <w:t>Australia's lifestyle, attitudes</w:t>
      </w:r>
      <w:r w:rsidR="00314616" w:rsidRPr="002322B7">
        <w:rPr>
          <w:lang w:val="en-AU"/>
        </w:rPr>
        <w:t xml:space="preserve"> and</w:t>
      </w:r>
      <w:r w:rsidR="00E21BF7" w:rsidRPr="002322B7">
        <w:rPr>
          <w:lang w:val="en-AU"/>
        </w:rPr>
        <w:t xml:space="preserve"> values</w:t>
      </w:r>
      <w:r w:rsidR="00314616" w:rsidRPr="002322B7">
        <w:rPr>
          <w:lang w:val="en-AU"/>
        </w:rPr>
        <w:t xml:space="preserve"> </w:t>
      </w:r>
      <w:r w:rsidR="00E21BF7" w:rsidRPr="002322B7">
        <w:rPr>
          <w:lang w:val="en-AU"/>
        </w:rPr>
        <w:t xml:space="preserve">make </w:t>
      </w:r>
      <w:r w:rsidR="00314616" w:rsidRPr="002322B7">
        <w:rPr>
          <w:lang w:val="en-AU"/>
        </w:rPr>
        <w:t>us</w:t>
      </w:r>
      <w:r w:rsidR="00E21BF7" w:rsidRPr="002322B7">
        <w:rPr>
          <w:lang w:val="en-AU"/>
        </w:rPr>
        <w:t xml:space="preserve"> an</w:t>
      </w:r>
      <w:r w:rsidRPr="002322B7">
        <w:rPr>
          <w:lang w:val="en-AU"/>
        </w:rPr>
        <w:t xml:space="preserve"> </w:t>
      </w:r>
      <w:r w:rsidR="00E21BF7" w:rsidRPr="002322B7">
        <w:rPr>
          <w:lang w:val="en-AU"/>
        </w:rPr>
        <w:t xml:space="preserve">attractive destination for global companies </w:t>
      </w:r>
      <w:r w:rsidR="00314616" w:rsidRPr="002322B7">
        <w:rPr>
          <w:lang w:val="en-AU"/>
        </w:rPr>
        <w:t>that want to</w:t>
      </w:r>
      <w:r w:rsidR="00E21BF7" w:rsidRPr="002322B7">
        <w:rPr>
          <w:lang w:val="en-AU"/>
        </w:rPr>
        <w:t xml:space="preserve"> relocate employees and their families to the Asia-Pacific region.</w:t>
      </w:r>
    </w:p>
    <w:p w14:paraId="76D0CA63" w14:textId="77777777" w:rsidR="000460F4" w:rsidRPr="002322B7" w:rsidRDefault="000460F4" w:rsidP="000460F4">
      <w:pPr>
        <w:pStyle w:val="Heading-level2"/>
      </w:pPr>
      <w:bookmarkStart w:id="169" w:name="_Toc178256592"/>
      <w:bookmarkStart w:id="170" w:name="_Toc165471175"/>
      <w:r w:rsidRPr="002322B7">
        <w:lastRenderedPageBreak/>
        <w:t>Top marks for talent attraction</w:t>
      </w:r>
      <w:bookmarkEnd w:id="169"/>
    </w:p>
    <w:p w14:paraId="42F140EF" w14:textId="40F79632" w:rsidR="000460F4" w:rsidRPr="002322B7" w:rsidRDefault="000460F4" w:rsidP="003F1867">
      <w:pPr>
        <w:pStyle w:val="Body-copy"/>
        <w:rPr>
          <w:lang w:val="en-AU"/>
        </w:rPr>
      </w:pPr>
      <w:r w:rsidRPr="002322B7">
        <w:rPr>
          <w:lang w:val="en-AU"/>
        </w:rPr>
        <w:t xml:space="preserve">Australia is a magnet for talented workers. The </w:t>
      </w:r>
      <w:r w:rsidR="00DE3B12" w:rsidRPr="00DE3B12">
        <w:rPr>
          <w:lang w:val="en-AU"/>
        </w:rPr>
        <w:t>OECD</w:t>
      </w:r>
      <w:r w:rsidRPr="002322B7">
        <w:rPr>
          <w:lang w:val="en-AU"/>
        </w:rPr>
        <w:t xml:space="preserve"> ranks Australia 4</w:t>
      </w:r>
      <w:r w:rsidRPr="002322B7">
        <w:rPr>
          <w:vertAlign w:val="superscript"/>
          <w:lang w:val="en-AU"/>
        </w:rPr>
        <w:t>th</w:t>
      </w:r>
      <w:r w:rsidRPr="002322B7">
        <w:rPr>
          <w:lang w:val="en-AU"/>
        </w:rPr>
        <w:t xml:space="preserve"> out of 38 countries when it comes to talent attractiveness</w:t>
      </w:r>
      <w:r w:rsidR="00C35ECC">
        <w:rPr>
          <w:lang w:val="en-AU"/>
        </w:rPr>
        <w:t>.</w:t>
      </w:r>
      <w:r w:rsidR="00F92A03">
        <w:rPr>
          <w:lang w:val="en-AU"/>
        </w:rPr>
        <w:t xml:space="preserve"> </w:t>
      </w:r>
      <w:r w:rsidR="00C35ECC">
        <w:rPr>
          <w:lang w:val="en-AU"/>
        </w:rPr>
        <w:t>Th</w:t>
      </w:r>
      <w:r w:rsidR="003E3A4A">
        <w:rPr>
          <w:lang w:val="en-AU"/>
        </w:rPr>
        <w:t>is</w:t>
      </w:r>
      <w:r w:rsidR="00C35ECC">
        <w:rPr>
          <w:lang w:val="en-AU"/>
        </w:rPr>
        <w:t xml:space="preserve"> index </w:t>
      </w:r>
      <w:r w:rsidR="00F92A03">
        <w:rPr>
          <w:lang w:val="en-AU"/>
        </w:rPr>
        <w:t>takes into account</w:t>
      </w:r>
      <w:r w:rsidRPr="002322B7">
        <w:rPr>
          <w:lang w:val="en-AU"/>
        </w:rPr>
        <w:t xml:space="preserve"> variables such as career opportunities, income, tax structure, skills development prospects, inclusivity and quality of life. These </w:t>
      </w:r>
      <w:r w:rsidR="00D41A6E" w:rsidRPr="002322B7">
        <w:rPr>
          <w:lang w:val="en-AU"/>
        </w:rPr>
        <w:t>qualities set Australia apart</w:t>
      </w:r>
      <w:r w:rsidR="006261E9">
        <w:rPr>
          <w:lang w:val="en-AU"/>
        </w:rPr>
        <w:t xml:space="preserve">, </w:t>
      </w:r>
      <w:r w:rsidRPr="002322B7">
        <w:rPr>
          <w:lang w:val="en-AU"/>
        </w:rPr>
        <w:t>mak</w:t>
      </w:r>
      <w:r w:rsidR="006261E9">
        <w:rPr>
          <w:lang w:val="en-AU"/>
        </w:rPr>
        <w:t>ing</w:t>
      </w:r>
      <w:r w:rsidRPr="002322B7">
        <w:rPr>
          <w:lang w:val="en-AU"/>
        </w:rPr>
        <w:t xml:space="preserve"> it easy for investors to attract and retain the best global professionals</w:t>
      </w:r>
      <w:r w:rsidR="00766F36" w:rsidRPr="002322B7">
        <w:rPr>
          <w:lang w:val="en-AU"/>
        </w:rPr>
        <w:t xml:space="preserve"> and </w:t>
      </w:r>
      <w:r w:rsidRPr="002322B7">
        <w:rPr>
          <w:lang w:val="en-AU"/>
        </w:rPr>
        <w:t>ensur</w:t>
      </w:r>
      <w:r w:rsidR="00766F36" w:rsidRPr="002322B7">
        <w:rPr>
          <w:lang w:val="en-AU"/>
        </w:rPr>
        <w:t>e</w:t>
      </w:r>
      <w:r w:rsidRPr="002322B7">
        <w:rPr>
          <w:lang w:val="en-AU"/>
        </w:rPr>
        <w:t xml:space="preserve"> strong support for investment plan</w:t>
      </w:r>
      <w:r w:rsidR="00182941">
        <w:rPr>
          <w:lang w:val="en-AU"/>
        </w:rPr>
        <w:t>s</w:t>
      </w:r>
      <w:r w:rsidRPr="002322B7">
        <w:rPr>
          <w:lang w:val="en-AU"/>
        </w:rPr>
        <w:t xml:space="preserve"> in Australia.</w:t>
      </w:r>
    </w:p>
    <w:p w14:paraId="3C54EC2A" w14:textId="251805F5" w:rsidR="000460F4" w:rsidRDefault="000460F4" w:rsidP="000460F4">
      <w:pPr>
        <w:pStyle w:val="Caption"/>
      </w:pPr>
      <w:bookmarkStart w:id="171" w:name="_Toc178256538"/>
      <w:r w:rsidRPr="002322B7">
        <w:t xml:space="preserve">Figure </w:t>
      </w:r>
      <w:r w:rsidR="00CF16FA">
        <w:fldChar w:fldCharType="begin"/>
      </w:r>
      <w:r w:rsidR="00CF16FA">
        <w:instrText xml:space="preserve"> SEQ Figure \* ARABIC </w:instrText>
      </w:r>
      <w:r w:rsidR="00CF16FA">
        <w:fldChar w:fldCharType="separate"/>
      </w:r>
      <w:r w:rsidR="002459CF">
        <w:rPr>
          <w:noProof/>
        </w:rPr>
        <w:t>39</w:t>
      </w:r>
      <w:r w:rsidR="00CF16FA">
        <w:rPr>
          <w:noProof/>
        </w:rPr>
        <w:fldChar w:fldCharType="end"/>
      </w:r>
      <w:r w:rsidRPr="002322B7">
        <w:t xml:space="preserve"> – Talent attractiveness</w:t>
      </w:r>
      <w:bookmarkEnd w:id="171"/>
    </w:p>
    <w:p w14:paraId="2D5D1E21" w14:textId="66F114AF" w:rsidR="00B276D6" w:rsidRDefault="00B276D6" w:rsidP="00B276D6">
      <w:r>
        <w:rPr>
          <w:noProof/>
        </w:rPr>
        <w:drawing>
          <wp:inline distT="0" distB="0" distL="0" distR="0" wp14:anchorId="49B36653" wp14:editId="594950D1">
            <wp:extent cx="6336030" cy="4284345"/>
            <wp:effectExtent l="0" t="0" r="7620" b="1905"/>
            <wp:docPr id="1605593908" name="Picture 49" descr="The bar chart shows the Talent Attractiveness Index in 2023. The chart shows the economy, its global ranking, and its talent attractiveness value according to the index. The figures are:&#10;New Zealand (ranked #1) index value 0.64; Sweden (ranked #2) index value 0.62; Switzerland (ranked #3) index value 0.62; Australia (ranked #4) index value 0.62; Norway (ranked #5) index value 0.61; Luxembourg (ranked #6) index value 0.59; UK (ranked #7) index value 0.59; US (ranked #8) index value 0.58; Netherlands (ranked #9) index value 0.57; Canada (ranked #10) index value 0.57; Finland (ranked #14) index value 0.55; Germany (ranked #15) index value 0.55; France (ranked #17) index value 0.54; Japan (ranked #22) index value 0.5; Spain (ranked #23) index value 0.5; Korea (ranked #25) index value 0.5; Italy (ranked #31) index value 0.44; Mexico (ranked #36) index value 0.36; Türkiye (ranked #37) index value 0.33; and Costa Rica (ranked #38) index value 0.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93908" name="Picture 49" descr="The bar chart shows the Talent Attractiveness Index in 2023. The chart shows the economy, its global ranking, and its talent attractiveness value according to the index. The figures are:&#10;New Zealand (ranked #1) index value 0.64; Sweden (ranked #2) index value 0.62; Switzerland (ranked #3) index value 0.62; Australia (ranked #4) index value 0.62; Norway (ranked #5) index value 0.61; Luxembourg (ranked #6) index value 0.59; UK (ranked #7) index value 0.59; US (ranked #8) index value 0.58; Netherlands (ranked #9) index value 0.57; Canada (ranked #10) index value 0.57; Finland (ranked #14) index value 0.55; Germany (ranked #15) index value 0.55; France (ranked #17) index value 0.54; Japan (ranked #22) index value 0.5; Spain (ranked #23) index value 0.5; Korea (ranked #25) index value 0.5; Italy (ranked #31) index value 0.44; Mexico (ranked #36) index value 0.36; Türkiye (ranked #37) index value 0.33; and Costa Rica (ranked #38) index value 0.32.&#10;"/>
                    <pic:cNvPicPr/>
                  </pic:nvPicPr>
                  <pic:blipFill rotWithShape="1">
                    <a:blip r:embed="rId56" cstate="hqprint">
                      <a:extLst>
                        <a:ext uri="{28A0092B-C50C-407E-A947-70E740481C1C}">
                          <a14:useLocalDpi xmlns:a14="http://schemas.microsoft.com/office/drawing/2010/main"/>
                        </a:ext>
                      </a:extLst>
                    </a:blip>
                    <a:srcRect/>
                    <a:stretch/>
                  </pic:blipFill>
                  <pic:spPr bwMode="auto">
                    <a:xfrm>
                      <a:off x="0" y="0"/>
                      <a:ext cx="6336030" cy="4284345"/>
                    </a:xfrm>
                    <a:prstGeom prst="rect">
                      <a:avLst/>
                    </a:prstGeom>
                    <a:ln>
                      <a:noFill/>
                    </a:ln>
                    <a:extLst>
                      <a:ext uri="{53640926-AAD7-44D8-BBD7-CCE9431645EC}">
                        <a14:shadowObscured xmlns:a14="http://schemas.microsoft.com/office/drawing/2010/main"/>
                      </a:ext>
                    </a:extLst>
                  </pic:spPr>
                </pic:pic>
              </a:graphicData>
            </a:graphic>
          </wp:inline>
        </w:drawing>
      </w:r>
    </w:p>
    <w:p w14:paraId="6A169429" w14:textId="77777777" w:rsidR="000460F4" w:rsidRPr="002322B7" w:rsidRDefault="000460F4" w:rsidP="000460F4">
      <w:pPr>
        <w:pStyle w:val="Sourcesandnotes"/>
      </w:pPr>
      <w:r w:rsidRPr="002322B7">
        <w:rPr>
          <w:b/>
          <w:bCs/>
        </w:rPr>
        <w:t xml:space="preserve">Note: </w:t>
      </w:r>
      <w:r w:rsidRPr="002322B7">
        <w:t>The number in brackets indicates the economy’s ranking across 38 economies.</w:t>
      </w:r>
    </w:p>
    <w:p w14:paraId="7F3EE4F9" w14:textId="46D71CBD" w:rsidR="000460F4" w:rsidRPr="002322B7" w:rsidRDefault="000460F4" w:rsidP="000460F4">
      <w:pPr>
        <w:pStyle w:val="Sourcesandnotes"/>
      </w:pPr>
      <w:r w:rsidRPr="002322B7">
        <w:rPr>
          <w:b/>
          <w:bCs/>
        </w:rPr>
        <w:t xml:space="preserve">Sources: </w:t>
      </w:r>
      <w:r w:rsidR="00DE3B12" w:rsidRPr="00DE3B12">
        <w:t xml:space="preserve"> Organisation for Economic Co-operation and Development</w:t>
      </w:r>
      <w:r w:rsidRPr="002322B7">
        <w:t xml:space="preserve">, 2024, </w:t>
      </w:r>
      <w:r w:rsidR="009958B8" w:rsidRPr="002322B7">
        <w:t>d</w:t>
      </w:r>
      <w:r w:rsidRPr="002322B7">
        <w:t>ata provided by the International Migration Division of the OECD; Austrade.</w:t>
      </w:r>
    </w:p>
    <w:p w14:paraId="2AE31CDE" w14:textId="77777777" w:rsidR="000460F4" w:rsidRPr="002322B7" w:rsidRDefault="000460F4" w:rsidP="000460F4">
      <w:pPr>
        <w:pStyle w:val="Sourcesandnotes"/>
      </w:pPr>
    </w:p>
    <w:p w14:paraId="207C8733" w14:textId="77777777" w:rsidR="00F54396" w:rsidRPr="002322B7" w:rsidRDefault="00F54396" w:rsidP="00F54396">
      <w:pPr>
        <w:pStyle w:val="Heading-level2"/>
      </w:pPr>
      <w:bookmarkStart w:id="172" w:name="_Toc178256593"/>
      <w:r w:rsidRPr="002322B7">
        <w:lastRenderedPageBreak/>
        <w:t>Australia's dynamic cities</w:t>
      </w:r>
      <w:bookmarkEnd w:id="170"/>
      <w:bookmarkEnd w:id="172"/>
    </w:p>
    <w:p w14:paraId="645B6AF2" w14:textId="4D63ED9A" w:rsidR="00F54396" w:rsidRPr="002322B7" w:rsidRDefault="00F54396" w:rsidP="003F1867">
      <w:pPr>
        <w:pStyle w:val="Body-copy"/>
        <w:rPr>
          <w:lang w:val="en-AU"/>
        </w:rPr>
      </w:pPr>
      <w:bookmarkStart w:id="173" w:name="_Hlk164834304"/>
      <w:r w:rsidRPr="002322B7">
        <w:rPr>
          <w:lang w:val="en-AU"/>
        </w:rPr>
        <w:t>Australia</w:t>
      </w:r>
      <w:r w:rsidR="000D2F44" w:rsidRPr="002322B7">
        <w:rPr>
          <w:lang w:val="en-AU"/>
        </w:rPr>
        <w:t>’s</w:t>
      </w:r>
      <w:r w:rsidRPr="002322B7">
        <w:rPr>
          <w:lang w:val="en-AU"/>
        </w:rPr>
        <w:t xml:space="preserve"> lifestyle cities</w:t>
      </w:r>
      <w:r w:rsidR="000D2F44" w:rsidRPr="002322B7">
        <w:rPr>
          <w:lang w:val="en-AU"/>
        </w:rPr>
        <w:t xml:space="preserve"> are a </w:t>
      </w:r>
      <w:r w:rsidR="00E930A1" w:rsidRPr="002322B7">
        <w:rPr>
          <w:lang w:val="en-AU"/>
        </w:rPr>
        <w:t>source of competitive advantage among investment destinations</w:t>
      </w:r>
      <w:r w:rsidRPr="002322B7">
        <w:rPr>
          <w:lang w:val="en-AU"/>
        </w:rPr>
        <w:t xml:space="preserve">. Our </w:t>
      </w:r>
      <w:r w:rsidR="00A15149" w:rsidRPr="002322B7">
        <w:rPr>
          <w:lang w:val="en-AU"/>
        </w:rPr>
        <w:t>clean, safe and well organised</w:t>
      </w:r>
      <w:r w:rsidR="00A15149">
        <w:rPr>
          <w:lang w:val="en-AU"/>
        </w:rPr>
        <w:t xml:space="preserve"> </w:t>
      </w:r>
      <w:r w:rsidRPr="002322B7">
        <w:rPr>
          <w:lang w:val="en-AU"/>
        </w:rPr>
        <w:t>urban centres</w:t>
      </w:r>
      <w:r w:rsidR="00A15149">
        <w:rPr>
          <w:lang w:val="en-AU"/>
        </w:rPr>
        <w:t>, as well as our</w:t>
      </w:r>
      <w:r w:rsidRPr="002322B7">
        <w:rPr>
          <w:lang w:val="en-AU"/>
        </w:rPr>
        <w:t xml:space="preserve"> </w:t>
      </w:r>
      <w:r w:rsidR="00A15149" w:rsidRPr="002322B7">
        <w:rPr>
          <w:lang w:val="en-AU"/>
        </w:rPr>
        <w:t>relaxed, outdoor lifestyle</w:t>
      </w:r>
      <w:r w:rsidRPr="002322B7">
        <w:rPr>
          <w:lang w:val="en-AU"/>
        </w:rPr>
        <w:t xml:space="preserve"> are</w:t>
      </w:r>
      <w:r w:rsidR="00A15149">
        <w:rPr>
          <w:lang w:val="en-AU"/>
        </w:rPr>
        <w:t xml:space="preserve"> </w:t>
      </w:r>
      <w:r w:rsidR="00784328">
        <w:rPr>
          <w:lang w:val="en-AU"/>
        </w:rPr>
        <w:t>ideal for</w:t>
      </w:r>
      <w:r w:rsidRPr="002322B7">
        <w:rPr>
          <w:lang w:val="en-AU"/>
        </w:rPr>
        <w:t xml:space="preserve"> </w:t>
      </w:r>
      <w:r w:rsidR="00A15149">
        <w:rPr>
          <w:lang w:val="en-AU"/>
        </w:rPr>
        <w:t xml:space="preserve">solo migrants and </w:t>
      </w:r>
      <w:r w:rsidRPr="002322B7">
        <w:rPr>
          <w:lang w:val="en-AU"/>
        </w:rPr>
        <w:t>executives who bring their families to Australia</w:t>
      </w:r>
      <w:bookmarkEnd w:id="173"/>
      <w:r w:rsidRPr="002322B7">
        <w:rPr>
          <w:lang w:val="en-AU"/>
        </w:rPr>
        <w:t>. Best of all, our prosperity delivers a high</w:t>
      </w:r>
      <w:r w:rsidR="008E0DE2" w:rsidRPr="002322B7">
        <w:rPr>
          <w:lang w:val="en-AU"/>
        </w:rPr>
        <w:t xml:space="preserve"> </w:t>
      </w:r>
      <w:r w:rsidRPr="002322B7">
        <w:rPr>
          <w:lang w:val="en-AU"/>
        </w:rPr>
        <w:t>standard of livin</w:t>
      </w:r>
      <w:r w:rsidR="00D03C2C" w:rsidRPr="002322B7">
        <w:rPr>
          <w:lang w:val="en-AU"/>
        </w:rPr>
        <w:t>g – without</w:t>
      </w:r>
      <w:r w:rsidRPr="002322B7">
        <w:rPr>
          <w:lang w:val="en-AU"/>
        </w:rPr>
        <w:t xml:space="preserve"> making us a high-cost country. Mercer's 2022 Cost of Living Index reports that Australia’s state capitals are generally more affordable than major cities in the Asia region. The fact that our cities are family-friendly and affordable makes Australia a top choice when investors are looking </w:t>
      </w:r>
      <w:r w:rsidR="00FA2CE7" w:rsidRPr="002322B7">
        <w:rPr>
          <w:lang w:val="en-AU"/>
        </w:rPr>
        <w:t xml:space="preserve">to relocate </w:t>
      </w:r>
      <w:r w:rsidRPr="002322B7">
        <w:rPr>
          <w:lang w:val="en-AU"/>
        </w:rPr>
        <w:t xml:space="preserve">employees. </w:t>
      </w:r>
    </w:p>
    <w:p w14:paraId="2222B855" w14:textId="4F9C1F37" w:rsidR="00F54396" w:rsidRDefault="00F54396" w:rsidP="00F54396">
      <w:pPr>
        <w:pStyle w:val="Caption"/>
      </w:pPr>
      <w:bookmarkStart w:id="174" w:name="_Toc165471226"/>
      <w:bookmarkStart w:id="175" w:name="_Toc178256539"/>
      <w:r w:rsidRPr="002322B7">
        <w:t xml:space="preserve">Figure </w:t>
      </w:r>
      <w:r w:rsidR="00CF16FA">
        <w:fldChar w:fldCharType="begin"/>
      </w:r>
      <w:r w:rsidR="00CF16FA">
        <w:instrText xml:space="preserve"> SEQ Figure \* ARABIC </w:instrText>
      </w:r>
      <w:r w:rsidR="00CF16FA">
        <w:fldChar w:fldCharType="separate"/>
      </w:r>
      <w:r w:rsidR="002459CF">
        <w:rPr>
          <w:noProof/>
        </w:rPr>
        <w:t>40</w:t>
      </w:r>
      <w:r w:rsidR="00CF16FA">
        <w:rPr>
          <w:noProof/>
        </w:rPr>
        <w:fldChar w:fldCharType="end"/>
      </w:r>
      <w:r w:rsidRPr="002322B7">
        <w:t xml:space="preserve"> – Cost of living: Global </w:t>
      </w:r>
      <w:r w:rsidR="00ED6064">
        <w:t>c</w:t>
      </w:r>
      <w:r w:rsidRPr="002322B7">
        <w:t>ity rankings, 2023</w:t>
      </w:r>
      <w:bookmarkEnd w:id="174"/>
      <w:bookmarkEnd w:id="175"/>
    </w:p>
    <w:p w14:paraId="2906565E" w14:textId="77777777" w:rsidR="00F54396" w:rsidRPr="002322B7" w:rsidRDefault="00F54396" w:rsidP="00F54396">
      <w:r w:rsidRPr="002322B7">
        <w:rPr>
          <w:noProof/>
        </w:rPr>
        <w:drawing>
          <wp:inline distT="0" distB="0" distL="0" distR="0" wp14:anchorId="6C756D0B" wp14:editId="0548EA18">
            <wp:extent cx="6299200" cy="3783330"/>
            <wp:effectExtent l="0" t="0" r="6350" b="7620"/>
            <wp:docPr id="2014778593" name="Picture 1" descr="The image has a map and a table, both showing the cost of living in selected cities. The image is based on the 2023 global rankings in the Mercer cost of living index. &#10;The map shows the Asian region. It contains the following information (city then rank): Hong Kong SAR # 1; Singapore # 2; Tokyo # 19; Beijing # 13; Shanghai # 12; Shenzhen # 20; Seoul # 16; Taipei # 57; Dubai # 18; Sydney # 56; Melbourne # 71; Brisbane # 82; Perth # 107; Dhaka # 154; Adelaide # 106; Canberra # 94; Bangkok # 105; Manila # 133; Mumbai # 147; Hanoi # 156; and New Delhi # 169.&#10;The table contain other global rankings, which are located outside the region shown in the map: Zurich, Switzerland ranked #3; New York City, US ranked #6; Los Angeles, US ranked #11; San Francisco, US ranked #14; London, UK ranked #17; Dubai, UAE ranked #18; Paris, France ranked #35; Munich, Germany ranked #38; Buenos Aires, Argentina ranked #45; Lagos, Nigeria ranked #47; Milan, Italy ranked #49; and Toronto, Canada ranke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78593" name="Picture 1" descr="The image has a map and a table, both showing the cost of living in selected cities. The image is based on the 2023 global rankings in the Mercer cost of living index. &#10;The map shows the Asian region. It contains the following information (city then rank): Hong Kong SAR # 1; Singapore # 2; Tokyo # 19; Beijing # 13; Shanghai # 12; Shenzhen # 20; Seoul # 16; Taipei # 57; Dubai # 18; Sydney # 56; Melbourne # 71; Brisbane # 82; Perth # 107; Dhaka # 154; Adelaide # 106; Canberra # 94; Bangkok # 105; Manila # 133; Mumbai # 147; Hanoi # 156; and New Delhi # 169.&#10;The table contain other global rankings, which are located outside the region shown in the map: Zurich, Switzerland ranked #3; New York City, US ranked #6; Los Angeles, US ranked #11; San Francisco, US ranked #14; London, UK ranked #17; Dubai, UAE ranked #18; Paris, France ranked #35; Munich, Germany ranked #38; Buenos Aires, Argentina ranked #45; Lagos, Nigeria ranked #47; Milan, Italy ranked #49; and Toronto, Canada ranked #90."/>
                    <pic:cNvPicPr/>
                  </pic:nvPicPr>
                  <pic:blipFill rotWithShape="1">
                    <a:blip r:embed="rId57" cstate="hqprint">
                      <a:extLst>
                        <a:ext uri="{28A0092B-C50C-407E-A947-70E740481C1C}">
                          <a14:useLocalDpi xmlns:a14="http://schemas.microsoft.com/office/drawing/2010/main"/>
                        </a:ext>
                      </a:extLst>
                    </a:blip>
                    <a:srcRect/>
                    <a:stretch/>
                  </pic:blipFill>
                  <pic:spPr bwMode="auto">
                    <a:xfrm>
                      <a:off x="0" y="0"/>
                      <a:ext cx="6299200" cy="3783330"/>
                    </a:xfrm>
                    <a:prstGeom prst="rect">
                      <a:avLst/>
                    </a:prstGeom>
                    <a:ln>
                      <a:noFill/>
                    </a:ln>
                    <a:extLst>
                      <a:ext uri="{53640926-AAD7-44D8-BBD7-CCE9431645EC}">
                        <a14:shadowObscured xmlns:a14="http://schemas.microsoft.com/office/drawing/2010/main"/>
                      </a:ext>
                    </a:extLst>
                  </pic:spPr>
                </pic:pic>
              </a:graphicData>
            </a:graphic>
          </wp:inline>
        </w:drawing>
      </w:r>
    </w:p>
    <w:p w14:paraId="732C248B" w14:textId="77777777" w:rsidR="00F54396" w:rsidRPr="002322B7" w:rsidRDefault="00F54396" w:rsidP="00F54396">
      <w:pPr>
        <w:pStyle w:val="Sourcesandnotes"/>
      </w:pPr>
      <w:r w:rsidRPr="002322B7">
        <w:rPr>
          <w:b/>
          <w:bCs/>
        </w:rPr>
        <w:t>Notes: 1.</w:t>
      </w:r>
      <w:r w:rsidRPr="002322B7">
        <w:t xml:space="preserve"> The Mercer Cost of Living Index measures the cost of sending an employee overseas. The index covers more than 200 goods and services, in addition to currency fluctuations, cost inflation and accommodation instability. If a country lacks infrastructure or public services, the index reflects the costs of additional compensation a company may need to provide to their employees. This includes the cost of providing security. Australian cities are cost-effective for expatriates owing to high quality infrastructure and public services. </w:t>
      </w:r>
      <w:r w:rsidRPr="002322B7">
        <w:rPr>
          <w:b/>
          <w:bCs/>
        </w:rPr>
        <w:t>2.</w:t>
      </w:r>
      <w:r w:rsidRPr="002322B7">
        <w:t xml:space="preserve"> A higher ranking means a higher cost of living. For example, Hong Kong has the highest cost of living across the 227 cities. </w:t>
      </w:r>
    </w:p>
    <w:p w14:paraId="7F82E4E0" w14:textId="77777777" w:rsidR="00F54396" w:rsidRPr="002322B7" w:rsidRDefault="00F54396" w:rsidP="00F54396">
      <w:pPr>
        <w:pStyle w:val="Sourcesandnotes"/>
      </w:pPr>
      <w:r w:rsidRPr="002322B7">
        <w:rPr>
          <w:b/>
          <w:bCs/>
        </w:rPr>
        <w:t>Sources:</w:t>
      </w:r>
      <w:r w:rsidRPr="002322B7">
        <w:t xml:space="preserve"> Mercer, 2024, Cost of Living Index; Austrade.</w:t>
      </w:r>
    </w:p>
    <w:p w14:paraId="5B93534B" w14:textId="77777777" w:rsidR="00F54396" w:rsidRPr="002322B7" w:rsidRDefault="00F54396" w:rsidP="00F54396"/>
    <w:p w14:paraId="291FBF6E" w14:textId="77777777" w:rsidR="003C30ED" w:rsidRPr="002322B7" w:rsidRDefault="003C30ED" w:rsidP="003C30ED"/>
    <w:p w14:paraId="41FFAF6F" w14:textId="1EF979E9" w:rsidR="003C30ED" w:rsidRPr="002322B7" w:rsidRDefault="003C30ED" w:rsidP="003C30ED">
      <w:pPr>
        <w:pStyle w:val="Heading-level2"/>
      </w:pPr>
      <w:bookmarkStart w:id="176" w:name="_Toc165471170"/>
      <w:bookmarkStart w:id="177" w:name="_Toc178256594"/>
      <w:r w:rsidRPr="002322B7">
        <w:lastRenderedPageBreak/>
        <w:t>A nation of high-income households</w:t>
      </w:r>
      <w:bookmarkEnd w:id="176"/>
      <w:bookmarkEnd w:id="177"/>
    </w:p>
    <w:p w14:paraId="08FA1250" w14:textId="41A0235A" w:rsidR="003C30ED" w:rsidRPr="002322B7" w:rsidRDefault="003C30ED" w:rsidP="003F1867">
      <w:pPr>
        <w:pStyle w:val="Body-copy"/>
        <w:rPr>
          <w:lang w:val="en-AU"/>
        </w:rPr>
      </w:pPr>
      <w:r w:rsidRPr="4FEBF9DC">
        <w:rPr>
          <w:lang w:val="en-AU"/>
        </w:rPr>
        <w:t>Australian households have a high level of disposable income</w:t>
      </w:r>
      <w:r w:rsidR="00F46C1B" w:rsidRPr="4FEBF9DC">
        <w:rPr>
          <w:lang w:val="en-AU"/>
        </w:rPr>
        <w:t xml:space="preserve">. The </w:t>
      </w:r>
      <w:r w:rsidRPr="4FEBF9DC">
        <w:rPr>
          <w:lang w:val="en-AU"/>
        </w:rPr>
        <w:t>Economist Intelligence Unit (EIU) estimat</w:t>
      </w:r>
      <w:r w:rsidR="00F46C1B" w:rsidRPr="4FEBF9DC">
        <w:rPr>
          <w:lang w:val="en-AU"/>
        </w:rPr>
        <w:t>es</w:t>
      </w:r>
      <w:r w:rsidRPr="4FEBF9DC">
        <w:rPr>
          <w:lang w:val="en-AU"/>
        </w:rPr>
        <w:t xml:space="preserve"> that nearly 6 million Australian households have an annual income that exceeds US$75,000</w:t>
      </w:r>
      <w:r w:rsidR="00F46C1B" w:rsidRPr="4FEBF9DC">
        <w:rPr>
          <w:lang w:val="en-AU"/>
        </w:rPr>
        <w:t xml:space="preserve">, which </w:t>
      </w:r>
      <w:bookmarkStart w:id="178" w:name="_Hlk169694551"/>
      <w:r w:rsidR="00F46C1B" w:rsidRPr="4FEBF9DC">
        <w:rPr>
          <w:lang w:val="en-AU"/>
        </w:rPr>
        <w:t>is</w:t>
      </w:r>
      <w:r w:rsidRPr="4FEBF9DC">
        <w:rPr>
          <w:lang w:val="en-AU"/>
        </w:rPr>
        <w:t xml:space="preserve"> the 6</w:t>
      </w:r>
      <w:r w:rsidRPr="4FEBF9DC">
        <w:rPr>
          <w:vertAlign w:val="superscript"/>
          <w:lang w:val="en-AU"/>
        </w:rPr>
        <w:t>th</w:t>
      </w:r>
      <w:r w:rsidR="00F46C1B" w:rsidRPr="4FEBF9DC">
        <w:rPr>
          <w:lang w:val="en-AU"/>
        </w:rPr>
        <w:t>-</w:t>
      </w:r>
      <w:r w:rsidRPr="4FEBF9DC">
        <w:rPr>
          <w:lang w:val="en-AU"/>
        </w:rPr>
        <w:t>highest globally</w:t>
      </w:r>
      <w:bookmarkEnd w:id="178"/>
      <w:r w:rsidRPr="4FEBF9DC">
        <w:rPr>
          <w:lang w:val="en-AU"/>
        </w:rPr>
        <w:t xml:space="preserve">. </w:t>
      </w:r>
      <w:r w:rsidR="003F7E51" w:rsidRPr="4FEBF9DC">
        <w:rPr>
          <w:lang w:val="en-AU"/>
        </w:rPr>
        <w:t>And t</w:t>
      </w:r>
      <w:r w:rsidRPr="4FEBF9DC">
        <w:rPr>
          <w:lang w:val="en-AU"/>
        </w:rPr>
        <w:t>he EIU predicts a bright future for Australia</w:t>
      </w:r>
      <w:r w:rsidR="002B6741" w:rsidRPr="4FEBF9DC">
        <w:rPr>
          <w:lang w:val="en-AU"/>
        </w:rPr>
        <w:t xml:space="preserve">, </w:t>
      </w:r>
      <w:r w:rsidR="000A53CC" w:rsidRPr="4FEBF9DC">
        <w:rPr>
          <w:lang w:val="en-AU"/>
        </w:rPr>
        <w:t>forecast</w:t>
      </w:r>
      <w:r w:rsidR="002B6741" w:rsidRPr="4FEBF9DC">
        <w:rPr>
          <w:lang w:val="en-AU"/>
        </w:rPr>
        <w:t>ing</w:t>
      </w:r>
      <w:r w:rsidR="000A53CC" w:rsidRPr="4FEBF9DC">
        <w:rPr>
          <w:lang w:val="en-AU"/>
        </w:rPr>
        <w:t xml:space="preserve"> </w:t>
      </w:r>
      <w:r w:rsidRPr="4FEBF9DC">
        <w:rPr>
          <w:lang w:val="en-AU"/>
        </w:rPr>
        <w:t>more than 7 million high-income households</w:t>
      </w:r>
      <w:r w:rsidR="00850210" w:rsidRPr="4FEBF9DC">
        <w:rPr>
          <w:lang w:val="en-AU"/>
        </w:rPr>
        <w:t xml:space="preserve"> </w:t>
      </w:r>
      <w:r w:rsidRPr="4FEBF9DC">
        <w:rPr>
          <w:lang w:val="en-AU"/>
        </w:rPr>
        <w:t xml:space="preserve">by 2030 as Australia’s consumer economy continues to expand. </w:t>
      </w:r>
    </w:p>
    <w:p w14:paraId="7C9D4A7F" w14:textId="0AF0C9CD" w:rsidR="003C30ED" w:rsidRPr="002322B7" w:rsidRDefault="00674A48" w:rsidP="003C30ED">
      <w:pPr>
        <w:pStyle w:val="Caption"/>
      </w:pPr>
      <w:bookmarkStart w:id="179" w:name="_Toc165471221"/>
      <w:bookmarkStart w:id="180" w:name="_Toc178256540"/>
      <w:r w:rsidRPr="002322B7">
        <w:t xml:space="preserve">Figure </w:t>
      </w:r>
      <w:r w:rsidR="00CF16FA">
        <w:fldChar w:fldCharType="begin"/>
      </w:r>
      <w:r w:rsidR="00CF16FA">
        <w:instrText xml:space="preserve"> SEQ Figure \* ARABIC </w:instrText>
      </w:r>
      <w:r w:rsidR="00CF16FA">
        <w:fldChar w:fldCharType="separate"/>
      </w:r>
      <w:r w:rsidR="002459CF">
        <w:rPr>
          <w:noProof/>
        </w:rPr>
        <w:t>41</w:t>
      </w:r>
      <w:r w:rsidR="00CF16FA">
        <w:rPr>
          <w:noProof/>
        </w:rPr>
        <w:fldChar w:fldCharType="end"/>
      </w:r>
      <w:r w:rsidRPr="002322B7">
        <w:t xml:space="preserve"> – </w:t>
      </w:r>
      <w:r w:rsidR="003C30ED" w:rsidRPr="002322B7">
        <w:t>Number of households with disposable income of more than US$75,000 per annum (selected economies)¹</w:t>
      </w:r>
      <w:bookmarkEnd w:id="179"/>
      <w:bookmarkEnd w:id="180"/>
    </w:p>
    <w:p w14:paraId="1FB1F35F" w14:textId="038BB9F9" w:rsidR="005101E5" w:rsidRDefault="005101E5" w:rsidP="003C30ED">
      <w:pPr>
        <w:pStyle w:val="Sourcesandnotes"/>
        <w:rPr>
          <w:b/>
          <w:bCs/>
        </w:rPr>
      </w:pPr>
      <w:r>
        <w:rPr>
          <w:b/>
          <w:bCs/>
          <w:noProof/>
        </w:rPr>
        <w:drawing>
          <wp:inline distT="0" distB="0" distL="0" distR="0" wp14:anchorId="226A44D9" wp14:editId="555A53AD">
            <wp:extent cx="6120000" cy="4965545"/>
            <wp:effectExtent l="0" t="0" r="0" b="6985"/>
            <wp:docPr id="713215272" name="Picture 51" descr="The image shows the number of households with disposable income of more than US$75,000 per annum. The image displays the economy (the country), the economy's ranking in 2023, and the estimated number of households in 2023 and 2030 respectively. The figures are: US (1) 85.49 million in 2023 and 101.42 million in 2030; Germany (3) 9.686 million in 2023 and 18.97 million in 2030; Japan (7) 5.117 million in 2023 and 15.49 million in 2030; China (37) 0.466 million in 2023 and 7.185 million in 2030; Australia (6) 5.759 million in 2023 and 7.003 million in 2030; Sweden (28) 0.7995 million in 2023 and 2.872 million in 2030; Hong Kong SAR (18) 1.366 million in 2023 and 1.835 million in 2030; Singapore (20) 1.232 million in 2023 and 1.6 million in 2030; New Zealand (32) 0.688 million in 2023 and 1.072 million in 2030; ASEAN-6 2.7197 million in 2023 and 6.066 million in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15272" name="Picture 51" descr="The image shows the number of households with disposable income of more than US$75,000 per annum. The image displays the economy (the country), the economy's ranking in 2023, and the estimated number of households in 2023 and 2030 respectively. The figures are: US (1) 85.49 million in 2023 and 101.42 million in 2030; Germany (3) 9.686 million in 2023 and 18.97 million in 2030; Japan (7) 5.117 million in 2023 and 15.49 million in 2030; China (37) 0.466 million in 2023 and 7.185 million in 2030; Australia (6) 5.759 million in 2023 and 7.003 million in 2030; Sweden (28) 0.7995 million in 2023 and 2.872 million in 2030; Hong Kong SAR (18) 1.366 million in 2023 and 1.835 million in 2030; Singapore (20) 1.232 million in 2023 and 1.6 million in 2030; New Zealand (32) 0.688 million in 2023 and 1.072 million in 2030; ASEAN-6 2.7197 million in 2023 and 6.066 million in 2030. "/>
                    <pic:cNvPicPr/>
                  </pic:nvPicPr>
                  <pic:blipFill rotWithShape="1">
                    <a:blip r:embed="rId58" cstate="hqprint">
                      <a:extLst>
                        <a:ext uri="{28A0092B-C50C-407E-A947-70E740481C1C}">
                          <a14:useLocalDpi xmlns:a14="http://schemas.microsoft.com/office/drawing/2010/main"/>
                        </a:ext>
                      </a:extLst>
                    </a:blip>
                    <a:srcRect/>
                    <a:stretch/>
                  </pic:blipFill>
                  <pic:spPr bwMode="auto">
                    <a:xfrm>
                      <a:off x="0" y="0"/>
                      <a:ext cx="6120000" cy="4965545"/>
                    </a:xfrm>
                    <a:prstGeom prst="rect">
                      <a:avLst/>
                    </a:prstGeom>
                    <a:ln>
                      <a:noFill/>
                    </a:ln>
                    <a:extLst>
                      <a:ext uri="{53640926-AAD7-44D8-BBD7-CCE9431645EC}">
                        <a14:shadowObscured xmlns:a14="http://schemas.microsoft.com/office/drawing/2010/main"/>
                      </a:ext>
                    </a:extLst>
                  </pic:spPr>
                </pic:pic>
              </a:graphicData>
            </a:graphic>
          </wp:inline>
        </w:drawing>
      </w:r>
    </w:p>
    <w:p w14:paraId="393FD642" w14:textId="3D0FBC27" w:rsidR="003C30ED" w:rsidRPr="002322B7" w:rsidRDefault="003C30ED" w:rsidP="003C30ED">
      <w:pPr>
        <w:pStyle w:val="Sourcesandnotes"/>
      </w:pPr>
      <w:r w:rsidRPr="002322B7">
        <w:rPr>
          <w:b/>
          <w:bCs/>
        </w:rPr>
        <w:t>Notes: 1.</w:t>
      </w:r>
      <w:r w:rsidRPr="002322B7">
        <w:t xml:space="preserve"> The number in brackets indicates the economy’s ranking in 2023 among 59 economies. </w:t>
      </w:r>
      <w:r w:rsidRPr="002322B7">
        <w:rPr>
          <w:b/>
          <w:bCs/>
        </w:rPr>
        <w:t>2.</w:t>
      </w:r>
      <w:r w:rsidRPr="002322B7">
        <w:t xml:space="preserve"> Association of Southeast Asian Nations (ASEAN). The forecast includes Indonesia, Malaysia, Philippines, Singapore, Thailand and Vietnam. </w:t>
      </w:r>
    </w:p>
    <w:p w14:paraId="610B8003" w14:textId="77777777" w:rsidR="003C30ED" w:rsidRPr="002322B7" w:rsidRDefault="003C30ED" w:rsidP="003C30ED">
      <w:pPr>
        <w:pStyle w:val="Sourcesandnotes"/>
      </w:pPr>
      <w:r w:rsidRPr="002322B7">
        <w:rPr>
          <w:b/>
          <w:bCs/>
        </w:rPr>
        <w:t>Sources:</w:t>
      </w:r>
      <w:r w:rsidRPr="002322B7">
        <w:t xml:space="preserve"> Economist Intelligence Unit, 2024, Number of households with disposable income of more than US$75,000 per annum, accessed during March 2024; Austrade.</w:t>
      </w:r>
    </w:p>
    <w:p w14:paraId="47841D77" w14:textId="77777777" w:rsidR="00F54396" w:rsidRPr="002322B7" w:rsidRDefault="00F54396" w:rsidP="00F54396">
      <w:pPr>
        <w:pStyle w:val="Sourcesandnotes"/>
      </w:pPr>
    </w:p>
    <w:p w14:paraId="326B2CC2" w14:textId="77777777" w:rsidR="00F54396" w:rsidRPr="002322B7" w:rsidRDefault="00F54396" w:rsidP="00F54396">
      <w:pPr>
        <w:pStyle w:val="Heading-level2"/>
      </w:pPr>
      <w:bookmarkStart w:id="181" w:name="_Toc165471188"/>
      <w:bookmarkStart w:id="182" w:name="_Toc178256595"/>
      <w:r w:rsidRPr="002322B7">
        <w:lastRenderedPageBreak/>
        <w:t>No worries, we’re happy!</w:t>
      </w:r>
      <w:bookmarkEnd w:id="181"/>
      <w:bookmarkEnd w:id="182"/>
    </w:p>
    <w:p w14:paraId="54A0CFBD" w14:textId="04986C20" w:rsidR="00F54396" w:rsidRPr="002322B7" w:rsidRDefault="00F54396" w:rsidP="003F1867">
      <w:pPr>
        <w:pStyle w:val="Body-copy"/>
        <w:rPr>
          <w:lang w:val="en-AU"/>
        </w:rPr>
      </w:pPr>
      <w:r w:rsidRPr="002322B7">
        <w:rPr>
          <w:lang w:val="en-AU"/>
        </w:rPr>
        <w:t>Australia was the happiest country in the Asia and Oceania regions</w:t>
      </w:r>
      <w:r w:rsidR="00E15F52">
        <w:rPr>
          <w:lang w:val="en-AU"/>
        </w:rPr>
        <w:t xml:space="preserve"> and the 9</w:t>
      </w:r>
      <w:r w:rsidR="00E15F52" w:rsidRPr="00E15F52">
        <w:rPr>
          <w:vertAlign w:val="superscript"/>
          <w:lang w:val="en-AU"/>
        </w:rPr>
        <w:t>th</w:t>
      </w:r>
      <w:r w:rsidR="00E15F52">
        <w:rPr>
          <w:lang w:val="en-AU"/>
        </w:rPr>
        <w:t xml:space="preserve"> globally</w:t>
      </w:r>
      <w:r w:rsidRPr="002322B7">
        <w:rPr>
          <w:lang w:val="en-AU"/>
        </w:rPr>
        <w:t xml:space="preserve"> in 2023, according to a World Happiness Index. This is </w:t>
      </w:r>
      <w:r w:rsidR="005A4BB0" w:rsidRPr="002322B7">
        <w:rPr>
          <w:lang w:val="en-AU"/>
        </w:rPr>
        <w:t>due to multiple</w:t>
      </w:r>
      <w:r w:rsidRPr="002322B7">
        <w:rPr>
          <w:lang w:val="en-AU"/>
        </w:rPr>
        <w:t xml:space="preserve"> factors</w:t>
      </w:r>
      <w:r w:rsidR="005A4BB0" w:rsidRPr="002322B7">
        <w:rPr>
          <w:lang w:val="en-AU"/>
        </w:rPr>
        <w:t xml:space="preserve">: </w:t>
      </w:r>
      <w:r w:rsidRPr="002322B7">
        <w:rPr>
          <w:lang w:val="en-AU"/>
        </w:rPr>
        <w:t>high incomes, a sense of personal freedom, our spirit of generosity, trust in institutions and income equality. Australia’s lifestyle</w:t>
      </w:r>
      <w:r w:rsidR="007632A6" w:rsidRPr="002322B7">
        <w:rPr>
          <w:lang w:val="en-AU"/>
        </w:rPr>
        <w:t>,</w:t>
      </w:r>
      <w:r w:rsidRPr="002322B7">
        <w:rPr>
          <w:lang w:val="en-AU"/>
        </w:rPr>
        <w:t xml:space="preserve"> attitudes</w:t>
      </w:r>
      <w:r w:rsidR="007632A6" w:rsidRPr="002322B7">
        <w:rPr>
          <w:lang w:val="en-AU"/>
        </w:rPr>
        <w:t xml:space="preserve"> and </w:t>
      </w:r>
      <w:r w:rsidRPr="002322B7">
        <w:rPr>
          <w:lang w:val="en-AU"/>
        </w:rPr>
        <w:t xml:space="preserve">values can be </w:t>
      </w:r>
      <w:r w:rsidR="007632A6" w:rsidRPr="002322B7">
        <w:rPr>
          <w:lang w:val="en-AU"/>
        </w:rPr>
        <w:t>core</w:t>
      </w:r>
      <w:r w:rsidRPr="002322B7">
        <w:rPr>
          <w:lang w:val="en-AU"/>
        </w:rPr>
        <w:t xml:space="preserve"> considerations for global companies </w:t>
      </w:r>
      <w:r w:rsidR="00762841" w:rsidRPr="002322B7">
        <w:rPr>
          <w:lang w:val="en-AU"/>
        </w:rPr>
        <w:t>that</w:t>
      </w:r>
      <w:r w:rsidRPr="002322B7">
        <w:rPr>
          <w:lang w:val="en-AU"/>
        </w:rPr>
        <w:t xml:space="preserve"> want to relocate employees and families into the Asia-Pacific region. </w:t>
      </w:r>
    </w:p>
    <w:p w14:paraId="384E6784" w14:textId="05FA7F6E" w:rsidR="00F54396" w:rsidRDefault="00674A48" w:rsidP="00F54396">
      <w:pPr>
        <w:pStyle w:val="Caption"/>
      </w:pPr>
      <w:bookmarkStart w:id="183" w:name="_Toc165471237"/>
      <w:bookmarkStart w:id="184" w:name="_Toc178256541"/>
      <w:r w:rsidRPr="002322B7">
        <w:t xml:space="preserve">Figure </w:t>
      </w:r>
      <w:r w:rsidR="00CF16FA">
        <w:fldChar w:fldCharType="begin"/>
      </w:r>
      <w:r w:rsidR="00CF16FA">
        <w:instrText xml:space="preserve"> SEQ Figure \* ARABIC </w:instrText>
      </w:r>
      <w:r w:rsidR="00CF16FA">
        <w:fldChar w:fldCharType="separate"/>
      </w:r>
      <w:r w:rsidR="002459CF">
        <w:rPr>
          <w:noProof/>
        </w:rPr>
        <w:t>42</w:t>
      </w:r>
      <w:r w:rsidR="00CF16FA">
        <w:rPr>
          <w:noProof/>
        </w:rPr>
        <w:fldChar w:fldCharType="end"/>
      </w:r>
      <w:r w:rsidRPr="002322B7">
        <w:t xml:space="preserve"> – </w:t>
      </w:r>
      <w:r w:rsidR="00F54396" w:rsidRPr="002322B7">
        <w:t>Happiness Index and GDP per capita, 2023</w:t>
      </w:r>
      <w:bookmarkEnd w:id="183"/>
      <w:bookmarkEnd w:id="184"/>
    </w:p>
    <w:p w14:paraId="03FB0D2E" w14:textId="2206B621" w:rsidR="000C7891" w:rsidRDefault="000C7891" w:rsidP="000C7891">
      <w:r>
        <w:rPr>
          <w:noProof/>
        </w:rPr>
        <w:drawing>
          <wp:inline distT="0" distB="0" distL="0" distR="0" wp14:anchorId="7685DC1D" wp14:editId="1B98FE2C">
            <wp:extent cx="6336030" cy="4295140"/>
            <wp:effectExtent l="0" t="0" r="7620" b="0"/>
            <wp:docPr id="116727914" name="Picture 52" descr="The image has a table and a graph. The table’s columns are the economy, the happiness index in 2023, the world ranking and the Asia-Pacific ranking. &#10;The information in the table is: Finland index = 7.7 world rank =1 regional rank =na; Denmark index = 7.5 world rank =3 regional rank =na; Australia index = 7 world rank =9 regional rank =1; Luxembourg index = 7 world rank =10 regional rank =na; New Zealand index = 7 world rank =12 regional rank =2; Canada index = 6.8 world rank =17 regional rank =na; United Kingdom index = 6.7 world rank =26 regional rank =na; Singapore index = 6.7 world rank =28 regional rank =5; United States index = 6.5 world rank =34 regional rank =na; Vietnam index = 6.3 world rank =44 regional rank =7; and Korea index = 6.1 world rank =55 regional rank =12.&#10;The graph plots the happiness index against the GDP per capita on a logarithmic scale. A straight line displays the relationship, the greater the GDP per capita, the greater the happiness. The information (country, happiness, GDP) is:  Afghanistan index = 1.4 GDP per capita log = 7.3; Australia index = 7 GDP per capita log = 10.8; Bangladesh index = 4.1 GDP per capita log = 8.8; Brazil index = 6.6 GDP per capita log = 9.6; Canada index = 6.8 GDP per capita log = 10.8; China index = 6.1 GDP per capita log = 9.9; Ethiopia index = 4.1 GDP per capita log = 7.8; Finland index = 7.7 GDP per capita log = 10.8; Gambia index = 4.7 GDP per capita log = 7.7; Germany index = 6.8 GDP per capita log = 10.9; Honduras index = 5.9 GDP per capita log = 8.7; Hong Kong SAR index = 5.3 GDP per capita log = 11; India index = 4.7 GDP per capita log = 8.9; Indonesia index = 5.7 GDP per capita log = 9.5; Iran index = 5 GDP per capita log = 9.7; Ireland index = 6.8 GDP per capita log = 11.7; Japan index = 5.9 GDP per capita log = 10.7; Lebanon index = 3.6 GDP per capita log = 9.5; Lux. index = 7 GDP per capita log = 11.6; Mexico index = 7 GDP per capita log = 9.9; Mozambique index = 5.7 GDP per capita log = 7.1; Nepal index = 5.4 GDP per capita log = 8.3; New Zealand index = 7 GDP per capita log = 10.7; Nigeria index = 4.9 GDP per capita log = 8.5; Rwanda index = 3.3 GDP per capita log = 7.7; Sierra Leone index = 3.5 GDP per capita log = 7.4; Singapore index = 6.7 GDP per capita log = 11.6; South Africa index = 5.1 GDP per capita log = 9.5; Korea index = 6.1 GDP per capita log = 10.7; Sri Lanka index = 3.6 GDP per capita log = 9.4; Switzerland index = 7 GDP per capita log = 11.2; Tanzania index = 4 GDP per capita log = 7.9; Thailand index = 6.3 GDP per capita log = 9.8; Türkiye index = 5.5 GDP per capita log = 10.4; UAE index = 6.7 GDP per capita log = 11.2; UK index = 6.7 GDP per capita log = 10.8; US index = 6.5 GDP per capita log = 11.1; Vietnam index = 6.3 GDP per capita log = 9.4; Zambia index = 3.7 GDP per capita log = 8.1; Zimbabwe index = 3.6 GDP per capita log = 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7914" name="Picture 52" descr="The image has a table and a graph. The table’s columns are the economy, the happiness index in 2023, the world ranking and the Asia-Pacific ranking. &#10;The information in the table is: Finland index = 7.7 world rank =1 regional rank =na; Denmark index = 7.5 world rank =3 regional rank =na; Australia index = 7 world rank =9 regional rank =1; Luxembourg index = 7 world rank =10 regional rank =na; New Zealand index = 7 world rank =12 regional rank =2; Canada index = 6.8 world rank =17 regional rank =na; United Kingdom index = 6.7 world rank =26 regional rank =na; Singapore index = 6.7 world rank =28 regional rank =5; United States index = 6.5 world rank =34 regional rank =na; Vietnam index = 6.3 world rank =44 regional rank =7; and Korea index = 6.1 world rank =55 regional rank =12.&#10;The graph plots the happiness index against the GDP per capita on a logarithmic scale. A straight line displays the relationship, the greater the GDP per capita, the greater the happiness. The information (country, happiness, GDP) is:  Afghanistan index = 1.4 GDP per capita log = 7.3; Australia index = 7 GDP per capita log = 10.8; Bangladesh index = 4.1 GDP per capita log = 8.8; Brazil index = 6.6 GDP per capita log = 9.6; Canada index = 6.8 GDP per capita log = 10.8; China index = 6.1 GDP per capita log = 9.9; Ethiopia index = 4.1 GDP per capita log = 7.8; Finland index = 7.7 GDP per capita log = 10.8; Gambia index = 4.7 GDP per capita log = 7.7; Germany index = 6.8 GDP per capita log = 10.9; Honduras index = 5.9 GDP per capita log = 8.7; Hong Kong SAR index = 5.3 GDP per capita log = 11; India index = 4.7 GDP per capita log = 8.9; Indonesia index = 5.7 GDP per capita log = 9.5; Iran index = 5 GDP per capita log = 9.7; Ireland index = 6.8 GDP per capita log = 11.7; Japan index = 5.9 GDP per capita log = 10.7; Lebanon index = 3.6 GDP per capita log = 9.5; Lux. index = 7 GDP per capita log = 11.6; Mexico index = 7 GDP per capita log = 9.9; Mozambique index = 5.7 GDP per capita log = 7.1; Nepal index = 5.4 GDP per capita log = 8.3; New Zealand index = 7 GDP per capita log = 10.7; Nigeria index = 4.9 GDP per capita log = 8.5; Rwanda index = 3.3 GDP per capita log = 7.7; Sierra Leone index = 3.5 GDP per capita log = 7.4; Singapore index = 6.7 GDP per capita log = 11.6; South Africa index = 5.1 GDP per capita log = 9.5; Korea index = 6.1 GDP per capita log = 10.7; Sri Lanka index = 3.6 GDP per capita log = 9.4; Switzerland index = 7 GDP per capita log = 11.2; Tanzania index = 4 GDP per capita log = 7.9; Thailand index = 6.3 GDP per capita log = 9.8; Türkiye index = 5.5 GDP per capita log = 10.4; UAE index = 6.7 GDP per capita log = 11.2; UK index = 6.7 GDP per capita log = 10.8; US index = 6.5 GDP per capita log = 11.1; Vietnam index = 6.3 GDP per capita log = 9.4; Zambia index = 3.7 GDP per capita log = 8.1; Zimbabwe index = 3.6 GDP per capita log = 7.7.&#10;"/>
                    <pic:cNvPicPr/>
                  </pic:nvPicPr>
                  <pic:blipFill rotWithShape="1">
                    <a:blip r:embed="rId59" cstate="hqprint">
                      <a:extLst>
                        <a:ext uri="{28A0092B-C50C-407E-A947-70E740481C1C}">
                          <a14:useLocalDpi xmlns:a14="http://schemas.microsoft.com/office/drawing/2010/main"/>
                        </a:ext>
                      </a:extLst>
                    </a:blip>
                    <a:srcRect/>
                    <a:stretch/>
                  </pic:blipFill>
                  <pic:spPr bwMode="auto">
                    <a:xfrm>
                      <a:off x="0" y="0"/>
                      <a:ext cx="6336030" cy="4295140"/>
                    </a:xfrm>
                    <a:prstGeom prst="rect">
                      <a:avLst/>
                    </a:prstGeom>
                    <a:ln>
                      <a:noFill/>
                    </a:ln>
                    <a:extLst>
                      <a:ext uri="{53640926-AAD7-44D8-BBD7-CCE9431645EC}">
                        <a14:shadowObscured xmlns:a14="http://schemas.microsoft.com/office/drawing/2010/main"/>
                      </a:ext>
                    </a:extLst>
                  </pic:spPr>
                </pic:pic>
              </a:graphicData>
            </a:graphic>
          </wp:inline>
        </w:drawing>
      </w:r>
    </w:p>
    <w:p w14:paraId="3FCD4AAD" w14:textId="7631D941" w:rsidR="00F54396" w:rsidRPr="002322B7" w:rsidRDefault="00F54396" w:rsidP="00F54396">
      <w:pPr>
        <w:pStyle w:val="Sourcesandnotes"/>
      </w:pPr>
      <w:r w:rsidRPr="002322B7">
        <w:rPr>
          <w:b/>
          <w:bCs/>
        </w:rPr>
        <w:t xml:space="preserve">Notes: 1. </w:t>
      </w:r>
      <w:r w:rsidRPr="002322B7">
        <w:t xml:space="preserve">The scale is in natural logarithm, while the GDP per capita is in terms of purchasing power parity (PPP) adjusted to constant 2017 international dollars. </w:t>
      </w:r>
      <w:r w:rsidRPr="002322B7">
        <w:rPr>
          <w:b/>
          <w:bCs/>
        </w:rPr>
        <w:t>2.</w:t>
      </w:r>
      <w:r w:rsidRPr="002322B7">
        <w:t xml:space="preserve"> </w:t>
      </w:r>
      <w:r w:rsidR="00762841" w:rsidRPr="002322B7">
        <w:t>E</w:t>
      </w:r>
      <w:r w:rsidRPr="002322B7">
        <w:t>xcludes the Middle East region.</w:t>
      </w:r>
    </w:p>
    <w:p w14:paraId="41B69ECC" w14:textId="71688327" w:rsidR="00F54396" w:rsidRPr="002322B7" w:rsidRDefault="00F54396" w:rsidP="00F54396">
      <w:pPr>
        <w:pStyle w:val="Sourcesandnotes"/>
      </w:pPr>
      <w:r w:rsidRPr="002322B7">
        <w:rPr>
          <w:b/>
          <w:bCs/>
        </w:rPr>
        <w:t>Sources:</w:t>
      </w:r>
      <w:r w:rsidRPr="002322B7">
        <w:t xml:space="preserve"> Helliwell, J. F., Layard, R., Sachs, J. D., De Neve, J.-E., Aknin, L. B., &amp; Wang, S. Eds. 2024, World Happiness Report 2024, accessed April 2024;</w:t>
      </w:r>
      <w:r w:rsidR="00762841" w:rsidRPr="002322B7">
        <w:t xml:space="preserve"> </w:t>
      </w:r>
      <w:r w:rsidRPr="002322B7">
        <w:t>Austrade.</w:t>
      </w:r>
    </w:p>
    <w:p w14:paraId="5CD5E369" w14:textId="77777777" w:rsidR="006F0B4D" w:rsidRPr="002322B7" w:rsidRDefault="006F0B4D" w:rsidP="00F54396">
      <w:pPr>
        <w:pStyle w:val="Sourcesandnotes"/>
      </w:pPr>
    </w:p>
    <w:p w14:paraId="15F6CAAF" w14:textId="54D4E2A5" w:rsidR="00F54396" w:rsidRPr="002322B7" w:rsidRDefault="00F54396" w:rsidP="00F54396">
      <w:pPr>
        <w:pStyle w:val="Heading-level2"/>
      </w:pPr>
      <w:bookmarkStart w:id="185" w:name="_Toc165471189"/>
      <w:bookmarkStart w:id="186" w:name="_Toc178256596"/>
      <w:r w:rsidRPr="002322B7">
        <w:lastRenderedPageBreak/>
        <w:t xml:space="preserve">Strong commitment </w:t>
      </w:r>
      <w:r w:rsidR="005E6824" w:rsidRPr="002322B7">
        <w:t xml:space="preserve">to </w:t>
      </w:r>
      <w:r w:rsidRPr="002322B7">
        <w:t>a superb healthcare system</w:t>
      </w:r>
      <w:bookmarkEnd w:id="185"/>
      <w:bookmarkEnd w:id="186"/>
    </w:p>
    <w:p w14:paraId="37CA557F" w14:textId="2196FF8E" w:rsidR="00F54396" w:rsidRPr="002322B7" w:rsidRDefault="00F54396" w:rsidP="003F1867">
      <w:pPr>
        <w:pStyle w:val="Body-copy"/>
        <w:rPr>
          <w:lang w:val="en-AU"/>
        </w:rPr>
      </w:pPr>
      <w:r w:rsidRPr="002322B7">
        <w:rPr>
          <w:lang w:val="en-AU"/>
        </w:rPr>
        <w:t>Australia has a high-quality healthcare system</w:t>
      </w:r>
      <w:r w:rsidR="009337FB" w:rsidRPr="002322B7">
        <w:rPr>
          <w:lang w:val="en-AU"/>
        </w:rPr>
        <w:t xml:space="preserve"> that</w:t>
      </w:r>
      <w:r w:rsidR="005E6824" w:rsidRPr="002322B7">
        <w:rPr>
          <w:lang w:val="en-AU"/>
        </w:rPr>
        <w:t xml:space="preserve"> includes </w:t>
      </w:r>
      <w:r w:rsidRPr="002322B7">
        <w:rPr>
          <w:lang w:val="en-AU"/>
        </w:rPr>
        <w:t>good hospitals (public and private)</w:t>
      </w:r>
      <w:r w:rsidR="0016483F" w:rsidRPr="002322B7">
        <w:rPr>
          <w:lang w:val="en-AU"/>
        </w:rPr>
        <w:t xml:space="preserve">, </w:t>
      </w:r>
      <w:r w:rsidRPr="002322B7">
        <w:rPr>
          <w:lang w:val="en-AU"/>
        </w:rPr>
        <w:t>world-class medical professionals</w:t>
      </w:r>
      <w:r w:rsidR="0016483F" w:rsidRPr="002322B7">
        <w:rPr>
          <w:lang w:val="en-AU"/>
        </w:rPr>
        <w:t xml:space="preserve"> and effective public health programs</w:t>
      </w:r>
      <w:r w:rsidRPr="002322B7">
        <w:rPr>
          <w:lang w:val="en-AU"/>
        </w:rPr>
        <w:t xml:space="preserve">. Following average annual growth of 6% over the past five years, </w:t>
      </w:r>
      <w:r w:rsidR="0016483F" w:rsidRPr="002322B7">
        <w:rPr>
          <w:lang w:val="en-AU"/>
        </w:rPr>
        <w:t>g</w:t>
      </w:r>
      <w:r w:rsidRPr="002322B7">
        <w:rPr>
          <w:lang w:val="en-AU"/>
        </w:rPr>
        <w:t>overnment spending on healthcare reached US$131</w:t>
      </w:r>
      <w:r w:rsidR="0054789D">
        <w:rPr>
          <w:lang w:val="en-AU"/>
        </w:rPr>
        <w:t> </w:t>
      </w:r>
      <w:r w:rsidRPr="002322B7">
        <w:rPr>
          <w:lang w:val="en-AU"/>
        </w:rPr>
        <w:t>billion in 2023</w:t>
      </w:r>
      <w:r w:rsidR="00E55B3A" w:rsidRPr="002322B7">
        <w:rPr>
          <w:lang w:val="en-AU"/>
        </w:rPr>
        <w:t>, placing Australia as the 6</w:t>
      </w:r>
      <w:r w:rsidR="00E55B3A" w:rsidRPr="002322B7">
        <w:rPr>
          <w:vertAlign w:val="superscript"/>
          <w:lang w:val="en-AU"/>
        </w:rPr>
        <w:t>th</w:t>
      </w:r>
      <w:r w:rsidR="00740AAB">
        <w:rPr>
          <w:lang w:val="en-AU"/>
        </w:rPr>
        <w:t>-</w:t>
      </w:r>
      <w:r w:rsidR="00E55B3A" w:rsidRPr="002322B7">
        <w:rPr>
          <w:lang w:val="en-AU"/>
        </w:rPr>
        <w:t>highest globally.</w:t>
      </w:r>
      <w:r w:rsidRPr="002322B7">
        <w:rPr>
          <w:lang w:val="en-AU"/>
        </w:rPr>
        <w:t xml:space="preserve"> </w:t>
      </w:r>
      <w:r w:rsidR="004250BD" w:rsidRPr="002322B7">
        <w:rPr>
          <w:lang w:val="en-AU"/>
        </w:rPr>
        <w:t xml:space="preserve">Taking into account the size of our population, </w:t>
      </w:r>
      <w:r w:rsidRPr="002322B7">
        <w:rPr>
          <w:lang w:val="en-AU"/>
        </w:rPr>
        <w:t>Australia ranks 5</w:t>
      </w:r>
      <w:r w:rsidRPr="002322B7">
        <w:rPr>
          <w:vertAlign w:val="superscript"/>
          <w:lang w:val="en-AU"/>
        </w:rPr>
        <w:t>th</w:t>
      </w:r>
      <w:r w:rsidRPr="002322B7">
        <w:rPr>
          <w:lang w:val="en-AU"/>
        </w:rPr>
        <w:t xml:space="preserve"> in the world in terms of government healthcare expenditure per capita. </w:t>
      </w:r>
    </w:p>
    <w:p w14:paraId="683EAC45" w14:textId="64AA7576" w:rsidR="00F54396" w:rsidRDefault="00674A48" w:rsidP="00F54396">
      <w:pPr>
        <w:pStyle w:val="Caption"/>
      </w:pPr>
      <w:bookmarkStart w:id="187" w:name="_Toc165471238"/>
      <w:bookmarkStart w:id="188" w:name="_Toc178256542"/>
      <w:r w:rsidRPr="002322B7">
        <w:t xml:space="preserve">Figure </w:t>
      </w:r>
      <w:r w:rsidR="00CF16FA">
        <w:fldChar w:fldCharType="begin"/>
      </w:r>
      <w:r w:rsidR="00CF16FA">
        <w:instrText xml:space="preserve"> SEQ Figure \* ARABIC </w:instrText>
      </w:r>
      <w:r w:rsidR="00CF16FA">
        <w:fldChar w:fldCharType="separate"/>
      </w:r>
      <w:r w:rsidR="002459CF">
        <w:rPr>
          <w:noProof/>
        </w:rPr>
        <w:t>43</w:t>
      </w:r>
      <w:r w:rsidR="00CF16FA">
        <w:rPr>
          <w:noProof/>
        </w:rPr>
        <w:fldChar w:fldCharType="end"/>
      </w:r>
      <w:r w:rsidRPr="002322B7">
        <w:t xml:space="preserve"> – </w:t>
      </w:r>
      <w:r w:rsidR="00F54396" w:rsidRPr="002322B7">
        <w:t>Government healthcare expenditure per capita, 2023</w:t>
      </w:r>
      <w:bookmarkEnd w:id="187"/>
      <w:bookmarkEnd w:id="188"/>
    </w:p>
    <w:p w14:paraId="7A2D9E4B" w14:textId="12566DEE" w:rsidR="00CA396F" w:rsidRDefault="00CA396F" w:rsidP="00CA396F">
      <w:r>
        <w:rPr>
          <w:noProof/>
        </w:rPr>
        <w:drawing>
          <wp:inline distT="0" distB="0" distL="0" distR="0" wp14:anchorId="18C3F750" wp14:editId="56EE1350">
            <wp:extent cx="6336030" cy="4469765"/>
            <wp:effectExtent l="0" t="0" r="7620" b="6985"/>
            <wp:docPr id="604351315" name="Picture 53" descr="The graph shows the Government healthcare expenditure per capita by economy in 2023. The information is as follows: Norway (ranked #1) $7.2k; Denmark (ranked #2) $6.3k; Sweden (ranked #4) $5.1k; Ireland (ranked #3) $5.1k; Australia (ranked #5) $4.9k; UK (ranked #6) $4.3k; Canada (ranked #7) $4.3k; US (ranked #8) $4.2k; New Zealand (ranked #9) $3.8k; Finland (ranked #10) $3.6k; Switzerland (ranked #11) $2.8k; Italy (ranked #12) $2.5k; Spain (ranked #14) $2.2k; Hong Kong SAR (ranked #15) $2.1k; Belgium (ranked #17) $1.3k; Netherlands (ranked #18) $0.8k; Korea (ranked #22) $0.5k; Brazil (ranked #24) $0.4k; Japan (ranked #25) $0.3k; and China (ranked #33) $0.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51315" name="Picture 53" descr="The graph shows the Government healthcare expenditure per capita by economy in 2023. The information is as follows: Norway (ranked #1) $7.2k; Denmark (ranked #2) $6.3k; Sweden (ranked #4) $5.1k; Ireland (ranked #3) $5.1k; Australia (ranked #5) $4.9k; UK (ranked #6) $4.3k; Canada (ranked #7) $4.3k; US (ranked #8) $4.2k; New Zealand (ranked #9) $3.8k; Finland (ranked #10) $3.6k; Switzerland (ranked #11) $2.8k; Italy (ranked #12) $2.5k; Spain (ranked #14) $2.2k; Hong Kong SAR (ranked #15) $2.1k; Belgium (ranked #17) $1.3k; Netherlands (ranked #18) $0.8k; Korea (ranked #22) $0.5k; Brazil (ranked #24) $0.4k; Japan (ranked #25) $0.3k; and China (ranked #33) $0.1k."/>
                    <pic:cNvPicPr/>
                  </pic:nvPicPr>
                  <pic:blipFill rotWithShape="1">
                    <a:blip r:embed="rId60" cstate="hqprint">
                      <a:extLst>
                        <a:ext uri="{28A0092B-C50C-407E-A947-70E740481C1C}">
                          <a14:useLocalDpi xmlns:a14="http://schemas.microsoft.com/office/drawing/2010/main"/>
                        </a:ext>
                      </a:extLst>
                    </a:blip>
                    <a:srcRect/>
                    <a:stretch/>
                  </pic:blipFill>
                  <pic:spPr bwMode="auto">
                    <a:xfrm>
                      <a:off x="0" y="0"/>
                      <a:ext cx="6336030" cy="4469765"/>
                    </a:xfrm>
                    <a:prstGeom prst="rect">
                      <a:avLst/>
                    </a:prstGeom>
                    <a:ln>
                      <a:noFill/>
                    </a:ln>
                    <a:extLst>
                      <a:ext uri="{53640926-AAD7-44D8-BBD7-CCE9431645EC}">
                        <a14:shadowObscured xmlns:a14="http://schemas.microsoft.com/office/drawing/2010/main"/>
                      </a:ext>
                    </a:extLst>
                  </pic:spPr>
                </pic:pic>
              </a:graphicData>
            </a:graphic>
          </wp:inline>
        </w:drawing>
      </w:r>
    </w:p>
    <w:p w14:paraId="5A3CE04A" w14:textId="097C113B" w:rsidR="006719E7" w:rsidRPr="002322B7" w:rsidRDefault="00F54396" w:rsidP="00D72717">
      <w:pPr>
        <w:pStyle w:val="Sourcesandnotes"/>
      </w:pPr>
      <w:r w:rsidRPr="002322B7">
        <w:rPr>
          <w:b/>
          <w:bCs/>
        </w:rPr>
        <w:t xml:space="preserve">Sources: </w:t>
      </w:r>
      <w:r w:rsidRPr="002322B7">
        <w:t xml:space="preserve">Economic Intelligence Unit, 2024, Viewpoint database; International Monetary Fund, 2024, World </w:t>
      </w:r>
      <w:r w:rsidR="00870BFA" w:rsidRPr="002322B7">
        <w:t>E</w:t>
      </w:r>
      <w:r w:rsidRPr="002322B7">
        <w:t xml:space="preserve">conomic </w:t>
      </w:r>
      <w:r w:rsidR="00870BFA" w:rsidRPr="002322B7">
        <w:t>O</w:t>
      </w:r>
      <w:r w:rsidRPr="002322B7">
        <w:t>utlook, October 2023 database; accessed in April 2024; Austrade.</w:t>
      </w:r>
    </w:p>
    <w:sectPr w:rsidR="006719E7" w:rsidRPr="002322B7" w:rsidSect="00AF4556">
      <w:headerReference w:type="even" r:id="rId61"/>
      <w:headerReference w:type="default" r:id="rId62"/>
      <w:footerReference w:type="even" r:id="rId63"/>
      <w:footerReference w:type="default" r:id="rId64"/>
      <w:headerReference w:type="first" r:id="rId65"/>
      <w:footerReference w:type="first" r:id="rId66"/>
      <w:pgSz w:w="11906" w:h="16838"/>
      <w:pgMar w:top="851" w:right="964" w:bottom="1276" w:left="964" w:header="709"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EAE8F" w14:textId="77777777" w:rsidR="004575E5" w:rsidRDefault="004575E5" w:rsidP="00C2786B">
      <w:r>
        <w:separator/>
      </w:r>
    </w:p>
    <w:p w14:paraId="462B6822" w14:textId="77777777" w:rsidR="004575E5" w:rsidRDefault="004575E5" w:rsidP="00C2786B"/>
  </w:endnote>
  <w:endnote w:type="continuationSeparator" w:id="0">
    <w:p w14:paraId="5810E813" w14:textId="77777777" w:rsidR="004575E5" w:rsidRDefault="004575E5" w:rsidP="00C2786B">
      <w:r>
        <w:continuationSeparator/>
      </w:r>
    </w:p>
    <w:p w14:paraId="1BA3F5F3" w14:textId="77777777" w:rsidR="004575E5" w:rsidRDefault="004575E5" w:rsidP="00C2786B"/>
  </w:endnote>
  <w:endnote w:type="continuationNotice" w:id="1">
    <w:p w14:paraId="51DA390D" w14:textId="77777777" w:rsidR="004575E5" w:rsidRDefault="004575E5" w:rsidP="00C27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USansBETAText-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14DFF" w14:textId="77777777" w:rsidR="00A2654D" w:rsidRDefault="00A265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32DB2" w14:textId="442A1791" w:rsidR="001B2880" w:rsidRDefault="00321E47" w:rsidP="00C2786B">
    <w:pPr>
      <w:pStyle w:val="Footer"/>
    </w:pPr>
    <w:r w:rsidRPr="003D0704">
      <w:rPr>
        <w:noProof/>
        <w:lang w:eastAsia="en-AU"/>
      </w:rPr>
      <mc:AlternateContent>
        <mc:Choice Requires="wps">
          <w:drawing>
            <wp:anchor distT="0" distB="0" distL="114300" distR="114300" simplePos="0" relativeHeight="251658240" behindDoc="0" locked="0" layoutInCell="1" allowOverlap="1" wp14:anchorId="6D72A6C5" wp14:editId="6274D0EB">
              <wp:simplePos x="0" y="0"/>
              <wp:positionH relativeFrom="margin">
                <wp:posOffset>52878</wp:posOffset>
              </wp:positionH>
              <wp:positionV relativeFrom="page">
                <wp:posOffset>10141527</wp:posOffset>
              </wp:positionV>
              <wp:extent cx="6250682" cy="7620"/>
              <wp:effectExtent l="0" t="0" r="36195" b="30480"/>
              <wp:wrapNone/>
              <wp:docPr id="184" name="Straight Connector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250682" cy="762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451CA" id="Straight Connector 184"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4.15pt,798.55pt" to="496.35pt,7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" strokecolor="#00694b [3206]" strokeweight=".5pt">
              <v:stroke joinstyle="miter"/>
              <w10:wrap anchorx="margin" anchory="page"/>
            </v:line>
          </w:pict>
        </mc:Fallback>
      </mc:AlternateContent>
    </w:r>
    <w:r w:rsidR="006F00E6" w:rsidRPr="006F00E6">
      <w:t xml:space="preserve"> </w:t>
    </w:r>
    <w:r w:rsidR="004A2629">
      <w:t xml:space="preserve">Why Australia </w:t>
    </w:r>
    <w:r w:rsidR="005A460B">
      <w:t>Benchmark Report</w:t>
    </w:r>
    <w:r w:rsidR="003D0704">
      <w:tab/>
    </w:r>
    <w:r w:rsidR="00A86927">
      <w:fldChar w:fldCharType="begin"/>
    </w:r>
    <w:r w:rsidR="00A86927">
      <w:instrText xml:space="preserve"> PAGE   \* MERGEFORMAT </w:instrText>
    </w:r>
    <w:r w:rsidR="00A86927">
      <w:fldChar w:fldCharType="separate"/>
    </w:r>
    <w:r w:rsidR="00AA390C">
      <w:rPr>
        <w:noProof/>
      </w:rPr>
      <w:t>2</w:t>
    </w:r>
    <w:r w:rsidR="00A8692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9A602" w14:textId="77777777" w:rsidR="00D871C3" w:rsidRPr="003D0704" w:rsidRDefault="004767E6" w:rsidP="00C2786B">
    <w:pPr>
      <w:pStyle w:val="Footer"/>
    </w:pPr>
    <w:r w:rsidRPr="003D070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F6D681" w14:textId="77777777" w:rsidR="004575E5" w:rsidRDefault="004575E5" w:rsidP="00C2786B">
      <w:r>
        <w:separator/>
      </w:r>
    </w:p>
    <w:p w14:paraId="728FC789" w14:textId="77777777" w:rsidR="004575E5" w:rsidRDefault="004575E5" w:rsidP="00C2786B"/>
  </w:footnote>
  <w:footnote w:type="continuationSeparator" w:id="0">
    <w:p w14:paraId="00752096" w14:textId="77777777" w:rsidR="004575E5" w:rsidRDefault="004575E5" w:rsidP="00C2786B">
      <w:r>
        <w:continuationSeparator/>
      </w:r>
    </w:p>
    <w:p w14:paraId="286FD649" w14:textId="77777777" w:rsidR="004575E5" w:rsidRDefault="004575E5" w:rsidP="00C2786B"/>
  </w:footnote>
  <w:footnote w:type="continuationNotice" w:id="1">
    <w:p w14:paraId="753D51F4" w14:textId="77777777" w:rsidR="004575E5" w:rsidRDefault="004575E5" w:rsidP="00C278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E73B6" w14:textId="77777777" w:rsidR="00A2654D" w:rsidRDefault="00A265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BE4D8" w14:textId="77777777" w:rsidR="00A2654D" w:rsidRDefault="00A265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8F72" w14:textId="77777777" w:rsidR="003C3B0A" w:rsidRDefault="003C3B0A" w:rsidP="00C2786B">
    <w:pPr>
      <w:pStyle w:val="Header"/>
    </w:pPr>
  </w:p>
  <w:p w14:paraId="0EEDF07E" w14:textId="77777777" w:rsidR="00D871C3" w:rsidRDefault="00D871C3" w:rsidP="00C27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5E2E1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040DF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4194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D3253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EF061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26AC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ACA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4858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DC72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E26B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0648C"/>
    <w:multiLevelType w:val="hybridMultilevel"/>
    <w:tmpl w:val="2DB27050"/>
    <w:lvl w:ilvl="0" w:tplc="3A2C2224">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5773ED"/>
    <w:multiLevelType w:val="multilevel"/>
    <w:tmpl w:val="CB4E1ACA"/>
    <w:styleLink w:val="ListBullets"/>
    <w:lvl w:ilvl="0">
      <w:start w:val="1"/>
      <w:numFmt w:val="bullet"/>
      <w:lvlText w:val=""/>
      <w:lvlJc w:val="left"/>
      <w:pPr>
        <w:tabs>
          <w:tab w:val="num" w:pos="227"/>
        </w:tabs>
        <w:ind w:left="227" w:hanging="227"/>
      </w:pPr>
      <w:rPr>
        <w:rFonts w:ascii="Symbol" w:hAnsi="Symbol" w:hint="default"/>
        <w:color w:val="173F34" w:themeColor="accent1"/>
      </w:rPr>
    </w:lvl>
    <w:lvl w:ilvl="1">
      <w:start w:val="1"/>
      <w:numFmt w:val="bullet"/>
      <w:lvlText w:val="›"/>
      <w:lvlJc w:val="left"/>
      <w:pPr>
        <w:tabs>
          <w:tab w:val="num" w:pos="227"/>
        </w:tabs>
        <w:ind w:left="227" w:hanging="227"/>
      </w:pPr>
      <w:rPr>
        <w:rFonts w:ascii="Arial" w:hAnsi="Arial" w:hint="default"/>
        <w:color w:val="173F34"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CD5C38"/>
    <w:multiLevelType w:val="hybridMultilevel"/>
    <w:tmpl w:val="DBE6804E"/>
    <w:lvl w:ilvl="0" w:tplc="A1DCDBC0">
      <w:start w:val="9"/>
      <w:numFmt w:val="bullet"/>
      <w:lvlText w:val=""/>
      <w:lvlJc w:val="left"/>
      <w:pPr>
        <w:ind w:left="1080" w:hanging="72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FE43BE"/>
    <w:multiLevelType w:val="multilevel"/>
    <w:tmpl w:val="E124DA12"/>
    <w:lvl w:ilvl="0">
      <w:start w:val="1"/>
      <w:numFmt w:val="bullet"/>
      <w:pStyle w:val="ListBullet"/>
      <w:lvlText w:val=""/>
      <w:lvlJc w:val="left"/>
      <w:pPr>
        <w:ind w:left="284" w:hanging="284"/>
      </w:pPr>
      <w:rPr>
        <w:rFonts w:ascii="Symbol" w:hAnsi="Symbol" w:hint="default"/>
        <w:color w:val="FFFFFF" w:themeColor="background2"/>
      </w:rPr>
    </w:lvl>
    <w:lvl w:ilvl="1">
      <w:start w:val="1"/>
      <w:numFmt w:val="bullet"/>
      <w:pStyle w:val="ListBullet2"/>
      <w:lvlText w:val="–"/>
      <w:lvlJc w:val="left"/>
      <w:pPr>
        <w:ind w:left="568" w:hanging="284"/>
      </w:pPr>
      <w:rPr>
        <w:rFonts w:ascii="Calibri" w:hAnsi="Calibri" w:hint="default"/>
        <w:color w:val="FFFFFF" w:themeColor="background2"/>
      </w:rPr>
    </w:lvl>
    <w:lvl w:ilvl="2">
      <w:start w:val="1"/>
      <w:numFmt w:val="bullet"/>
      <w:pStyle w:val="ListBullet3"/>
      <w:lvlText w:val="–"/>
      <w:lvlJc w:val="left"/>
      <w:pPr>
        <w:ind w:left="852" w:hanging="284"/>
      </w:pPr>
      <w:rPr>
        <w:rFonts w:ascii="Calibri" w:hAnsi="Calibri" w:hint="default"/>
        <w:color w:val="FFFFFF"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40D903CA"/>
    <w:multiLevelType w:val="hybridMultilevel"/>
    <w:tmpl w:val="0060B9BA"/>
    <w:lvl w:ilvl="0" w:tplc="BF082CF0">
      <w:start w:val="1"/>
      <w:numFmt w:val="bullet"/>
      <w:pStyle w:val="BulletLis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D643664"/>
    <w:multiLevelType w:val="hybridMultilevel"/>
    <w:tmpl w:val="F69A0D88"/>
    <w:lvl w:ilvl="0" w:tplc="62E6792E">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05723E0"/>
    <w:multiLevelType w:val="multilevel"/>
    <w:tmpl w:val="CB4E1ACA"/>
    <w:numStyleLink w:val="ListBullets"/>
  </w:abstractNum>
  <w:abstractNum w:abstractNumId="17" w15:restartNumberingAfterBreak="0">
    <w:nsid w:val="6BA271C2"/>
    <w:multiLevelType w:val="hybridMultilevel"/>
    <w:tmpl w:val="D416E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6778881">
    <w:abstractNumId w:val="14"/>
  </w:num>
  <w:num w:numId="2" w16cid:durableId="1150439850">
    <w:abstractNumId w:val="15"/>
  </w:num>
  <w:num w:numId="3" w16cid:durableId="1185170805">
    <w:abstractNumId w:val="15"/>
    <w:lvlOverride w:ilvl="0">
      <w:startOverride w:val="1"/>
    </w:lvlOverride>
  </w:num>
  <w:num w:numId="4" w16cid:durableId="236549346">
    <w:abstractNumId w:val="15"/>
    <w:lvlOverride w:ilvl="0">
      <w:startOverride w:val="1"/>
    </w:lvlOverride>
  </w:num>
  <w:num w:numId="5" w16cid:durableId="2132044267">
    <w:abstractNumId w:val="15"/>
    <w:lvlOverride w:ilvl="0">
      <w:startOverride w:val="1"/>
    </w:lvlOverride>
  </w:num>
  <w:num w:numId="6" w16cid:durableId="542904262">
    <w:abstractNumId w:val="15"/>
    <w:lvlOverride w:ilvl="0">
      <w:startOverride w:val="1"/>
    </w:lvlOverride>
  </w:num>
  <w:num w:numId="7" w16cid:durableId="1274090939">
    <w:abstractNumId w:val="0"/>
  </w:num>
  <w:num w:numId="8" w16cid:durableId="1387870734">
    <w:abstractNumId w:val="1"/>
  </w:num>
  <w:num w:numId="9" w16cid:durableId="456413161">
    <w:abstractNumId w:val="2"/>
  </w:num>
  <w:num w:numId="10" w16cid:durableId="2125072823">
    <w:abstractNumId w:val="3"/>
  </w:num>
  <w:num w:numId="11" w16cid:durableId="117769625">
    <w:abstractNumId w:val="8"/>
  </w:num>
  <w:num w:numId="12" w16cid:durableId="630553570">
    <w:abstractNumId w:val="4"/>
  </w:num>
  <w:num w:numId="13" w16cid:durableId="955713900">
    <w:abstractNumId w:val="5"/>
  </w:num>
  <w:num w:numId="14" w16cid:durableId="1559321968">
    <w:abstractNumId w:val="6"/>
  </w:num>
  <w:num w:numId="15" w16cid:durableId="834222538">
    <w:abstractNumId w:val="7"/>
  </w:num>
  <w:num w:numId="16" w16cid:durableId="516428137">
    <w:abstractNumId w:val="9"/>
  </w:num>
  <w:num w:numId="17" w16cid:durableId="614018573">
    <w:abstractNumId w:val="13"/>
  </w:num>
  <w:num w:numId="18" w16cid:durableId="746339651">
    <w:abstractNumId w:val="17"/>
  </w:num>
  <w:num w:numId="19" w16cid:durableId="1991442919">
    <w:abstractNumId w:val="11"/>
    <w:lvlOverride w:ilvl="0">
      <w:lvl w:ilvl="0">
        <w:start w:val="1"/>
        <w:numFmt w:val="bullet"/>
        <w:lvlText w:val=""/>
        <w:lvlJc w:val="left"/>
        <w:pPr>
          <w:tabs>
            <w:tab w:val="num" w:pos="227"/>
          </w:tabs>
          <w:ind w:left="227" w:hanging="227"/>
        </w:pPr>
        <w:rPr>
          <w:rFonts w:ascii="Symbol" w:hAnsi="Symbol" w:hint="default"/>
          <w:color w:val="auto"/>
        </w:rPr>
      </w:lvl>
    </w:lvlOverride>
  </w:num>
  <w:num w:numId="20" w16cid:durableId="1291591127">
    <w:abstractNumId w:val="16"/>
  </w:num>
  <w:num w:numId="21" w16cid:durableId="1132945809">
    <w:abstractNumId w:val="11"/>
  </w:num>
  <w:num w:numId="22" w16cid:durableId="383791725">
    <w:abstractNumId w:val="15"/>
    <w:lvlOverride w:ilvl="0">
      <w:startOverride w:val="1"/>
    </w:lvlOverride>
  </w:num>
  <w:num w:numId="23" w16cid:durableId="1929387321">
    <w:abstractNumId w:val="15"/>
    <w:lvlOverride w:ilvl="0">
      <w:startOverride w:val="1"/>
    </w:lvlOverride>
  </w:num>
  <w:num w:numId="24" w16cid:durableId="941188604">
    <w:abstractNumId w:val="15"/>
    <w:lvlOverride w:ilvl="0">
      <w:startOverride w:val="1"/>
    </w:lvlOverride>
  </w:num>
  <w:num w:numId="25" w16cid:durableId="374961820">
    <w:abstractNumId w:val="10"/>
  </w:num>
  <w:num w:numId="26" w16cid:durableId="1743137661">
    <w:abstractNumId w:val="8"/>
  </w:num>
  <w:num w:numId="27" w16cid:durableId="1050151797">
    <w:abstractNumId w:val="3"/>
  </w:num>
  <w:num w:numId="28" w16cid:durableId="37366149">
    <w:abstractNumId w:val="2"/>
  </w:num>
  <w:num w:numId="29" w16cid:durableId="736325216">
    <w:abstractNumId w:val="1"/>
  </w:num>
  <w:num w:numId="30" w16cid:durableId="1871145112">
    <w:abstractNumId w:val="0"/>
  </w:num>
  <w:num w:numId="31" w16cid:durableId="5575905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L+JaM3nouLtd1if8AhKHqRRWzoCOitI4mavzJKdIzPeUo3qL0pszDyM9qoS1iSbV98Hmq8lB4/IjDasUe8Few==" w:salt="dVQW4UwzNAst05bwM4bL4A=="/>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215"/>
    <w:rsid w:val="0000042F"/>
    <w:rsid w:val="00000581"/>
    <w:rsid w:val="00001327"/>
    <w:rsid w:val="0000145F"/>
    <w:rsid w:val="00001BB3"/>
    <w:rsid w:val="00001C56"/>
    <w:rsid w:val="00001DBB"/>
    <w:rsid w:val="00001E97"/>
    <w:rsid w:val="00002090"/>
    <w:rsid w:val="00002D86"/>
    <w:rsid w:val="00002FB9"/>
    <w:rsid w:val="000032E5"/>
    <w:rsid w:val="00003733"/>
    <w:rsid w:val="00003912"/>
    <w:rsid w:val="00003C55"/>
    <w:rsid w:val="00003F38"/>
    <w:rsid w:val="00003FDC"/>
    <w:rsid w:val="00004040"/>
    <w:rsid w:val="00004C3A"/>
    <w:rsid w:val="00004FDD"/>
    <w:rsid w:val="00005446"/>
    <w:rsid w:val="00005908"/>
    <w:rsid w:val="0000601A"/>
    <w:rsid w:val="000060AC"/>
    <w:rsid w:val="000063C9"/>
    <w:rsid w:val="00006498"/>
    <w:rsid w:val="0000678E"/>
    <w:rsid w:val="00006C40"/>
    <w:rsid w:val="00006DEA"/>
    <w:rsid w:val="00007140"/>
    <w:rsid w:val="000071B6"/>
    <w:rsid w:val="0000746A"/>
    <w:rsid w:val="00007605"/>
    <w:rsid w:val="00007817"/>
    <w:rsid w:val="00007CA4"/>
    <w:rsid w:val="00007CC9"/>
    <w:rsid w:val="00007D80"/>
    <w:rsid w:val="00007FD8"/>
    <w:rsid w:val="00010707"/>
    <w:rsid w:val="000108E0"/>
    <w:rsid w:val="00010A03"/>
    <w:rsid w:val="00010CDC"/>
    <w:rsid w:val="0001109D"/>
    <w:rsid w:val="0001119A"/>
    <w:rsid w:val="00011C38"/>
    <w:rsid w:val="00011EA5"/>
    <w:rsid w:val="00012828"/>
    <w:rsid w:val="00012E7E"/>
    <w:rsid w:val="00013267"/>
    <w:rsid w:val="00013646"/>
    <w:rsid w:val="00013C26"/>
    <w:rsid w:val="00013FAC"/>
    <w:rsid w:val="00014047"/>
    <w:rsid w:val="0001407D"/>
    <w:rsid w:val="000142F8"/>
    <w:rsid w:val="0001441E"/>
    <w:rsid w:val="00014787"/>
    <w:rsid w:val="000147EC"/>
    <w:rsid w:val="00014C51"/>
    <w:rsid w:val="000150C5"/>
    <w:rsid w:val="00015821"/>
    <w:rsid w:val="00016012"/>
    <w:rsid w:val="00016258"/>
    <w:rsid w:val="000166B6"/>
    <w:rsid w:val="00016D20"/>
    <w:rsid w:val="0001755E"/>
    <w:rsid w:val="000176CA"/>
    <w:rsid w:val="00017763"/>
    <w:rsid w:val="00017E1C"/>
    <w:rsid w:val="00020294"/>
    <w:rsid w:val="0002039A"/>
    <w:rsid w:val="00020A73"/>
    <w:rsid w:val="00020DC2"/>
    <w:rsid w:val="0002131A"/>
    <w:rsid w:val="000213EF"/>
    <w:rsid w:val="00021C1E"/>
    <w:rsid w:val="00021C4B"/>
    <w:rsid w:val="00021C8F"/>
    <w:rsid w:val="00021EAF"/>
    <w:rsid w:val="0002264C"/>
    <w:rsid w:val="00022927"/>
    <w:rsid w:val="0002298E"/>
    <w:rsid w:val="00022F0F"/>
    <w:rsid w:val="0002306A"/>
    <w:rsid w:val="000232AD"/>
    <w:rsid w:val="000233F5"/>
    <w:rsid w:val="00023665"/>
    <w:rsid w:val="00023A95"/>
    <w:rsid w:val="00023E15"/>
    <w:rsid w:val="000242C1"/>
    <w:rsid w:val="0002446A"/>
    <w:rsid w:val="00024B16"/>
    <w:rsid w:val="00024BF4"/>
    <w:rsid w:val="00024DFF"/>
    <w:rsid w:val="000250E6"/>
    <w:rsid w:val="00025293"/>
    <w:rsid w:val="00025338"/>
    <w:rsid w:val="00025352"/>
    <w:rsid w:val="00025656"/>
    <w:rsid w:val="00025793"/>
    <w:rsid w:val="00025919"/>
    <w:rsid w:val="00025F05"/>
    <w:rsid w:val="00026086"/>
    <w:rsid w:val="000260EF"/>
    <w:rsid w:val="0002654B"/>
    <w:rsid w:val="00026786"/>
    <w:rsid w:val="0002690D"/>
    <w:rsid w:val="00027BE0"/>
    <w:rsid w:val="0003078C"/>
    <w:rsid w:val="000308C5"/>
    <w:rsid w:val="00030ECE"/>
    <w:rsid w:val="00031BDC"/>
    <w:rsid w:val="00031E6C"/>
    <w:rsid w:val="000321B7"/>
    <w:rsid w:val="0003283A"/>
    <w:rsid w:val="00032DBF"/>
    <w:rsid w:val="0003348D"/>
    <w:rsid w:val="00033A9B"/>
    <w:rsid w:val="00034581"/>
    <w:rsid w:val="00034624"/>
    <w:rsid w:val="00034AFC"/>
    <w:rsid w:val="00034B39"/>
    <w:rsid w:val="00034B5A"/>
    <w:rsid w:val="000352F1"/>
    <w:rsid w:val="00035BC1"/>
    <w:rsid w:val="00035F08"/>
    <w:rsid w:val="00036311"/>
    <w:rsid w:val="0003641B"/>
    <w:rsid w:val="0003648F"/>
    <w:rsid w:val="000364C9"/>
    <w:rsid w:val="00036637"/>
    <w:rsid w:val="00036D53"/>
    <w:rsid w:val="000377A3"/>
    <w:rsid w:val="00040860"/>
    <w:rsid w:val="000408F7"/>
    <w:rsid w:val="00040AA8"/>
    <w:rsid w:val="00040CC7"/>
    <w:rsid w:val="00041181"/>
    <w:rsid w:val="000427D8"/>
    <w:rsid w:val="00042B4C"/>
    <w:rsid w:val="00043087"/>
    <w:rsid w:val="0004318D"/>
    <w:rsid w:val="00043545"/>
    <w:rsid w:val="00043A5E"/>
    <w:rsid w:val="000446BF"/>
    <w:rsid w:val="00044A6A"/>
    <w:rsid w:val="00044D5F"/>
    <w:rsid w:val="00045038"/>
    <w:rsid w:val="000450EF"/>
    <w:rsid w:val="0004519B"/>
    <w:rsid w:val="00045734"/>
    <w:rsid w:val="000460F4"/>
    <w:rsid w:val="00046B0B"/>
    <w:rsid w:val="00046FF7"/>
    <w:rsid w:val="00047326"/>
    <w:rsid w:val="0004761F"/>
    <w:rsid w:val="00047B0E"/>
    <w:rsid w:val="00047C47"/>
    <w:rsid w:val="00047E99"/>
    <w:rsid w:val="000500A4"/>
    <w:rsid w:val="000501A2"/>
    <w:rsid w:val="00050D29"/>
    <w:rsid w:val="00050F78"/>
    <w:rsid w:val="0005121A"/>
    <w:rsid w:val="0005123F"/>
    <w:rsid w:val="00051809"/>
    <w:rsid w:val="0005200E"/>
    <w:rsid w:val="00052580"/>
    <w:rsid w:val="000525C1"/>
    <w:rsid w:val="00052ADF"/>
    <w:rsid w:val="00052F9D"/>
    <w:rsid w:val="000536A6"/>
    <w:rsid w:val="00053944"/>
    <w:rsid w:val="0005486D"/>
    <w:rsid w:val="00054AD8"/>
    <w:rsid w:val="00054B74"/>
    <w:rsid w:val="00054E97"/>
    <w:rsid w:val="00054F33"/>
    <w:rsid w:val="00054FF9"/>
    <w:rsid w:val="0005535C"/>
    <w:rsid w:val="00055781"/>
    <w:rsid w:val="00055825"/>
    <w:rsid w:val="00055D51"/>
    <w:rsid w:val="00055EC0"/>
    <w:rsid w:val="00055F6A"/>
    <w:rsid w:val="00056D8A"/>
    <w:rsid w:val="00056F25"/>
    <w:rsid w:val="00057170"/>
    <w:rsid w:val="000572D5"/>
    <w:rsid w:val="00057720"/>
    <w:rsid w:val="000579C8"/>
    <w:rsid w:val="00057CDC"/>
    <w:rsid w:val="00060412"/>
    <w:rsid w:val="00060751"/>
    <w:rsid w:val="000612A5"/>
    <w:rsid w:val="000614CC"/>
    <w:rsid w:val="00061ABC"/>
    <w:rsid w:val="0006206E"/>
    <w:rsid w:val="000627EF"/>
    <w:rsid w:val="00062D19"/>
    <w:rsid w:val="00063291"/>
    <w:rsid w:val="000635D8"/>
    <w:rsid w:val="00064353"/>
    <w:rsid w:val="00064381"/>
    <w:rsid w:val="0006479D"/>
    <w:rsid w:val="00064B58"/>
    <w:rsid w:val="00064EAC"/>
    <w:rsid w:val="0006547D"/>
    <w:rsid w:val="00065489"/>
    <w:rsid w:val="00065AC8"/>
    <w:rsid w:val="000662E2"/>
    <w:rsid w:val="00066C37"/>
    <w:rsid w:val="000671B1"/>
    <w:rsid w:val="000677C6"/>
    <w:rsid w:val="00067AE5"/>
    <w:rsid w:val="00067D02"/>
    <w:rsid w:val="000700DF"/>
    <w:rsid w:val="00070519"/>
    <w:rsid w:val="00070836"/>
    <w:rsid w:val="000714D6"/>
    <w:rsid w:val="00071BA1"/>
    <w:rsid w:val="00071EE2"/>
    <w:rsid w:val="00072B9A"/>
    <w:rsid w:val="000730CD"/>
    <w:rsid w:val="000732AE"/>
    <w:rsid w:val="000738C3"/>
    <w:rsid w:val="000739A5"/>
    <w:rsid w:val="00073D59"/>
    <w:rsid w:val="00073D93"/>
    <w:rsid w:val="0007462F"/>
    <w:rsid w:val="00074821"/>
    <w:rsid w:val="00074981"/>
    <w:rsid w:val="000755F9"/>
    <w:rsid w:val="0007581F"/>
    <w:rsid w:val="00075AE9"/>
    <w:rsid w:val="00075BCD"/>
    <w:rsid w:val="00076788"/>
    <w:rsid w:val="000767C6"/>
    <w:rsid w:val="00076B7C"/>
    <w:rsid w:val="00076E3C"/>
    <w:rsid w:val="00076E63"/>
    <w:rsid w:val="000773EE"/>
    <w:rsid w:val="000777B1"/>
    <w:rsid w:val="000778E1"/>
    <w:rsid w:val="000802AC"/>
    <w:rsid w:val="0008053F"/>
    <w:rsid w:val="00080F46"/>
    <w:rsid w:val="00080F81"/>
    <w:rsid w:val="00081179"/>
    <w:rsid w:val="000813A9"/>
    <w:rsid w:val="00081869"/>
    <w:rsid w:val="00081D2C"/>
    <w:rsid w:val="00082184"/>
    <w:rsid w:val="000826D0"/>
    <w:rsid w:val="000826FE"/>
    <w:rsid w:val="00082996"/>
    <w:rsid w:val="00082D0F"/>
    <w:rsid w:val="000831FF"/>
    <w:rsid w:val="000834E0"/>
    <w:rsid w:val="00083783"/>
    <w:rsid w:val="00084048"/>
    <w:rsid w:val="000841AB"/>
    <w:rsid w:val="000841C6"/>
    <w:rsid w:val="0008424E"/>
    <w:rsid w:val="00084407"/>
    <w:rsid w:val="00084C64"/>
    <w:rsid w:val="00084E67"/>
    <w:rsid w:val="000853F3"/>
    <w:rsid w:val="000859AA"/>
    <w:rsid w:val="00085B66"/>
    <w:rsid w:val="00086A9B"/>
    <w:rsid w:val="00086FA3"/>
    <w:rsid w:val="000903CA"/>
    <w:rsid w:val="00090410"/>
    <w:rsid w:val="0009041D"/>
    <w:rsid w:val="000905BD"/>
    <w:rsid w:val="0009073B"/>
    <w:rsid w:val="000907C9"/>
    <w:rsid w:val="00090806"/>
    <w:rsid w:val="00090D76"/>
    <w:rsid w:val="0009130F"/>
    <w:rsid w:val="000919B0"/>
    <w:rsid w:val="00091AFB"/>
    <w:rsid w:val="00092F2B"/>
    <w:rsid w:val="0009323B"/>
    <w:rsid w:val="0009328C"/>
    <w:rsid w:val="000938A8"/>
    <w:rsid w:val="00093C2B"/>
    <w:rsid w:val="000946E6"/>
    <w:rsid w:val="00094E67"/>
    <w:rsid w:val="00095584"/>
    <w:rsid w:val="000955CD"/>
    <w:rsid w:val="0009597C"/>
    <w:rsid w:val="00095C1D"/>
    <w:rsid w:val="0009639C"/>
    <w:rsid w:val="000963D0"/>
    <w:rsid w:val="000966C0"/>
    <w:rsid w:val="00096770"/>
    <w:rsid w:val="000976D3"/>
    <w:rsid w:val="00097AA4"/>
    <w:rsid w:val="00097E14"/>
    <w:rsid w:val="00097EE7"/>
    <w:rsid w:val="00097FA3"/>
    <w:rsid w:val="000A01D6"/>
    <w:rsid w:val="000A0507"/>
    <w:rsid w:val="000A1096"/>
    <w:rsid w:val="000A11C0"/>
    <w:rsid w:val="000A12AD"/>
    <w:rsid w:val="000A12CB"/>
    <w:rsid w:val="000A132D"/>
    <w:rsid w:val="000A1659"/>
    <w:rsid w:val="000A1BC4"/>
    <w:rsid w:val="000A1E49"/>
    <w:rsid w:val="000A20B3"/>
    <w:rsid w:val="000A26B8"/>
    <w:rsid w:val="000A279F"/>
    <w:rsid w:val="000A295B"/>
    <w:rsid w:val="000A2D2F"/>
    <w:rsid w:val="000A2D39"/>
    <w:rsid w:val="000A2E6B"/>
    <w:rsid w:val="000A307B"/>
    <w:rsid w:val="000A30CB"/>
    <w:rsid w:val="000A3643"/>
    <w:rsid w:val="000A38CF"/>
    <w:rsid w:val="000A3A87"/>
    <w:rsid w:val="000A3D12"/>
    <w:rsid w:val="000A3F15"/>
    <w:rsid w:val="000A430D"/>
    <w:rsid w:val="000A4545"/>
    <w:rsid w:val="000A45C2"/>
    <w:rsid w:val="000A48FB"/>
    <w:rsid w:val="000A4B31"/>
    <w:rsid w:val="000A53CC"/>
    <w:rsid w:val="000A5548"/>
    <w:rsid w:val="000A59A6"/>
    <w:rsid w:val="000A5B01"/>
    <w:rsid w:val="000A5E89"/>
    <w:rsid w:val="000A6100"/>
    <w:rsid w:val="000A6315"/>
    <w:rsid w:val="000A6A0D"/>
    <w:rsid w:val="000A6A3F"/>
    <w:rsid w:val="000A6B2B"/>
    <w:rsid w:val="000A71BD"/>
    <w:rsid w:val="000A79AC"/>
    <w:rsid w:val="000A7AAE"/>
    <w:rsid w:val="000A7E94"/>
    <w:rsid w:val="000A7F6E"/>
    <w:rsid w:val="000B0377"/>
    <w:rsid w:val="000B07CC"/>
    <w:rsid w:val="000B0EA2"/>
    <w:rsid w:val="000B0F08"/>
    <w:rsid w:val="000B1065"/>
    <w:rsid w:val="000B111A"/>
    <w:rsid w:val="000B1286"/>
    <w:rsid w:val="000B12A0"/>
    <w:rsid w:val="000B147F"/>
    <w:rsid w:val="000B1A3F"/>
    <w:rsid w:val="000B206B"/>
    <w:rsid w:val="000B21DA"/>
    <w:rsid w:val="000B22E9"/>
    <w:rsid w:val="000B283C"/>
    <w:rsid w:val="000B2F8B"/>
    <w:rsid w:val="000B3104"/>
    <w:rsid w:val="000B3139"/>
    <w:rsid w:val="000B318C"/>
    <w:rsid w:val="000B31E2"/>
    <w:rsid w:val="000B3264"/>
    <w:rsid w:val="000B342C"/>
    <w:rsid w:val="000B3B40"/>
    <w:rsid w:val="000B3B58"/>
    <w:rsid w:val="000B3EFA"/>
    <w:rsid w:val="000B42CE"/>
    <w:rsid w:val="000B4417"/>
    <w:rsid w:val="000B4B94"/>
    <w:rsid w:val="000B4D1C"/>
    <w:rsid w:val="000B4E1A"/>
    <w:rsid w:val="000B5345"/>
    <w:rsid w:val="000B540B"/>
    <w:rsid w:val="000B5490"/>
    <w:rsid w:val="000B59C0"/>
    <w:rsid w:val="000B5B9E"/>
    <w:rsid w:val="000B5C58"/>
    <w:rsid w:val="000B5F4F"/>
    <w:rsid w:val="000B6935"/>
    <w:rsid w:val="000B6F0B"/>
    <w:rsid w:val="000B7BC6"/>
    <w:rsid w:val="000B7DE9"/>
    <w:rsid w:val="000C0186"/>
    <w:rsid w:val="000C051E"/>
    <w:rsid w:val="000C05B7"/>
    <w:rsid w:val="000C05FB"/>
    <w:rsid w:val="000C0998"/>
    <w:rsid w:val="000C19BC"/>
    <w:rsid w:val="000C1DD6"/>
    <w:rsid w:val="000C1F6C"/>
    <w:rsid w:val="000C20D0"/>
    <w:rsid w:val="000C2126"/>
    <w:rsid w:val="000C248E"/>
    <w:rsid w:val="000C25FB"/>
    <w:rsid w:val="000C27C0"/>
    <w:rsid w:val="000C29E8"/>
    <w:rsid w:val="000C3039"/>
    <w:rsid w:val="000C34A2"/>
    <w:rsid w:val="000C35A8"/>
    <w:rsid w:val="000C37CE"/>
    <w:rsid w:val="000C3F70"/>
    <w:rsid w:val="000C3F93"/>
    <w:rsid w:val="000C4025"/>
    <w:rsid w:val="000C405C"/>
    <w:rsid w:val="000C4911"/>
    <w:rsid w:val="000C52C4"/>
    <w:rsid w:val="000C5791"/>
    <w:rsid w:val="000C57F8"/>
    <w:rsid w:val="000C583E"/>
    <w:rsid w:val="000C5920"/>
    <w:rsid w:val="000C5A56"/>
    <w:rsid w:val="000C5DA4"/>
    <w:rsid w:val="000C5F84"/>
    <w:rsid w:val="000C60A8"/>
    <w:rsid w:val="000C6931"/>
    <w:rsid w:val="000C6D1D"/>
    <w:rsid w:val="000C73BF"/>
    <w:rsid w:val="000C77CB"/>
    <w:rsid w:val="000C7891"/>
    <w:rsid w:val="000C7C42"/>
    <w:rsid w:val="000C7D88"/>
    <w:rsid w:val="000C7E51"/>
    <w:rsid w:val="000D025F"/>
    <w:rsid w:val="000D0C2B"/>
    <w:rsid w:val="000D1041"/>
    <w:rsid w:val="000D12C3"/>
    <w:rsid w:val="000D13F1"/>
    <w:rsid w:val="000D1A36"/>
    <w:rsid w:val="000D1CBD"/>
    <w:rsid w:val="000D1DA0"/>
    <w:rsid w:val="000D2A3C"/>
    <w:rsid w:val="000D2A49"/>
    <w:rsid w:val="000D2F44"/>
    <w:rsid w:val="000D300C"/>
    <w:rsid w:val="000D338D"/>
    <w:rsid w:val="000D3B32"/>
    <w:rsid w:val="000D47F6"/>
    <w:rsid w:val="000D4DD3"/>
    <w:rsid w:val="000D4FCD"/>
    <w:rsid w:val="000D5295"/>
    <w:rsid w:val="000D5629"/>
    <w:rsid w:val="000D5913"/>
    <w:rsid w:val="000D5E6D"/>
    <w:rsid w:val="000D6254"/>
    <w:rsid w:val="000D62DD"/>
    <w:rsid w:val="000D644D"/>
    <w:rsid w:val="000D697F"/>
    <w:rsid w:val="000D69A0"/>
    <w:rsid w:val="000D6AB1"/>
    <w:rsid w:val="000D7014"/>
    <w:rsid w:val="000D7813"/>
    <w:rsid w:val="000D788A"/>
    <w:rsid w:val="000E003A"/>
    <w:rsid w:val="000E02B2"/>
    <w:rsid w:val="000E0554"/>
    <w:rsid w:val="000E07C3"/>
    <w:rsid w:val="000E0CCB"/>
    <w:rsid w:val="000E16F3"/>
    <w:rsid w:val="000E19D7"/>
    <w:rsid w:val="000E1C96"/>
    <w:rsid w:val="000E1F3E"/>
    <w:rsid w:val="000E1F52"/>
    <w:rsid w:val="000E284F"/>
    <w:rsid w:val="000E2AB5"/>
    <w:rsid w:val="000E3095"/>
    <w:rsid w:val="000E3EA0"/>
    <w:rsid w:val="000E4195"/>
    <w:rsid w:val="000E4253"/>
    <w:rsid w:val="000E4325"/>
    <w:rsid w:val="000E4E5D"/>
    <w:rsid w:val="000E4E77"/>
    <w:rsid w:val="000E5C1A"/>
    <w:rsid w:val="000E5C3C"/>
    <w:rsid w:val="000E5FB2"/>
    <w:rsid w:val="000E60D1"/>
    <w:rsid w:val="000E6624"/>
    <w:rsid w:val="000E670A"/>
    <w:rsid w:val="000E6940"/>
    <w:rsid w:val="000E6F55"/>
    <w:rsid w:val="000E6FE5"/>
    <w:rsid w:val="000E7221"/>
    <w:rsid w:val="000E7395"/>
    <w:rsid w:val="000E7B81"/>
    <w:rsid w:val="000E7E86"/>
    <w:rsid w:val="000F0CFC"/>
    <w:rsid w:val="000F0D5B"/>
    <w:rsid w:val="000F1C9A"/>
    <w:rsid w:val="000F22BC"/>
    <w:rsid w:val="000F22DC"/>
    <w:rsid w:val="000F23B5"/>
    <w:rsid w:val="000F2D83"/>
    <w:rsid w:val="000F2DF8"/>
    <w:rsid w:val="000F3036"/>
    <w:rsid w:val="000F31BA"/>
    <w:rsid w:val="000F333C"/>
    <w:rsid w:val="000F3536"/>
    <w:rsid w:val="000F36B1"/>
    <w:rsid w:val="000F3C22"/>
    <w:rsid w:val="000F431C"/>
    <w:rsid w:val="000F5576"/>
    <w:rsid w:val="000F5943"/>
    <w:rsid w:val="000F5AE0"/>
    <w:rsid w:val="000F5D5A"/>
    <w:rsid w:val="000F5F2A"/>
    <w:rsid w:val="000F6044"/>
    <w:rsid w:val="000F6501"/>
    <w:rsid w:val="000F68CA"/>
    <w:rsid w:val="000F69F1"/>
    <w:rsid w:val="000F77B5"/>
    <w:rsid w:val="000F7A33"/>
    <w:rsid w:val="000F7BE2"/>
    <w:rsid w:val="000F7E65"/>
    <w:rsid w:val="001005FF"/>
    <w:rsid w:val="00101283"/>
    <w:rsid w:val="00101351"/>
    <w:rsid w:val="001018B4"/>
    <w:rsid w:val="0010340E"/>
    <w:rsid w:val="001036F1"/>
    <w:rsid w:val="00103E53"/>
    <w:rsid w:val="00103FC7"/>
    <w:rsid w:val="0010402C"/>
    <w:rsid w:val="00104480"/>
    <w:rsid w:val="001046EC"/>
    <w:rsid w:val="00105025"/>
    <w:rsid w:val="001054C3"/>
    <w:rsid w:val="00105664"/>
    <w:rsid w:val="0010575E"/>
    <w:rsid w:val="00106062"/>
    <w:rsid w:val="0010656D"/>
    <w:rsid w:val="00106B5E"/>
    <w:rsid w:val="00106F7A"/>
    <w:rsid w:val="001071DD"/>
    <w:rsid w:val="001078E7"/>
    <w:rsid w:val="00107BD5"/>
    <w:rsid w:val="00107D86"/>
    <w:rsid w:val="00107E8C"/>
    <w:rsid w:val="001108CF"/>
    <w:rsid w:val="00110943"/>
    <w:rsid w:val="00110F47"/>
    <w:rsid w:val="001110B5"/>
    <w:rsid w:val="00111331"/>
    <w:rsid w:val="00111792"/>
    <w:rsid w:val="00111DD8"/>
    <w:rsid w:val="00111E53"/>
    <w:rsid w:val="00112689"/>
    <w:rsid w:val="00112804"/>
    <w:rsid w:val="001128AB"/>
    <w:rsid w:val="001129A3"/>
    <w:rsid w:val="001129C2"/>
    <w:rsid w:val="00112C6C"/>
    <w:rsid w:val="00112E3C"/>
    <w:rsid w:val="00113532"/>
    <w:rsid w:val="001136FF"/>
    <w:rsid w:val="001137FC"/>
    <w:rsid w:val="00113F46"/>
    <w:rsid w:val="00114085"/>
    <w:rsid w:val="0011460B"/>
    <w:rsid w:val="0011463B"/>
    <w:rsid w:val="0011499B"/>
    <w:rsid w:val="00114AA3"/>
    <w:rsid w:val="001152E4"/>
    <w:rsid w:val="00115D58"/>
    <w:rsid w:val="0011641B"/>
    <w:rsid w:val="0011687A"/>
    <w:rsid w:val="0011705D"/>
    <w:rsid w:val="00117092"/>
    <w:rsid w:val="0011711D"/>
    <w:rsid w:val="001171F1"/>
    <w:rsid w:val="00117370"/>
    <w:rsid w:val="0011789A"/>
    <w:rsid w:val="0011789D"/>
    <w:rsid w:val="001201CB"/>
    <w:rsid w:val="001202D5"/>
    <w:rsid w:val="001203BF"/>
    <w:rsid w:val="00120415"/>
    <w:rsid w:val="00120E28"/>
    <w:rsid w:val="00121203"/>
    <w:rsid w:val="00121472"/>
    <w:rsid w:val="00121607"/>
    <w:rsid w:val="00121B01"/>
    <w:rsid w:val="001225DC"/>
    <w:rsid w:val="00122639"/>
    <w:rsid w:val="001229AD"/>
    <w:rsid w:val="00122ADF"/>
    <w:rsid w:val="00122C00"/>
    <w:rsid w:val="00122E7C"/>
    <w:rsid w:val="001232AE"/>
    <w:rsid w:val="001239D2"/>
    <w:rsid w:val="00123A1E"/>
    <w:rsid w:val="00123E52"/>
    <w:rsid w:val="0012425F"/>
    <w:rsid w:val="00124284"/>
    <w:rsid w:val="00124341"/>
    <w:rsid w:val="001243B5"/>
    <w:rsid w:val="00124794"/>
    <w:rsid w:val="001248A3"/>
    <w:rsid w:val="00124B5B"/>
    <w:rsid w:val="00124B86"/>
    <w:rsid w:val="00124FBA"/>
    <w:rsid w:val="0012511A"/>
    <w:rsid w:val="0012529D"/>
    <w:rsid w:val="0012529E"/>
    <w:rsid w:val="001256C5"/>
    <w:rsid w:val="001258E8"/>
    <w:rsid w:val="001259DA"/>
    <w:rsid w:val="00125BA3"/>
    <w:rsid w:val="00125D8E"/>
    <w:rsid w:val="001264AE"/>
    <w:rsid w:val="00126735"/>
    <w:rsid w:val="00127058"/>
    <w:rsid w:val="001271F8"/>
    <w:rsid w:val="00127898"/>
    <w:rsid w:val="00127DA4"/>
    <w:rsid w:val="0013159F"/>
    <w:rsid w:val="001315E4"/>
    <w:rsid w:val="0013176A"/>
    <w:rsid w:val="001318FB"/>
    <w:rsid w:val="00132209"/>
    <w:rsid w:val="0013228F"/>
    <w:rsid w:val="001323AA"/>
    <w:rsid w:val="00132450"/>
    <w:rsid w:val="0013292A"/>
    <w:rsid w:val="00132932"/>
    <w:rsid w:val="00132C56"/>
    <w:rsid w:val="00132EC2"/>
    <w:rsid w:val="00133488"/>
    <w:rsid w:val="001335CD"/>
    <w:rsid w:val="0013373D"/>
    <w:rsid w:val="00134219"/>
    <w:rsid w:val="0013421E"/>
    <w:rsid w:val="00134636"/>
    <w:rsid w:val="00134709"/>
    <w:rsid w:val="00134EB3"/>
    <w:rsid w:val="00134F13"/>
    <w:rsid w:val="00134F84"/>
    <w:rsid w:val="001350EA"/>
    <w:rsid w:val="0013531A"/>
    <w:rsid w:val="001359E3"/>
    <w:rsid w:val="00135A51"/>
    <w:rsid w:val="00136018"/>
    <w:rsid w:val="0013659F"/>
    <w:rsid w:val="00136686"/>
    <w:rsid w:val="001366C4"/>
    <w:rsid w:val="00136BB7"/>
    <w:rsid w:val="00136F02"/>
    <w:rsid w:val="00136F99"/>
    <w:rsid w:val="00136FD6"/>
    <w:rsid w:val="001372F5"/>
    <w:rsid w:val="00137555"/>
    <w:rsid w:val="001377E9"/>
    <w:rsid w:val="00137971"/>
    <w:rsid w:val="00137CAC"/>
    <w:rsid w:val="00137CE9"/>
    <w:rsid w:val="001403A0"/>
    <w:rsid w:val="001404EC"/>
    <w:rsid w:val="001407A0"/>
    <w:rsid w:val="00140BCB"/>
    <w:rsid w:val="001416B3"/>
    <w:rsid w:val="00141AD1"/>
    <w:rsid w:val="00141D33"/>
    <w:rsid w:val="00142142"/>
    <w:rsid w:val="00142342"/>
    <w:rsid w:val="001423FA"/>
    <w:rsid w:val="00142732"/>
    <w:rsid w:val="00142772"/>
    <w:rsid w:val="00142874"/>
    <w:rsid w:val="00142A93"/>
    <w:rsid w:val="00142C11"/>
    <w:rsid w:val="00142CF6"/>
    <w:rsid w:val="00142E6A"/>
    <w:rsid w:val="00143110"/>
    <w:rsid w:val="00143231"/>
    <w:rsid w:val="00143283"/>
    <w:rsid w:val="0014370D"/>
    <w:rsid w:val="0014383C"/>
    <w:rsid w:val="00143D1E"/>
    <w:rsid w:val="001443FA"/>
    <w:rsid w:val="00144AEE"/>
    <w:rsid w:val="00144B79"/>
    <w:rsid w:val="00144E15"/>
    <w:rsid w:val="00144F81"/>
    <w:rsid w:val="00145000"/>
    <w:rsid w:val="001450CE"/>
    <w:rsid w:val="00145538"/>
    <w:rsid w:val="00145991"/>
    <w:rsid w:val="00145E71"/>
    <w:rsid w:val="001461BC"/>
    <w:rsid w:val="00146A61"/>
    <w:rsid w:val="00146E76"/>
    <w:rsid w:val="00147289"/>
    <w:rsid w:val="001476BB"/>
    <w:rsid w:val="00147B26"/>
    <w:rsid w:val="00147B6F"/>
    <w:rsid w:val="00147D40"/>
    <w:rsid w:val="00150304"/>
    <w:rsid w:val="001503E0"/>
    <w:rsid w:val="00150967"/>
    <w:rsid w:val="00150A29"/>
    <w:rsid w:val="001510BE"/>
    <w:rsid w:val="0015120D"/>
    <w:rsid w:val="00151307"/>
    <w:rsid w:val="00151E6E"/>
    <w:rsid w:val="0015225A"/>
    <w:rsid w:val="001523F0"/>
    <w:rsid w:val="00152B3F"/>
    <w:rsid w:val="00153143"/>
    <w:rsid w:val="001531CB"/>
    <w:rsid w:val="0015328B"/>
    <w:rsid w:val="00153327"/>
    <w:rsid w:val="00153506"/>
    <w:rsid w:val="00153766"/>
    <w:rsid w:val="001544A7"/>
    <w:rsid w:val="00154558"/>
    <w:rsid w:val="00154AE2"/>
    <w:rsid w:val="00154B48"/>
    <w:rsid w:val="0015574E"/>
    <w:rsid w:val="00155A16"/>
    <w:rsid w:val="00155AAA"/>
    <w:rsid w:val="00155AB3"/>
    <w:rsid w:val="00156161"/>
    <w:rsid w:val="00156423"/>
    <w:rsid w:val="0015669D"/>
    <w:rsid w:val="00156AF9"/>
    <w:rsid w:val="00156B65"/>
    <w:rsid w:val="00156F08"/>
    <w:rsid w:val="00156F68"/>
    <w:rsid w:val="00157915"/>
    <w:rsid w:val="00157A0C"/>
    <w:rsid w:val="00157ACD"/>
    <w:rsid w:val="00157D62"/>
    <w:rsid w:val="00157F40"/>
    <w:rsid w:val="001600FD"/>
    <w:rsid w:val="00160A3B"/>
    <w:rsid w:val="00160D51"/>
    <w:rsid w:val="00160DDB"/>
    <w:rsid w:val="00160FBB"/>
    <w:rsid w:val="001610CD"/>
    <w:rsid w:val="00161173"/>
    <w:rsid w:val="00161244"/>
    <w:rsid w:val="00161528"/>
    <w:rsid w:val="0016206E"/>
    <w:rsid w:val="0016213D"/>
    <w:rsid w:val="00162267"/>
    <w:rsid w:val="00162589"/>
    <w:rsid w:val="00162C4F"/>
    <w:rsid w:val="001633E2"/>
    <w:rsid w:val="001635FC"/>
    <w:rsid w:val="00163E2A"/>
    <w:rsid w:val="00164039"/>
    <w:rsid w:val="0016483F"/>
    <w:rsid w:val="00164C83"/>
    <w:rsid w:val="00164E08"/>
    <w:rsid w:val="00164E6C"/>
    <w:rsid w:val="00164FC8"/>
    <w:rsid w:val="00165096"/>
    <w:rsid w:val="0016526F"/>
    <w:rsid w:val="001656EA"/>
    <w:rsid w:val="00165BDD"/>
    <w:rsid w:val="00165FBF"/>
    <w:rsid w:val="001664FC"/>
    <w:rsid w:val="001664FE"/>
    <w:rsid w:val="0016659C"/>
    <w:rsid w:val="0016671F"/>
    <w:rsid w:val="00166818"/>
    <w:rsid w:val="00166ADA"/>
    <w:rsid w:val="00166D8E"/>
    <w:rsid w:val="00167037"/>
    <w:rsid w:val="001672F6"/>
    <w:rsid w:val="0016733E"/>
    <w:rsid w:val="001674BD"/>
    <w:rsid w:val="001677F1"/>
    <w:rsid w:val="001678B1"/>
    <w:rsid w:val="00167A89"/>
    <w:rsid w:val="00167E12"/>
    <w:rsid w:val="00167ED6"/>
    <w:rsid w:val="00170380"/>
    <w:rsid w:val="00170B6D"/>
    <w:rsid w:val="00171281"/>
    <w:rsid w:val="00171396"/>
    <w:rsid w:val="0017154D"/>
    <w:rsid w:val="001716C1"/>
    <w:rsid w:val="0017187B"/>
    <w:rsid w:val="00172FE9"/>
    <w:rsid w:val="00173853"/>
    <w:rsid w:val="00173859"/>
    <w:rsid w:val="001739A6"/>
    <w:rsid w:val="00174056"/>
    <w:rsid w:val="00174375"/>
    <w:rsid w:val="001743FE"/>
    <w:rsid w:val="001745F1"/>
    <w:rsid w:val="001745FB"/>
    <w:rsid w:val="00174636"/>
    <w:rsid w:val="0017498E"/>
    <w:rsid w:val="00174C04"/>
    <w:rsid w:val="00175DDE"/>
    <w:rsid w:val="00176E7A"/>
    <w:rsid w:val="001803FF"/>
    <w:rsid w:val="001806DA"/>
    <w:rsid w:val="00180816"/>
    <w:rsid w:val="00180829"/>
    <w:rsid w:val="00180C00"/>
    <w:rsid w:val="001811C7"/>
    <w:rsid w:val="00181434"/>
    <w:rsid w:val="0018143F"/>
    <w:rsid w:val="0018174D"/>
    <w:rsid w:val="001818AC"/>
    <w:rsid w:val="0018215A"/>
    <w:rsid w:val="00182941"/>
    <w:rsid w:val="001829D9"/>
    <w:rsid w:val="00182EE6"/>
    <w:rsid w:val="00183129"/>
    <w:rsid w:val="0018333D"/>
    <w:rsid w:val="00183546"/>
    <w:rsid w:val="00183717"/>
    <w:rsid w:val="00183D8C"/>
    <w:rsid w:val="00183D96"/>
    <w:rsid w:val="001840EE"/>
    <w:rsid w:val="001843FA"/>
    <w:rsid w:val="001846D5"/>
    <w:rsid w:val="001846DE"/>
    <w:rsid w:val="00184B56"/>
    <w:rsid w:val="00185B55"/>
    <w:rsid w:val="00185BF3"/>
    <w:rsid w:val="00186659"/>
    <w:rsid w:val="00186A1E"/>
    <w:rsid w:val="00186C1E"/>
    <w:rsid w:val="001874E6"/>
    <w:rsid w:val="00187502"/>
    <w:rsid w:val="00187B13"/>
    <w:rsid w:val="00187E0F"/>
    <w:rsid w:val="00187FA7"/>
    <w:rsid w:val="00190070"/>
    <w:rsid w:val="001906D7"/>
    <w:rsid w:val="001908E9"/>
    <w:rsid w:val="001910E7"/>
    <w:rsid w:val="001915D6"/>
    <w:rsid w:val="0019225A"/>
    <w:rsid w:val="0019253D"/>
    <w:rsid w:val="00192684"/>
    <w:rsid w:val="00192E5B"/>
    <w:rsid w:val="001930E4"/>
    <w:rsid w:val="00193166"/>
    <w:rsid w:val="00193A1B"/>
    <w:rsid w:val="00193B85"/>
    <w:rsid w:val="00193B8F"/>
    <w:rsid w:val="0019422A"/>
    <w:rsid w:val="001942AB"/>
    <w:rsid w:val="001942C3"/>
    <w:rsid w:val="001942D1"/>
    <w:rsid w:val="00194326"/>
    <w:rsid w:val="001943BB"/>
    <w:rsid w:val="001944AA"/>
    <w:rsid w:val="0019485A"/>
    <w:rsid w:val="00194C76"/>
    <w:rsid w:val="001954C9"/>
    <w:rsid w:val="001954D2"/>
    <w:rsid w:val="00195572"/>
    <w:rsid w:val="00195FFD"/>
    <w:rsid w:val="001962A9"/>
    <w:rsid w:val="0019664A"/>
    <w:rsid w:val="00196968"/>
    <w:rsid w:val="001969B1"/>
    <w:rsid w:val="00196C5A"/>
    <w:rsid w:val="001975CD"/>
    <w:rsid w:val="00197A05"/>
    <w:rsid w:val="001A00D6"/>
    <w:rsid w:val="001A02A3"/>
    <w:rsid w:val="001A05F6"/>
    <w:rsid w:val="001A072B"/>
    <w:rsid w:val="001A076C"/>
    <w:rsid w:val="001A07C0"/>
    <w:rsid w:val="001A0C9B"/>
    <w:rsid w:val="001A16BE"/>
    <w:rsid w:val="001A1830"/>
    <w:rsid w:val="001A1DD6"/>
    <w:rsid w:val="001A2053"/>
    <w:rsid w:val="001A2489"/>
    <w:rsid w:val="001A249B"/>
    <w:rsid w:val="001A25E8"/>
    <w:rsid w:val="001A26AB"/>
    <w:rsid w:val="001A2789"/>
    <w:rsid w:val="001A2D59"/>
    <w:rsid w:val="001A3091"/>
    <w:rsid w:val="001A325B"/>
    <w:rsid w:val="001A32CA"/>
    <w:rsid w:val="001A33BD"/>
    <w:rsid w:val="001A3975"/>
    <w:rsid w:val="001A40C0"/>
    <w:rsid w:val="001A46EC"/>
    <w:rsid w:val="001A4E39"/>
    <w:rsid w:val="001A50E4"/>
    <w:rsid w:val="001A54C0"/>
    <w:rsid w:val="001A5BC6"/>
    <w:rsid w:val="001A5CDF"/>
    <w:rsid w:val="001A5F5D"/>
    <w:rsid w:val="001A66AA"/>
    <w:rsid w:val="001A71AE"/>
    <w:rsid w:val="001A7AE5"/>
    <w:rsid w:val="001A7DF7"/>
    <w:rsid w:val="001B01BA"/>
    <w:rsid w:val="001B0218"/>
    <w:rsid w:val="001B03B1"/>
    <w:rsid w:val="001B1274"/>
    <w:rsid w:val="001B1A53"/>
    <w:rsid w:val="001B1D54"/>
    <w:rsid w:val="001B23CC"/>
    <w:rsid w:val="001B26F6"/>
    <w:rsid w:val="001B2880"/>
    <w:rsid w:val="001B29C2"/>
    <w:rsid w:val="001B2B92"/>
    <w:rsid w:val="001B2BCE"/>
    <w:rsid w:val="001B3045"/>
    <w:rsid w:val="001B3119"/>
    <w:rsid w:val="001B3597"/>
    <w:rsid w:val="001B35B1"/>
    <w:rsid w:val="001B3A3F"/>
    <w:rsid w:val="001B3C6D"/>
    <w:rsid w:val="001B3E11"/>
    <w:rsid w:val="001B3F16"/>
    <w:rsid w:val="001B3F5C"/>
    <w:rsid w:val="001B42A3"/>
    <w:rsid w:val="001B42ED"/>
    <w:rsid w:val="001B4619"/>
    <w:rsid w:val="001B4692"/>
    <w:rsid w:val="001B4A38"/>
    <w:rsid w:val="001B4E64"/>
    <w:rsid w:val="001B562B"/>
    <w:rsid w:val="001B58D8"/>
    <w:rsid w:val="001B58EE"/>
    <w:rsid w:val="001B5BB1"/>
    <w:rsid w:val="001B5DA7"/>
    <w:rsid w:val="001B664F"/>
    <w:rsid w:val="001B69E0"/>
    <w:rsid w:val="001B7518"/>
    <w:rsid w:val="001B7642"/>
    <w:rsid w:val="001B7928"/>
    <w:rsid w:val="001B7E47"/>
    <w:rsid w:val="001C02B4"/>
    <w:rsid w:val="001C03AC"/>
    <w:rsid w:val="001C0588"/>
    <w:rsid w:val="001C07BE"/>
    <w:rsid w:val="001C0DF2"/>
    <w:rsid w:val="001C0E6A"/>
    <w:rsid w:val="001C175A"/>
    <w:rsid w:val="001C1D82"/>
    <w:rsid w:val="001C200F"/>
    <w:rsid w:val="001C2070"/>
    <w:rsid w:val="001C257B"/>
    <w:rsid w:val="001C26B9"/>
    <w:rsid w:val="001C2D21"/>
    <w:rsid w:val="001C2EBD"/>
    <w:rsid w:val="001C2EE6"/>
    <w:rsid w:val="001C3397"/>
    <w:rsid w:val="001C343B"/>
    <w:rsid w:val="001C35DC"/>
    <w:rsid w:val="001C388A"/>
    <w:rsid w:val="001C3A48"/>
    <w:rsid w:val="001C4899"/>
    <w:rsid w:val="001C4FED"/>
    <w:rsid w:val="001C5078"/>
    <w:rsid w:val="001C52AA"/>
    <w:rsid w:val="001C5472"/>
    <w:rsid w:val="001C55BF"/>
    <w:rsid w:val="001C57B4"/>
    <w:rsid w:val="001C59A9"/>
    <w:rsid w:val="001C59AF"/>
    <w:rsid w:val="001C59DC"/>
    <w:rsid w:val="001C5FDD"/>
    <w:rsid w:val="001C6848"/>
    <w:rsid w:val="001C6906"/>
    <w:rsid w:val="001C69AC"/>
    <w:rsid w:val="001C7031"/>
    <w:rsid w:val="001C70C1"/>
    <w:rsid w:val="001C73EC"/>
    <w:rsid w:val="001C773B"/>
    <w:rsid w:val="001C7B3E"/>
    <w:rsid w:val="001C7DE4"/>
    <w:rsid w:val="001D014D"/>
    <w:rsid w:val="001D0166"/>
    <w:rsid w:val="001D0585"/>
    <w:rsid w:val="001D0A0E"/>
    <w:rsid w:val="001D1085"/>
    <w:rsid w:val="001D16F8"/>
    <w:rsid w:val="001D18E4"/>
    <w:rsid w:val="001D1B11"/>
    <w:rsid w:val="001D1FAE"/>
    <w:rsid w:val="001D204F"/>
    <w:rsid w:val="001D2BCF"/>
    <w:rsid w:val="001D2DB6"/>
    <w:rsid w:val="001D2FFC"/>
    <w:rsid w:val="001D3003"/>
    <w:rsid w:val="001D3E2C"/>
    <w:rsid w:val="001D4636"/>
    <w:rsid w:val="001D4E19"/>
    <w:rsid w:val="001D4F21"/>
    <w:rsid w:val="001D5007"/>
    <w:rsid w:val="001D5178"/>
    <w:rsid w:val="001D5916"/>
    <w:rsid w:val="001D5A57"/>
    <w:rsid w:val="001D5FC5"/>
    <w:rsid w:val="001D61F1"/>
    <w:rsid w:val="001D6356"/>
    <w:rsid w:val="001D6C22"/>
    <w:rsid w:val="001D7390"/>
    <w:rsid w:val="001D758F"/>
    <w:rsid w:val="001D7631"/>
    <w:rsid w:val="001E01B2"/>
    <w:rsid w:val="001E0BE8"/>
    <w:rsid w:val="001E186F"/>
    <w:rsid w:val="001E1DEA"/>
    <w:rsid w:val="001E209A"/>
    <w:rsid w:val="001E2203"/>
    <w:rsid w:val="001E2636"/>
    <w:rsid w:val="001E2A32"/>
    <w:rsid w:val="001E2BA0"/>
    <w:rsid w:val="001E2CA3"/>
    <w:rsid w:val="001E2EAA"/>
    <w:rsid w:val="001E2F70"/>
    <w:rsid w:val="001E33D0"/>
    <w:rsid w:val="001E3C57"/>
    <w:rsid w:val="001E3CC6"/>
    <w:rsid w:val="001E41D9"/>
    <w:rsid w:val="001E4437"/>
    <w:rsid w:val="001E4453"/>
    <w:rsid w:val="001E4C48"/>
    <w:rsid w:val="001E4D58"/>
    <w:rsid w:val="001E5268"/>
    <w:rsid w:val="001E56BD"/>
    <w:rsid w:val="001E5A9F"/>
    <w:rsid w:val="001E5CFF"/>
    <w:rsid w:val="001E6752"/>
    <w:rsid w:val="001E6F86"/>
    <w:rsid w:val="001E71FD"/>
    <w:rsid w:val="001E75C4"/>
    <w:rsid w:val="001E7E7D"/>
    <w:rsid w:val="001E7EA0"/>
    <w:rsid w:val="001F046C"/>
    <w:rsid w:val="001F0527"/>
    <w:rsid w:val="001F0EEB"/>
    <w:rsid w:val="001F0F00"/>
    <w:rsid w:val="001F177F"/>
    <w:rsid w:val="001F1A7D"/>
    <w:rsid w:val="001F1E07"/>
    <w:rsid w:val="001F217B"/>
    <w:rsid w:val="001F2679"/>
    <w:rsid w:val="001F2C37"/>
    <w:rsid w:val="001F2F55"/>
    <w:rsid w:val="001F3302"/>
    <w:rsid w:val="001F3381"/>
    <w:rsid w:val="001F3ACA"/>
    <w:rsid w:val="001F46E7"/>
    <w:rsid w:val="001F4710"/>
    <w:rsid w:val="001F475B"/>
    <w:rsid w:val="001F49FF"/>
    <w:rsid w:val="001F4D1A"/>
    <w:rsid w:val="001F5094"/>
    <w:rsid w:val="001F5147"/>
    <w:rsid w:val="001F5361"/>
    <w:rsid w:val="001F53D1"/>
    <w:rsid w:val="001F5562"/>
    <w:rsid w:val="001F5B00"/>
    <w:rsid w:val="001F6912"/>
    <w:rsid w:val="001F6F99"/>
    <w:rsid w:val="001F75F7"/>
    <w:rsid w:val="001F7610"/>
    <w:rsid w:val="001F76BE"/>
    <w:rsid w:val="001F7A44"/>
    <w:rsid w:val="00200287"/>
    <w:rsid w:val="002005CC"/>
    <w:rsid w:val="00200614"/>
    <w:rsid w:val="00200ED7"/>
    <w:rsid w:val="00200F06"/>
    <w:rsid w:val="002010CD"/>
    <w:rsid w:val="00201109"/>
    <w:rsid w:val="0020135E"/>
    <w:rsid w:val="00201B1D"/>
    <w:rsid w:val="00201C2F"/>
    <w:rsid w:val="00201FA1"/>
    <w:rsid w:val="00202013"/>
    <w:rsid w:val="0020219E"/>
    <w:rsid w:val="002022CD"/>
    <w:rsid w:val="002027B7"/>
    <w:rsid w:val="002028FE"/>
    <w:rsid w:val="0020294A"/>
    <w:rsid w:val="0020296E"/>
    <w:rsid w:val="00202A01"/>
    <w:rsid w:val="00202DDD"/>
    <w:rsid w:val="00203509"/>
    <w:rsid w:val="00203DD8"/>
    <w:rsid w:val="002046B4"/>
    <w:rsid w:val="002049A5"/>
    <w:rsid w:val="002053CC"/>
    <w:rsid w:val="00205A02"/>
    <w:rsid w:val="00205EAA"/>
    <w:rsid w:val="00206165"/>
    <w:rsid w:val="0020646D"/>
    <w:rsid w:val="00206CAD"/>
    <w:rsid w:val="00206DAE"/>
    <w:rsid w:val="00206DBC"/>
    <w:rsid w:val="002072D4"/>
    <w:rsid w:val="0020740A"/>
    <w:rsid w:val="00207B15"/>
    <w:rsid w:val="00207B34"/>
    <w:rsid w:val="002103EE"/>
    <w:rsid w:val="00210723"/>
    <w:rsid w:val="0021096E"/>
    <w:rsid w:val="002109E0"/>
    <w:rsid w:val="00210B2E"/>
    <w:rsid w:val="00211349"/>
    <w:rsid w:val="0021147C"/>
    <w:rsid w:val="0021173E"/>
    <w:rsid w:val="002119BE"/>
    <w:rsid w:val="002121B1"/>
    <w:rsid w:val="002123E7"/>
    <w:rsid w:val="0021320A"/>
    <w:rsid w:val="0021325B"/>
    <w:rsid w:val="00213319"/>
    <w:rsid w:val="00213554"/>
    <w:rsid w:val="002138D8"/>
    <w:rsid w:val="0021392E"/>
    <w:rsid w:val="002140EC"/>
    <w:rsid w:val="0021423C"/>
    <w:rsid w:val="00214264"/>
    <w:rsid w:val="00214841"/>
    <w:rsid w:val="00214DDD"/>
    <w:rsid w:val="002159D4"/>
    <w:rsid w:val="00215C1D"/>
    <w:rsid w:val="00216026"/>
    <w:rsid w:val="002166D6"/>
    <w:rsid w:val="00216CB7"/>
    <w:rsid w:val="0021709B"/>
    <w:rsid w:val="0021723F"/>
    <w:rsid w:val="002176A9"/>
    <w:rsid w:val="002176CB"/>
    <w:rsid w:val="0021784E"/>
    <w:rsid w:val="00217DF6"/>
    <w:rsid w:val="002203ED"/>
    <w:rsid w:val="00220AF0"/>
    <w:rsid w:val="00220DC9"/>
    <w:rsid w:val="0022117E"/>
    <w:rsid w:val="002211DC"/>
    <w:rsid w:val="002212AB"/>
    <w:rsid w:val="002212DC"/>
    <w:rsid w:val="00221A40"/>
    <w:rsid w:val="0022254F"/>
    <w:rsid w:val="002225E3"/>
    <w:rsid w:val="00222FD3"/>
    <w:rsid w:val="00223475"/>
    <w:rsid w:val="002234AA"/>
    <w:rsid w:val="00223931"/>
    <w:rsid w:val="00223F0D"/>
    <w:rsid w:val="002247C1"/>
    <w:rsid w:val="00224EC7"/>
    <w:rsid w:val="00225434"/>
    <w:rsid w:val="00225507"/>
    <w:rsid w:val="002255B8"/>
    <w:rsid w:val="00225BDE"/>
    <w:rsid w:val="0022651A"/>
    <w:rsid w:val="0022673F"/>
    <w:rsid w:val="00227611"/>
    <w:rsid w:val="00227798"/>
    <w:rsid w:val="00227801"/>
    <w:rsid w:val="00227BE7"/>
    <w:rsid w:val="00227DF1"/>
    <w:rsid w:val="00227E5C"/>
    <w:rsid w:val="00230457"/>
    <w:rsid w:val="00230965"/>
    <w:rsid w:val="0023098F"/>
    <w:rsid w:val="00230DD3"/>
    <w:rsid w:val="00230E94"/>
    <w:rsid w:val="00230FBA"/>
    <w:rsid w:val="002311C6"/>
    <w:rsid w:val="002317A9"/>
    <w:rsid w:val="00231C39"/>
    <w:rsid w:val="002320B8"/>
    <w:rsid w:val="002322B7"/>
    <w:rsid w:val="0023271E"/>
    <w:rsid w:val="002329AF"/>
    <w:rsid w:val="00232B09"/>
    <w:rsid w:val="00232F76"/>
    <w:rsid w:val="0023358D"/>
    <w:rsid w:val="00233D56"/>
    <w:rsid w:val="00233D90"/>
    <w:rsid w:val="00234372"/>
    <w:rsid w:val="00234C5B"/>
    <w:rsid w:val="002354CF"/>
    <w:rsid w:val="00235AEE"/>
    <w:rsid w:val="00236949"/>
    <w:rsid w:val="00236D36"/>
    <w:rsid w:val="00236F3A"/>
    <w:rsid w:val="0023752B"/>
    <w:rsid w:val="00237A55"/>
    <w:rsid w:val="00237F08"/>
    <w:rsid w:val="00240123"/>
    <w:rsid w:val="00240E52"/>
    <w:rsid w:val="00240F71"/>
    <w:rsid w:val="0024142D"/>
    <w:rsid w:val="00241540"/>
    <w:rsid w:val="00241796"/>
    <w:rsid w:val="00242078"/>
    <w:rsid w:val="0024221F"/>
    <w:rsid w:val="002424B9"/>
    <w:rsid w:val="0024258D"/>
    <w:rsid w:val="002427E5"/>
    <w:rsid w:val="00242B24"/>
    <w:rsid w:val="00242BBF"/>
    <w:rsid w:val="0024357C"/>
    <w:rsid w:val="00243A7C"/>
    <w:rsid w:val="00243DC6"/>
    <w:rsid w:val="0024422D"/>
    <w:rsid w:val="002442A9"/>
    <w:rsid w:val="002446AA"/>
    <w:rsid w:val="002459B0"/>
    <w:rsid w:val="002459CF"/>
    <w:rsid w:val="00245BC3"/>
    <w:rsid w:val="00245F55"/>
    <w:rsid w:val="0024616C"/>
    <w:rsid w:val="0024674D"/>
    <w:rsid w:val="00246BBD"/>
    <w:rsid w:val="0024703F"/>
    <w:rsid w:val="002473D1"/>
    <w:rsid w:val="00247DE2"/>
    <w:rsid w:val="00247E03"/>
    <w:rsid w:val="0025057E"/>
    <w:rsid w:val="002506E3"/>
    <w:rsid w:val="002506E5"/>
    <w:rsid w:val="00250A26"/>
    <w:rsid w:val="00250ABC"/>
    <w:rsid w:val="00250ECC"/>
    <w:rsid w:val="0025100E"/>
    <w:rsid w:val="0025123B"/>
    <w:rsid w:val="002519B1"/>
    <w:rsid w:val="00251F91"/>
    <w:rsid w:val="002528DB"/>
    <w:rsid w:val="00252BA3"/>
    <w:rsid w:val="00253A2C"/>
    <w:rsid w:val="00254027"/>
    <w:rsid w:val="002548FE"/>
    <w:rsid w:val="00254B22"/>
    <w:rsid w:val="00254C37"/>
    <w:rsid w:val="00254D8F"/>
    <w:rsid w:val="00254F84"/>
    <w:rsid w:val="00255A74"/>
    <w:rsid w:val="00255B62"/>
    <w:rsid w:val="00255C8B"/>
    <w:rsid w:val="002563B4"/>
    <w:rsid w:val="0025641E"/>
    <w:rsid w:val="00256612"/>
    <w:rsid w:val="0025665F"/>
    <w:rsid w:val="00256C67"/>
    <w:rsid w:val="002572F5"/>
    <w:rsid w:val="00257319"/>
    <w:rsid w:val="00257384"/>
    <w:rsid w:val="00257A6B"/>
    <w:rsid w:val="00257D13"/>
    <w:rsid w:val="00260125"/>
    <w:rsid w:val="00260412"/>
    <w:rsid w:val="002605A7"/>
    <w:rsid w:val="00261182"/>
    <w:rsid w:val="00261648"/>
    <w:rsid w:val="002616D2"/>
    <w:rsid w:val="00261B29"/>
    <w:rsid w:val="00261B88"/>
    <w:rsid w:val="00261E7F"/>
    <w:rsid w:val="002628A1"/>
    <w:rsid w:val="00262F9B"/>
    <w:rsid w:val="002632F9"/>
    <w:rsid w:val="002633CA"/>
    <w:rsid w:val="00263853"/>
    <w:rsid w:val="002639D2"/>
    <w:rsid w:val="002641C2"/>
    <w:rsid w:val="00264204"/>
    <w:rsid w:val="0026424D"/>
    <w:rsid w:val="002642AA"/>
    <w:rsid w:val="0026458C"/>
    <w:rsid w:val="00264C40"/>
    <w:rsid w:val="00265951"/>
    <w:rsid w:val="00265A8A"/>
    <w:rsid w:val="00265B3E"/>
    <w:rsid w:val="00265D16"/>
    <w:rsid w:val="002668D9"/>
    <w:rsid w:val="002678F5"/>
    <w:rsid w:val="00267B6A"/>
    <w:rsid w:val="00270628"/>
    <w:rsid w:val="00270C8B"/>
    <w:rsid w:val="00270F2B"/>
    <w:rsid w:val="0027107D"/>
    <w:rsid w:val="00271303"/>
    <w:rsid w:val="002716BA"/>
    <w:rsid w:val="0027239D"/>
    <w:rsid w:val="00272580"/>
    <w:rsid w:val="00272C96"/>
    <w:rsid w:val="00272FBA"/>
    <w:rsid w:val="00273B4D"/>
    <w:rsid w:val="00273F6B"/>
    <w:rsid w:val="002741E8"/>
    <w:rsid w:val="00274831"/>
    <w:rsid w:val="00274DA7"/>
    <w:rsid w:val="0027517F"/>
    <w:rsid w:val="00275479"/>
    <w:rsid w:val="00276A0E"/>
    <w:rsid w:val="00276A9D"/>
    <w:rsid w:val="002774CA"/>
    <w:rsid w:val="0027792F"/>
    <w:rsid w:val="00277D04"/>
    <w:rsid w:val="00277D0F"/>
    <w:rsid w:val="00277EDA"/>
    <w:rsid w:val="00277FAB"/>
    <w:rsid w:val="00277FBC"/>
    <w:rsid w:val="002801A0"/>
    <w:rsid w:val="0028032D"/>
    <w:rsid w:val="00280C52"/>
    <w:rsid w:val="00280CBF"/>
    <w:rsid w:val="00280D95"/>
    <w:rsid w:val="00280E17"/>
    <w:rsid w:val="00280E6A"/>
    <w:rsid w:val="0028179C"/>
    <w:rsid w:val="00281932"/>
    <w:rsid w:val="00281D6E"/>
    <w:rsid w:val="002820B7"/>
    <w:rsid w:val="002825A7"/>
    <w:rsid w:val="00282732"/>
    <w:rsid w:val="0028298C"/>
    <w:rsid w:val="00282C92"/>
    <w:rsid w:val="00282CBF"/>
    <w:rsid w:val="00283A86"/>
    <w:rsid w:val="00283ED7"/>
    <w:rsid w:val="002848CF"/>
    <w:rsid w:val="00284B53"/>
    <w:rsid w:val="00285413"/>
    <w:rsid w:val="00285CC0"/>
    <w:rsid w:val="00285E76"/>
    <w:rsid w:val="00285FB8"/>
    <w:rsid w:val="0028607A"/>
    <w:rsid w:val="002863CF"/>
    <w:rsid w:val="002863D0"/>
    <w:rsid w:val="0028696F"/>
    <w:rsid w:val="00286D5F"/>
    <w:rsid w:val="00286FE4"/>
    <w:rsid w:val="002871BA"/>
    <w:rsid w:val="0029044A"/>
    <w:rsid w:val="0029074C"/>
    <w:rsid w:val="00290A80"/>
    <w:rsid w:val="00290CDA"/>
    <w:rsid w:val="00291401"/>
    <w:rsid w:val="00291461"/>
    <w:rsid w:val="002914A0"/>
    <w:rsid w:val="0029156F"/>
    <w:rsid w:val="00291A07"/>
    <w:rsid w:val="00291A83"/>
    <w:rsid w:val="00291BBC"/>
    <w:rsid w:val="00291C27"/>
    <w:rsid w:val="00291F28"/>
    <w:rsid w:val="00292183"/>
    <w:rsid w:val="002922C1"/>
    <w:rsid w:val="0029238B"/>
    <w:rsid w:val="0029238C"/>
    <w:rsid w:val="00292994"/>
    <w:rsid w:val="00293B34"/>
    <w:rsid w:val="00293B42"/>
    <w:rsid w:val="00293B5D"/>
    <w:rsid w:val="00293ED6"/>
    <w:rsid w:val="00293F11"/>
    <w:rsid w:val="00294068"/>
    <w:rsid w:val="002941F2"/>
    <w:rsid w:val="00294FEE"/>
    <w:rsid w:val="00295131"/>
    <w:rsid w:val="00295400"/>
    <w:rsid w:val="002956DB"/>
    <w:rsid w:val="002956F3"/>
    <w:rsid w:val="00295844"/>
    <w:rsid w:val="0029587A"/>
    <w:rsid w:val="002958BB"/>
    <w:rsid w:val="00295F11"/>
    <w:rsid w:val="002961FD"/>
    <w:rsid w:val="002964BC"/>
    <w:rsid w:val="00296554"/>
    <w:rsid w:val="002965F1"/>
    <w:rsid w:val="0029660F"/>
    <w:rsid w:val="002968B5"/>
    <w:rsid w:val="00296F0E"/>
    <w:rsid w:val="00297197"/>
    <w:rsid w:val="00297368"/>
    <w:rsid w:val="002974CE"/>
    <w:rsid w:val="0029787D"/>
    <w:rsid w:val="00297935"/>
    <w:rsid w:val="002A00C5"/>
    <w:rsid w:val="002A0556"/>
    <w:rsid w:val="002A0582"/>
    <w:rsid w:val="002A07E6"/>
    <w:rsid w:val="002A09A4"/>
    <w:rsid w:val="002A1BC6"/>
    <w:rsid w:val="002A1DC0"/>
    <w:rsid w:val="002A29F0"/>
    <w:rsid w:val="002A2B04"/>
    <w:rsid w:val="002A3494"/>
    <w:rsid w:val="002A34D2"/>
    <w:rsid w:val="002A367D"/>
    <w:rsid w:val="002A3797"/>
    <w:rsid w:val="002A3E99"/>
    <w:rsid w:val="002A4079"/>
    <w:rsid w:val="002A42A6"/>
    <w:rsid w:val="002A4404"/>
    <w:rsid w:val="002A4C4E"/>
    <w:rsid w:val="002A4D22"/>
    <w:rsid w:val="002A5877"/>
    <w:rsid w:val="002A58FA"/>
    <w:rsid w:val="002A5A88"/>
    <w:rsid w:val="002A615F"/>
    <w:rsid w:val="002A62B2"/>
    <w:rsid w:val="002A675D"/>
    <w:rsid w:val="002A6D08"/>
    <w:rsid w:val="002A7877"/>
    <w:rsid w:val="002A7CDF"/>
    <w:rsid w:val="002B018C"/>
    <w:rsid w:val="002B0380"/>
    <w:rsid w:val="002B087D"/>
    <w:rsid w:val="002B092C"/>
    <w:rsid w:val="002B09DF"/>
    <w:rsid w:val="002B0E6D"/>
    <w:rsid w:val="002B155C"/>
    <w:rsid w:val="002B1568"/>
    <w:rsid w:val="002B1792"/>
    <w:rsid w:val="002B19F0"/>
    <w:rsid w:val="002B1A14"/>
    <w:rsid w:val="002B1EBD"/>
    <w:rsid w:val="002B2235"/>
    <w:rsid w:val="002B23AD"/>
    <w:rsid w:val="002B248A"/>
    <w:rsid w:val="002B2579"/>
    <w:rsid w:val="002B2800"/>
    <w:rsid w:val="002B2FD5"/>
    <w:rsid w:val="002B3045"/>
    <w:rsid w:val="002B3605"/>
    <w:rsid w:val="002B366B"/>
    <w:rsid w:val="002B3C44"/>
    <w:rsid w:val="002B3D33"/>
    <w:rsid w:val="002B452F"/>
    <w:rsid w:val="002B484E"/>
    <w:rsid w:val="002B4B50"/>
    <w:rsid w:val="002B4DC7"/>
    <w:rsid w:val="002B4F6F"/>
    <w:rsid w:val="002B53AD"/>
    <w:rsid w:val="002B56B8"/>
    <w:rsid w:val="002B5AC5"/>
    <w:rsid w:val="002B5D70"/>
    <w:rsid w:val="002B6741"/>
    <w:rsid w:val="002B6DA3"/>
    <w:rsid w:val="002B7952"/>
    <w:rsid w:val="002C01FA"/>
    <w:rsid w:val="002C03C0"/>
    <w:rsid w:val="002C0CA7"/>
    <w:rsid w:val="002C0CB2"/>
    <w:rsid w:val="002C0D7E"/>
    <w:rsid w:val="002C1072"/>
    <w:rsid w:val="002C1561"/>
    <w:rsid w:val="002C16CD"/>
    <w:rsid w:val="002C1868"/>
    <w:rsid w:val="002C1880"/>
    <w:rsid w:val="002C1A45"/>
    <w:rsid w:val="002C1AA0"/>
    <w:rsid w:val="002C1CBA"/>
    <w:rsid w:val="002C1DDE"/>
    <w:rsid w:val="002C1F13"/>
    <w:rsid w:val="002C25C2"/>
    <w:rsid w:val="002C2655"/>
    <w:rsid w:val="002C283C"/>
    <w:rsid w:val="002C29B3"/>
    <w:rsid w:val="002C2B56"/>
    <w:rsid w:val="002C2D3B"/>
    <w:rsid w:val="002C35CF"/>
    <w:rsid w:val="002C39A6"/>
    <w:rsid w:val="002C39AC"/>
    <w:rsid w:val="002C39D5"/>
    <w:rsid w:val="002C3E98"/>
    <w:rsid w:val="002C40E2"/>
    <w:rsid w:val="002C4178"/>
    <w:rsid w:val="002C42AC"/>
    <w:rsid w:val="002C451E"/>
    <w:rsid w:val="002C5160"/>
    <w:rsid w:val="002C65C2"/>
    <w:rsid w:val="002C66EC"/>
    <w:rsid w:val="002C68A6"/>
    <w:rsid w:val="002C69D4"/>
    <w:rsid w:val="002C6BBA"/>
    <w:rsid w:val="002C6CA9"/>
    <w:rsid w:val="002C72C0"/>
    <w:rsid w:val="002D005D"/>
    <w:rsid w:val="002D02A6"/>
    <w:rsid w:val="002D0F9E"/>
    <w:rsid w:val="002D10D2"/>
    <w:rsid w:val="002D1504"/>
    <w:rsid w:val="002D1897"/>
    <w:rsid w:val="002D1941"/>
    <w:rsid w:val="002D1F9C"/>
    <w:rsid w:val="002D2024"/>
    <w:rsid w:val="002D23BA"/>
    <w:rsid w:val="002D23FD"/>
    <w:rsid w:val="002D28A0"/>
    <w:rsid w:val="002D2BCB"/>
    <w:rsid w:val="002D2BF0"/>
    <w:rsid w:val="002D2DE3"/>
    <w:rsid w:val="002D3125"/>
    <w:rsid w:val="002D321E"/>
    <w:rsid w:val="002D3230"/>
    <w:rsid w:val="002D3416"/>
    <w:rsid w:val="002D3617"/>
    <w:rsid w:val="002D36BD"/>
    <w:rsid w:val="002D3818"/>
    <w:rsid w:val="002D3CBB"/>
    <w:rsid w:val="002D3CCA"/>
    <w:rsid w:val="002D3CE1"/>
    <w:rsid w:val="002D41C6"/>
    <w:rsid w:val="002D43A1"/>
    <w:rsid w:val="002D4CB1"/>
    <w:rsid w:val="002D520A"/>
    <w:rsid w:val="002D59DF"/>
    <w:rsid w:val="002D5E57"/>
    <w:rsid w:val="002D645D"/>
    <w:rsid w:val="002D680E"/>
    <w:rsid w:val="002D69F5"/>
    <w:rsid w:val="002D6BD3"/>
    <w:rsid w:val="002D6D73"/>
    <w:rsid w:val="002D6D85"/>
    <w:rsid w:val="002D7459"/>
    <w:rsid w:val="002D7DE1"/>
    <w:rsid w:val="002E0076"/>
    <w:rsid w:val="002E0211"/>
    <w:rsid w:val="002E0C51"/>
    <w:rsid w:val="002E0E59"/>
    <w:rsid w:val="002E1143"/>
    <w:rsid w:val="002E124F"/>
    <w:rsid w:val="002E140C"/>
    <w:rsid w:val="002E193D"/>
    <w:rsid w:val="002E21C8"/>
    <w:rsid w:val="002E21CF"/>
    <w:rsid w:val="002E296C"/>
    <w:rsid w:val="002E296E"/>
    <w:rsid w:val="002E2DD3"/>
    <w:rsid w:val="002E4452"/>
    <w:rsid w:val="002E4607"/>
    <w:rsid w:val="002E4D16"/>
    <w:rsid w:val="002E4FCF"/>
    <w:rsid w:val="002E4FD0"/>
    <w:rsid w:val="002E5078"/>
    <w:rsid w:val="002E519C"/>
    <w:rsid w:val="002E554E"/>
    <w:rsid w:val="002E576E"/>
    <w:rsid w:val="002E5DCB"/>
    <w:rsid w:val="002E60F3"/>
    <w:rsid w:val="002E6100"/>
    <w:rsid w:val="002E696D"/>
    <w:rsid w:val="002E70DC"/>
    <w:rsid w:val="002E7176"/>
    <w:rsid w:val="002E7857"/>
    <w:rsid w:val="002F0164"/>
    <w:rsid w:val="002F0A53"/>
    <w:rsid w:val="002F0A71"/>
    <w:rsid w:val="002F0B79"/>
    <w:rsid w:val="002F103A"/>
    <w:rsid w:val="002F131D"/>
    <w:rsid w:val="002F13FF"/>
    <w:rsid w:val="002F14CD"/>
    <w:rsid w:val="002F1AD8"/>
    <w:rsid w:val="002F213D"/>
    <w:rsid w:val="002F2438"/>
    <w:rsid w:val="002F26A6"/>
    <w:rsid w:val="002F2890"/>
    <w:rsid w:val="002F2B03"/>
    <w:rsid w:val="002F2C05"/>
    <w:rsid w:val="002F2C8B"/>
    <w:rsid w:val="002F304C"/>
    <w:rsid w:val="002F3176"/>
    <w:rsid w:val="002F33CD"/>
    <w:rsid w:val="002F33E6"/>
    <w:rsid w:val="002F3437"/>
    <w:rsid w:val="002F3556"/>
    <w:rsid w:val="002F3840"/>
    <w:rsid w:val="002F3D5A"/>
    <w:rsid w:val="002F3F93"/>
    <w:rsid w:val="002F4155"/>
    <w:rsid w:val="002F4451"/>
    <w:rsid w:val="002F48A9"/>
    <w:rsid w:val="002F4F58"/>
    <w:rsid w:val="002F536D"/>
    <w:rsid w:val="002F53D6"/>
    <w:rsid w:val="002F575E"/>
    <w:rsid w:val="002F608E"/>
    <w:rsid w:val="002F62C7"/>
    <w:rsid w:val="002F639A"/>
    <w:rsid w:val="002F6546"/>
    <w:rsid w:val="002F6E01"/>
    <w:rsid w:val="002F6F46"/>
    <w:rsid w:val="002F700F"/>
    <w:rsid w:val="002F71BE"/>
    <w:rsid w:val="002F71C3"/>
    <w:rsid w:val="002F7310"/>
    <w:rsid w:val="002F74DD"/>
    <w:rsid w:val="002F7818"/>
    <w:rsid w:val="002F787F"/>
    <w:rsid w:val="00300E58"/>
    <w:rsid w:val="00300F99"/>
    <w:rsid w:val="003015BD"/>
    <w:rsid w:val="003017C2"/>
    <w:rsid w:val="003017D8"/>
    <w:rsid w:val="0030181C"/>
    <w:rsid w:val="00301C88"/>
    <w:rsid w:val="0030212E"/>
    <w:rsid w:val="00302225"/>
    <w:rsid w:val="003023D7"/>
    <w:rsid w:val="003028FA"/>
    <w:rsid w:val="0030361D"/>
    <w:rsid w:val="00303976"/>
    <w:rsid w:val="00303A9F"/>
    <w:rsid w:val="00303D75"/>
    <w:rsid w:val="003041A5"/>
    <w:rsid w:val="003042D0"/>
    <w:rsid w:val="00304566"/>
    <w:rsid w:val="00304AE3"/>
    <w:rsid w:val="00304D5F"/>
    <w:rsid w:val="0030540F"/>
    <w:rsid w:val="003054A5"/>
    <w:rsid w:val="00305C05"/>
    <w:rsid w:val="00305ED1"/>
    <w:rsid w:val="00306110"/>
    <w:rsid w:val="00306B96"/>
    <w:rsid w:val="00306F9D"/>
    <w:rsid w:val="0030752B"/>
    <w:rsid w:val="00307556"/>
    <w:rsid w:val="003104FE"/>
    <w:rsid w:val="003105D8"/>
    <w:rsid w:val="00310D0D"/>
    <w:rsid w:val="00310D6D"/>
    <w:rsid w:val="003115AE"/>
    <w:rsid w:val="0031191D"/>
    <w:rsid w:val="00311C65"/>
    <w:rsid w:val="00311D2B"/>
    <w:rsid w:val="00311E86"/>
    <w:rsid w:val="00311F10"/>
    <w:rsid w:val="0031237C"/>
    <w:rsid w:val="003123CF"/>
    <w:rsid w:val="00312BAE"/>
    <w:rsid w:val="003131CE"/>
    <w:rsid w:val="00313B5A"/>
    <w:rsid w:val="00313CC3"/>
    <w:rsid w:val="0031432B"/>
    <w:rsid w:val="003143C8"/>
    <w:rsid w:val="0031456C"/>
    <w:rsid w:val="00314616"/>
    <w:rsid w:val="00314B85"/>
    <w:rsid w:val="00314DCE"/>
    <w:rsid w:val="00314FE3"/>
    <w:rsid w:val="003150BB"/>
    <w:rsid w:val="00315654"/>
    <w:rsid w:val="00315DF0"/>
    <w:rsid w:val="003161B6"/>
    <w:rsid w:val="003167FE"/>
    <w:rsid w:val="00316D83"/>
    <w:rsid w:val="00316FD7"/>
    <w:rsid w:val="0031727F"/>
    <w:rsid w:val="003178D6"/>
    <w:rsid w:val="00317E37"/>
    <w:rsid w:val="00320251"/>
    <w:rsid w:val="003206DA"/>
    <w:rsid w:val="003207BA"/>
    <w:rsid w:val="00320E33"/>
    <w:rsid w:val="0032194A"/>
    <w:rsid w:val="00321DED"/>
    <w:rsid w:val="00321E47"/>
    <w:rsid w:val="00321F16"/>
    <w:rsid w:val="00322174"/>
    <w:rsid w:val="0032225F"/>
    <w:rsid w:val="00322EE3"/>
    <w:rsid w:val="00322FE7"/>
    <w:rsid w:val="0032340E"/>
    <w:rsid w:val="003236B4"/>
    <w:rsid w:val="00323834"/>
    <w:rsid w:val="003238B9"/>
    <w:rsid w:val="00323C92"/>
    <w:rsid w:val="00323E50"/>
    <w:rsid w:val="003241AC"/>
    <w:rsid w:val="003245CA"/>
    <w:rsid w:val="00324BB9"/>
    <w:rsid w:val="00324E77"/>
    <w:rsid w:val="00325408"/>
    <w:rsid w:val="00325469"/>
    <w:rsid w:val="003259B5"/>
    <w:rsid w:val="00325B54"/>
    <w:rsid w:val="003264E4"/>
    <w:rsid w:val="00326686"/>
    <w:rsid w:val="00326954"/>
    <w:rsid w:val="00326B31"/>
    <w:rsid w:val="00326D97"/>
    <w:rsid w:val="00326DE2"/>
    <w:rsid w:val="00326ED2"/>
    <w:rsid w:val="00327197"/>
    <w:rsid w:val="0032741B"/>
    <w:rsid w:val="00327538"/>
    <w:rsid w:val="00327805"/>
    <w:rsid w:val="00327BC8"/>
    <w:rsid w:val="00330319"/>
    <w:rsid w:val="0033037E"/>
    <w:rsid w:val="00330F9F"/>
    <w:rsid w:val="0033192A"/>
    <w:rsid w:val="00331AFB"/>
    <w:rsid w:val="003320CF"/>
    <w:rsid w:val="003321C9"/>
    <w:rsid w:val="003323A8"/>
    <w:rsid w:val="003326E6"/>
    <w:rsid w:val="003326F8"/>
    <w:rsid w:val="003327ED"/>
    <w:rsid w:val="003335AB"/>
    <w:rsid w:val="00333985"/>
    <w:rsid w:val="00333B3D"/>
    <w:rsid w:val="00334821"/>
    <w:rsid w:val="003349D5"/>
    <w:rsid w:val="00334A08"/>
    <w:rsid w:val="003352AB"/>
    <w:rsid w:val="0033545A"/>
    <w:rsid w:val="003356BF"/>
    <w:rsid w:val="00335FAD"/>
    <w:rsid w:val="00336BBA"/>
    <w:rsid w:val="00336D13"/>
    <w:rsid w:val="00336E69"/>
    <w:rsid w:val="00336E71"/>
    <w:rsid w:val="003371E9"/>
    <w:rsid w:val="00337315"/>
    <w:rsid w:val="00337841"/>
    <w:rsid w:val="00337BEF"/>
    <w:rsid w:val="00337CED"/>
    <w:rsid w:val="00337F9C"/>
    <w:rsid w:val="0034005E"/>
    <w:rsid w:val="00340A8C"/>
    <w:rsid w:val="0034111B"/>
    <w:rsid w:val="00341203"/>
    <w:rsid w:val="0034148D"/>
    <w:rsid w:val="00341A2F"/>
    <w:rsid w:val="00341E6D"/>
    <w:rsid w:val="00342263"/>
    <w:rsid w:val="00342376"/>
    <w:rsid w:val="0034244B"/>
    <w:rsid w:val="003428A3"/>
    <w:rsid w:val="00342A62"/>
    <w:rsid w:val="00343414"/>
    <w:rsid w:val="003442F8"/>
    <w:rsid w:val="00344335"/>
    <w:rsid w:val="00344349"/>
    <w:rsid w:val="003448DC"/>
    <w:rsid w:val="00344BA4"/>
    <w:rsid w:val="00345068"/>
    <w:rsid w:val="003455F8"/>
    <w:rsid w:val="00346891"/>
    <w:rsid w:val="00346B03"/>
    <w:rsid w:val="00346B3D"/>
    <w:rsid w:val="00346E1D"/>
    <w:rsid w:val="00346E81"/>
    <w:rsid w:val="00346ECE"/>
    <w:rsid w:val="0034714E"/>
    <w:rsid w:val="003475D1"/>
    <w:rsid w:val="00347E28"/>
    <w:rsid w:val="0035015C"/>
    <w:rsid w:val="003504B3"/>
    <w:rsid w:val="00350AD8"/>
    <w:rsid w:val="00350B03"/>
    <w:rsid w:val="00351188"/>
    <w:rsid w:val="00351563"/>
    <w:rsid w:val="0035180C"/>
    <w:rsid w:val="00351CCE"/>
    <w:rsid w:val="00352076"/>
    <w:rsid w:val="003520BC"/>
    <w:rsid w:val="003521B6"/>
    <w:rsid w:val="0035229A"/>
    <w:rsid w:val="00352978"/>
    <w:rsid w:val="00352C88"/>
    <w:rsid w:val="003530F9"/>
    <w:rsid w:val="0035317A"/>
    <w:rsid w:val="0035333B"/>
    <w:rsid w:val="003537E0"/>
    <w:rsid w:val="0035399B"/>
    <w:rsid w:val="00353ED1"/>
    <w:rsid w:val="00354925"/>
    <w:rsid w:val="00354BF0"/>
    <w:rsid w:val="0035506B"/>
    <w:rsid w:val="0035563E"/>
    <w:rsid w:val="003559D1"/>
    <w:rsid w:val="00355B03"/>
    <w:rsid w:val="00355EC7"/>
    <w:rsid w:val="003563B5"/>
    <w:rsid w:val="00356741"/>
    <w:rsid w:val="0035711E"/>
    <w:rsid w:val="00357763"/>
    <w:rsid w:val="0036011F"/>
    <w:rsid w:val="00360753"/>
    <w:rsid w:val="003607BE"/>
    <w:rsid w:val="00360EDA"/>
    <w:rsid w:val="00360F9B"/>
    <w:rsid w:val="00361182"/>
    <w:rsid w:val="003612E9"/>
    <w:rsid w:val="00361399"/>
    <w:rsid w:val="00361C6C"/>
    <w:rsid w:val="0036200E"/>
    <w:rsid w:val="003622D7"/>
    <w:rsid w:val="00362BFA"/>
    <w:rsid w:val="00362F20"/>
    <w:rsid w:val="003630F5"/>
    <w:rsid w:val="00363392"/>
    <w:rsid w:val="00363C1C"/>
    <w:rsid w:val="00364AB6"/>
    <w:rsid w:val="00364CB7"/>
    <w:rsid w:val="003655E2"/>
    <w:rsid w:val="0036582C"/>
    <w:rsid w:val="003658FF"/>
    <w:rsid w:val="00365A27"/>
    <w:rsid w:val="00365BD0"/>
    <w:rsid w:val="00365EDB"/>
    <w:rsid w:val="00365F2C"/>
    <w:rsid w:val="0036675E"/>
    <w:rsid w:val="00366A32"/>
    <w:rsid w:val="00366AEE"/>
    <w:rsid w:val="00366BA3"/>
    <w:rsid w:val="00366D77"/>
    <w:rsid w:val="00366E08"/>
    <w:rsid w:val="00370836"/>
    <w:rsid w:val="00370C75"/>
    <w:rsid w:val="0037194B"/>
    <w:rsid w:val="00372127"/>
    <w:rsid w:val="003721F5"/>
    <w:rsid w:val="00372232"/>
    <w:rsid w:val="003723D4"/>
    <w:rsid w:val="0037257D"/>
    <w:rsid w:val="0037291B"/>
    <w:rsid w:val="00372949"/>
    <w:rsid w:val="003729DF"/>
    <w:rsid w:val="00372BC2"/>
    <w:rsid w:val="00372C38"/>
    <w:rsid w:val="00372F75"/>
    <w:rsid w:val="00373717"/>
    <w:rsid w:val="00373E6D"/>
    <w:rsid w:val="00373E8C"/>
    <w:rsid w:val="00373FB4"/>
    <w:rsid w:val="003748C8"/>
    <w:rsid w:val="0037534E"/>
    <w:rsid w:val="00375C11"/>
    <w:rsid w:val="003761C4"/>
    <w:rsid w:val="003762DA"/>
    <w:rsid w:val="003764E1"/>
    <w:rsid w:val="0037670C"/>
    <w:rsid w:val="00376C6B"/>
    <w:rsid w:val="00376C84"/>
    <w:rsid w:val="00376CC7"/>
    <w:rsid w:val="00376F44"/>
    <w:rsid w:val="0037717C"/>
    <w:rsid w:val="00377873"/>
    <w:rsid w:val="00380771"/>
    <w:rsid w:val="00380C1C"/>
    <w:rsid w:val="003810F6"/>
    <w:rsid w:val="003814FE"/>
    <w:rsid w:val="00381FC9"/>
    <w:rsid w:val="0038212B"/>
    <w:rsid w:val="0038248A"/>
    <w:rsid w:val="003828A4"/>
    <w:rsid w:val="0038298E"/>
    <w:rsid w:val="00382A9D"/>
    <w:rsid w:val="00383324"/>
    <w:rsid w:val="00383756"/>
    <w:rsid w:val="003837AC"/>
    <w:rsid w:val="003839FD"/>
    <w:rsid w:val="00383A26"/>
    <w:rsid w:val="00383AA6"/>
    <w:rsid w:val="00384730"/>
    <w:rsid w:val="0038489C"/>
    <w:rsid w:val="00384B12"/>
    <w:rsid w:val="00384BED"/>
    <w:rsid w:val="0038543B"/>
    <w:rsid w:val="00385D3D"/>
    <w:rsid w:val="00385F5C"/>
    <w:rsid w:val="003863C4"/>
    <w:rsid w:val="00386796"/>
    <w:rsid w:val="00386B21"/>
    <w:rsid w:val="00386E8F"/>
    <w:rsid w:val="0038719E"/>
    <w:rsid w:val="00387FF5"/>
    <w:rsid w:val="003900A8"/>
    <w:rsid w:val="00390596"/>
    <w:rsid w:val="003908D3"/>
    <w:rsid w:val="00390F12"/>
    <w:rsid w:val="00391A44"/>
    <w:rsid w:val="00391B51"/>
    <w:rsid w:val="00391C4C"/>
    <w:rsid w:val="00392166"/>
    <w:rsid w:val="00392530"/>
    <w:rsid w:val="00392620"/>
    <w:rsid w:val="00392778"/>
    <w:rsid w:val="0039280C"/>
    <w:rsid w:val="003928FB"/>
    <w:rsid w:val="00392D38"/>
    <w:rsid w:val="0039335C"/>
    <w:rsid w:val="0039382E"/>
    <w:rsid w:val="00393D8E"/>
    <w:rsid w:val="0039414C"/>
    <w:rsid w:val="00394763"/>
    <w:rsid w:val="00394865"/>
    <w:rsid w:val="00394E22"/>
    <w:rsid w:val="00394F07"/>
    <w:rsid w:val="0039543F"/>
    <w:rsid w:val="00395519"/>
    <w:rsid w:val="0039595A"/>
    <w:rsid w:val="00395D2B"/>
    <w:rsid w:val="00395F52"/>
    <w:rsid w:val="00396A9C"/>
    <w:rsid w:val="0039706B"/>
    <w:rsid w:val="003973AE"/>
    <w:rsid w:val="003975D2"/>
    <w:rsid w:val="00397AB7"/>
    <w:rsid w:val="003A01D2"/>
    <w:rsid w:val="003A0396"/>
    <w:rsid w:val="003A03C7"/>
    <w:rsid w:val="003A0637"/>
    <w:rsid w:val="003A0B94"/>
    <w:rsid w:val="003A171E"/>
    <w:rsid w:val="003A26D8"/>
    <w:rsid w:val="003A273D"/>
    <w:rsid w:val="003A2BB7"/>
    <w:rsid w:val="003A2BCC"/>
    <w:rsid w:val="003A2FB0"/>
    <w:rsid w:val="003A310B"/>
    <w:rsid w:val="003A326E"/>
    <w:rsid w:val="003A3615"/>
    <w:rsid w:val="003A3B67"/>
    <w:rsid w:val="003A3CF3"/>
    <w:rsid w:val="003A3FFA"/>
    <w:rsid w:val="003A477A"/>
    <w:rsid w:val="003A47E5"/>
    <w:rsid w:val="003A483D"/>
    <w:rsid w:val="003A48E1"/>
    <w:rsid w:val="003A4AF8"/>
    <w:rsid w:val="003A4E0A"/>
    <w:rsid w:val="003A4F89"/>
    <w:rsid w:val="003A5246"/>
    <w:rsid w:val="003A5413"/>
    <w:rsid w:val="003A594A"/>
    <w:rsid w:val="003A5DE6"/>
    <w:rsid w:val="003A682D"/>
    <w:rsid w:val="003A68E1"/>
    <w:rsid w:val="003A6906"/>
    <w:rsid w:val="003A6EB2"/>
    <w:rsid w:val="003A6F80"/>
    <w:rsid w:val="003A6FC6"/>
    <w:rsid w:val="003A7115"/>
    <w:rsid w:val="003A7877"/>
    <w:rsid w:val="003B008E"/>
    <w:rsid w:val="003B020B"/>
    <w:rsid w:val="003B0B17"/>
    <w:rsid w:val="003B1156"/>
    <w:rsid w:val="003B12F0"/>
    <w:rsid w:val="003B142E"/>
    <w:rsid w:val="003B16C1"/>
    <w:rsid w:val="003B19ED"/>
    <w:rsid w:val="003B1FC7"/>
    <w:rsid w:val="003B2135"/>
    <w:rsid w:val="003B215B"/>
    <w:rsid w:val="003B3408"/>
    <w:rsid w:val="003B359D"/>
    <w:rsid w:val="003B371A"/>
    <w:rsid w:val="003B39F0"/>
    <w:rsid w:val="003B47CE"/>
    <w:rsid w:val="003B48FA"/>
    <w:rsid w:val="003B4CAB"/>
    <w:rsid w:val="003B6D8F"/>
    <w:rsid w:val="003B74C4"/>
    <w:rsid w:val="003B7A8F"/>
    <w:rsid w:val="003B7B03"/>
    <w:rsid w:val="003B7C72"/>
    <w:rsid w:val="003C0AF2"/>
    <w:rsid w:val="003C0FF9"/>
    <w:rsid w:val="003C1205"/>
    <w:rsid w:val="003C1D4F"/>
    <w:rsid w:val="003C1ED7"/>
    <w:rsid w:val="003C239C"/>
    <w:rsid w:val="003C30D6"/>
    <w:rsid w:val="003C30ED"/>
    <w:rsid w:val="003C3561"/>
    <w:rsid w:val="003C35DF"/>
    <w:rsid w:val="003C39D4"/>
    <w:rsid w:val="003C3B0A"/>
    <w:rsid w:val="003C4855"/>
    <w:rsid w:val="003C49DE"/>
    <w:rsid w:val="003C4A29"/>
    <w:rsid w:val="003C4CF0"/>
    <w:rsid w:val="003C4DB3"/>
    <w:rsid w:val="003C4F2A"/>
    <w:rsid w:val="003C60C1"/>
    <w:rsid w:val="003C60F9"/>
    <w:rsid w:val="003C636E"/>
    <w:rsid w:val="003C6585"/>
    <w:rsid w:val="003C67F4"/>
    <w:rsid w:val="003C684E"/>
    <w:rsid w:val="003C6A9E"/>
    <w:rsid w:val="003C6B70"/>
    <w:rsid w:val="003C6D8E"/>
    <w:rsid w:val="003C731D"/>
    <w:rsid w:val="003C733B"/>
    <w:rsid w:val="003C7398"/>
    <w:rsid w:val="003C74EF"/>
    <w:rsid w:val="003C7BFC"/>
    <w:rsid w:val="003C7D5B"/>
    <w:rsid w:val="003C7F28"/>
    <w:rsid w:val="003D0704"/>
    <w:rsid w:val="003D08F7"/>
    <w:rsid w:val="003D0FBF"/>
    <w:rsid w:val="003D0FEA"/>
    <w:rsid w:val="003D1425"/>
    <w:rsid w:val="003D1428"/>
    <w:rsid w:val="003D1517"/>
    <w:rsid w:val="003D1CD1"/>
    <w:rsid w:val="003D221B"/>
    <w:rsid w:val="003D2587"/>
    <w:rsid w:val="003D2D30"/>
    <w:rsid w:val="003D2DB3"/>
    <w:rsid w:val="003D2DD4"/>
    <w:rsid w:val="003D2E83"/>
    <w:rsid w:val="003D2F29"/>
    <w:rsid w:val="003D41A8"/>
    <w:rsid w:val="003D42F2"/>
    <w:rsid w:val="003D4371"/>
    <w:rsid w:val="003D4D08"/>
    <w:rsid w:val="003D4E3A"/>
    <w:rsid w:val="003D4F6E"/>
    <w:rsid w:val="003D5339"/>
    <w:rsid w:val="003D5558"/>
    <w:rsid w:val="003D55E4"/>
    <w:rsid w:val="003D5DC0"/>
    <w:rsid w:val="003D602C"/>
    <w:rsid w:val="003D70D9"/>
    <w:rsid w:val="003D7477"/>
    <w:rsid w:val="003D7B2C"/>
    <w:rsid w:val="003D7CC1"/>
    <w:rsid w:val="003D7EB8"/>
    <w:rsid w:val="003D7F9C"/>
    <w:rsid w:val="003E02CB"/>
    <w:rsid w:val="003E1608"/>
    <w:rsid w:val="003E18C3"/>
    <w:rsid w:val="003E1ADE"/>
    <w:rsid w:val="003E1E1E"/>
    <w:rsid w:val="003E2E9B"/>
    <w:rsid w:val="003E3374"/>
    <w:rsid w:val="003E337D"/>
    <w:rsid w:val="003E3635"/>
    <w:rsid w:val="003E38E3"/>
    <w:rsid w:val="003E3A4A"/>
    <w:rsid w:val="003E3E6A"/>
    <w:rsid w:val="003E421C"/>
    <w:rsid w:val="003E42D9"/>
    <w:rsid w:val="003E4486"/>
    <w:rsid w:val="003E456B"/>
    <w:rsid w:val="003E53A4"/>
    <w:rsid w:val="003E5497"/>
    <w:rsid w:val="003E5933"/>
    <w:rsid w:val="003E5AE3"/>
    <w:rsid w:val="003E5DAB"/>
    <w:rsid w:val="003E5E50"/>
    <w:rsid w:val="003E5F2F"/>
    <w:rsid w:val="003E60A9"/>
    <w:rsid w:val="003E68B4"/>
    <w:rsid w:val="003E6CBF"/>
    <w:rsid w:val="003E6E42"/>
    <w:rsid w:val="003E76C2"/>
    <w:rsid w:val="003E7A50"/>
    <w:rsid w:val="003E7C63"/>
    <w:rsid w:val="003F048B"/>
    <w:rsid w:val="003F0A0E"/>
    <w:rsid w:val="003F0E87"/>
    <w:rsid w:val="003F0F10"/>
    <w:rsid w:val="003F1125"/>
    <w:rsid w:val="003F1516"/>
    <w:rsid w:val="003F1867"/>
    <w:rsid w:val="003F1A19"/>
    <w:rsid w:val="003F1C2F"/>
    <w:rsid w:val="003F1C60"/>
    <w:rsid w:val="003F26E2"/>
    <w:rsid w:val="003F2827"/>
    <w:rsid w:val="003F2DF6"/>
    <w:rsid w:val="003F2E2E"/>
    <w:rsid w:val="003F2FB3"/>
    <w:rsid w:val="003F3116"/>
    <w:rsid w:val="003F330B"/>
    <w:rsid w:val="003F3DBD"/>
    <w:rsid w:val="003F3E15"/>
    <w:rsid w:val="003F3F62"/>
    <w:rsid w:val="003F41B4"/>
    <w:rsid w:val="003F43E5"/>
    <w:rsid w:val="003F4B1D"/>
    <w:rsid w:val="003F4FD9"/>
    <w:rsid w:val="003F55ED"/>
    <w:rsid w:val="003F5880"/>
    <w:rsid w:val="003F5A8C"/>
    <w:rsid w:val="003F5A94"/>
    <w:rsid w:val="003F6059"/>
    <w:rsid w:val="003F62C6"/>
    <w:rsid w:val="003F641B"/>
    <w:rsid w:val="003F64E8"/>
    <w:rsid w:val="003F6692"/>
    <w:rsid w:val="003F6974"/>
    <w:rsid w:val="003F6C14"/>
    <w:rsid w:val="003F6CE8"/>
    <w:rsid w:val="003F6D7B"/>
    <w:rsid w:val="003F6F31"/>
    <w:rsid w:val="003F6FCC"/>
    <w:rsid w:val="003F78FB"/>
    <w:rsid w:val="003F7CA0"/>
    <w:rsid w:val="003F7E51"/>
    <w:rsid w:val="00400411"/>
    <w:rsid w:val="00400649"/>
    <w:rsid w:val="00400BD4"/>
    <w:rsid w:val="00400D8F"/>
    <w:rsid w:val="00400F7C"/>
    <w:rsid w:val="004013DF"/>
    <w:rsid w:val="004016C8"/>
    <w:rsid w:val="004017D5"/>
    <w:rsid w:val="00401D58"/>
    <w:rsid w:val="00402155"/>
    <w:rsid w:val="004021E2"/>
    <w:rsid w:val="00402522"/>
    <w:rsid w:val="0040295E"/>
    <w:rsid w:val="00402A0F"/>
    <w:rsid w:val="00402F59"/>
    <w:rsid w:val="00403037"/>
    <w:rsid w:val="00403851"/>
    <w:rsid w:val="00403882"/>
    <w:rsid w:val="00403A55"/>
    <w:rsid w:val="00403BC5"/>
    <w:rsid w:val="00403F19"/>
    <w:rsid w:val="00404BD2"/>
    <w:rsid w:val="00404C50"/>
    <w:rsid w:val="00404D9F"/>
    <w:rsid w:val="00404FD4"/>
    <w:rsid w:val="00405760"/>
    <w:rsid w:val="004064CC"/>
    <w:rsid w:val="00406679"/>
    <w:rsid w:val="00406AB5"/>
    <w:rsid w:val="004074D1"/>
    <w:rsid w:val="004078DA"/>
    <w:rsid w:val="0041004A"/>
    <w:rsid w:val="004102E8"/>
    <w:rsid w:val="004103D1"/>
    <w:rsid w:val="004104FC"/>
    <w:rsid w:val="00410872"/>
    <w:rsid w:val="00410AE1"/>
    <w:rsid w:val="00410EE4"/>
    <w:rsid w:val="00411582"/>
    <w:rsid w:val="00411747"/>
    <w:rsid w:val="004119E4"/>
    <w:rsid w:val="00411E5D"/>
    <w:rsid w:val="00411F4E"/>
    <w:rsid w:val="004121BA"/>
    <w:rsid w:val="0041294B"/>
    <w:rsid w:val="00412A34"/>
    <w:rsid w:val="00412BBC"/>
    <w:rsid w:val="00412C9D"/>
    <w:rsid w:val="00412E15"/>
    <w:rsid w:val="0041310F"/>
    <w:rsid w:val="0041326C"/>
    <w:rsid w:val="00413323"/>
    <w:rsid w:val="00413735"/>
    <w:rsid w:val="00413B2D"/>
    <w:rsid w:val="00413DF2"/>
    <w:rsid w:val="00413ECD"/>
    <w:rsid w:val="004146C1"/>
    <w:rsid w:val="00414B2A"/>
    <w:rsid w:val="00414E63"/>
    <w:rsid w:val="004151EF"/>
    <w:rsid w:val="004152A3"/>
    <w:rsid w:val="004158F1"/>
    <w:rsid w:val="00415BA8"/>
    <w:rsid w:val="00416066"/>
    <w:rsid w:val="0041624E"/>
    <w:rsid w:val="00416F77"/>
    <w:rsid w:val="00417211"/>
    <w:rsid w:val="004174DC"/>
    <w:rsid w:val="00417A98"/>
    <w:rsid w:val="004209F4"/>
    <w:rsid w:val="00420ACA"/>
    <w:rsid w:val="00420EC3"/>
    <w:rsid w:val="00420FBC"/>
    <w:rsid w:val="004211D2"/>
    <w:rsid w:val="00421230"/>
    <w:rsid w:val="004215FA"/>
    <w:rsid w:val="00421601"/>
    <w:rsid w:val="00421ED2"/>
    <w:rsid w:val="0042233A"/>
    <w:rsid w:val="0042268A"/>
    <w:rsid w:val="00422E8A"/>
    <w:rsid w:val="004233B8"/>
    <w:rsid w:val="004237FB"/>
    <w:rsid w:val="004239B4"/>
    <w:rsid w:val="004243A4"/>
    <w:rsid w:val="004246FC"/>
    <w:rsid w:val="00424788"/>
    <w:rsid w:val="00424E03"/>
    <w:rsid w:val="00424E6A"/>
    <w:rsid w:val="00424E73"/>
    <w:rsid w:val="004250BD"/>
    <w:rsid w:val="0042542E"/>
    <w:rsid w:val="004255CB"/>
    <w:rsid w:val="0042576C"/>
    <w:rsid w:val="0042581C"/>
    <w:rsid w:val="00425B24"/>
    <w:rsid w:val="00426D04"/>
    <w:rsid w:val="0042701E"/>
    <w:rsid w:val="0042715C"/>
    <w:rsid w:val="0042789B"/>
    <w:rsid w:val="00427D12"/>
    <w:rsid w:val="004305E8"/>
    <w:rsid w:val="0043062E"/>
    <w:rsid w:val="00430675"/>
    <w:rsid w:val="00430D51"/>
    <w:rsid w:val="00431179"/>
    <w:rsid w:val="004318E3"/>
    <w:rsid w:val="00431B02"/>
    <w:rsid w:val="00431F4D"/>
    <w:rsid w:val="00431F55"/>
    <w:rsid w:val="004325B1"/>
    <w:rsid w:val="004327EC"/>
    <w:rsid w:val="004329D2"/>
    <w:rsid w:val="00432D79"/>
    <w:rsid w:val="00432F6D"/>
    <w:rsid w:val="00432F94"/>
    <w:rsid w:val="0043309B"/>
    <w:rsid w:val="0043311F"/>
    <w:rsid w:val="00433287"/>
    <w:rsid w:val="0043355D"/>
    <w:rsid w:val="00433BFA"/>
    <w:rsid w:val="00433DA7"/>
    <w:rsid w:val="00434124"/>
    <w:rsid w:val="00434374"/>
    <w:rsid w:val="004344E7"/>
    <w:rsid w:val="00434544"/>
    <w:rsid w:val="00434D1D"/>
    <w:rsid w:val="00434F39"/>
    <w:rsid w:val="004355A5"/>
    <w:rsid w:val="00435A5F"/>
    <w:rsid w:val="004360A2"/>
    <w:rsid w:val="0043617F"/>
    <w:rsid w:val="004361B7"/>
    <w:rsid w:val="004361D7"/>
    <w:rsid w:val="0043653F"/>
    <w:rsid w:val="00436646"/>
    <w:rsid w:val="0043695E"/>
    <w:rsid w:val="00437241"/>
    <w:rsid w:val="00437490"/>
    <w:rsid w:val="00437D94"/>
    <w:rsid w:val="00437FBC"/>
    <w:rsid w:val="00440134"/>
    <w:rsid w:val="004402DA"/>
    <w:rsid w:val="004404B1"/>
    <w:rsid w:val="00440554"/>
    <w:rsid w:val="00440A88"/>
    <w:rsid w:val="00440AD9"/>
    <w:rsid w:val="00440C27"/>
    <w:rsid w:val="00440E4C"/>
    <w:rsid w:val="004411C5"/>
    <w:rsid w:val="00441942"/>
    <w:rsid w:val="00441B66"/>
    <w:rsid w:val="00441D34"/>
    <w:rsid w:val="00441DB0"/>
    <w:rsid w:val="0044229D"/>
    <w:rsid w:val="0044281E"/>
    <w:rsid w:val="00442914"/>
    <w:rsid w:val="0044347E"/>
    <w:rsid w:val="004438A4"/>
    <w:rsid w:val="00443903"/>
    <w:rsid w:val="004439EA"/>
    <w:rsid w:val="00443C79"/>
    <w:rsid w:val="00443CDD"/>
    <w:rsid w:val="00443D22"/>
    <w:rsid w:val="004445B5"/>
    <w:rsid w:val="00444ACD"/>
    <w:rsid w:val="0044512E"/>
    <w:rsid w:val="004451F5"/>
    <w:rsid w:val="004453ED"/>
    <w:rsid w:val="004457F7"/>
    <w:rsid w:val="004458EC"/>
    <w:rsid w:val="00445C58"/>
    <w:rsid w:val="0044613A"/>
    <w:rsid w:val="0044626B"/>
    <w:rsid w:val="00446AF1"/>
    <w:rsid w:val="004474D8"/>
    <w:rsid w:val="00447897"/>
    <w:rsid w:val="00447FAD"/>
    <w:rsid w:val="00450589"/>
    <w:rsid w:val="00450C40"/>
    <w:rsid w:val="00450E23"/>
    <w:rsid w:val="00450EF7"/>
    <w:rsid w:val="0045150B"/>
    <w:rsid w:val="00451591"/>
    <w:rsid w:val="0045192E"/>
    <w:rsid w:val="00451F2E"/>
    <w:rsid w:val="00452084"/>
    <w:rsid w:val="00452388"/>
    <w:rsid w:val="004524D1"/>
    <w:rsid w:val="004525D1"/>
    <w:rsid w:val="004527CE"/>
    <w:rsid w:val="00452DB5"/>
    <w:rsid w:val="00453807"/>
    <w:rsid w:val="00453BB6"/>
    <w:rsid w:val="0045415F"/>
    <w:rsid w:val="004541AF"/>
    <w:rsid w:val="00454333"/>
    <w:rsid w:val="00454563"/>
    <w:rsid w:val="00454A22"/>
    <w:rsid w:val="00454B9F"/>
    <w:rsid w:val="004551D6"/>
    <w:rsid w:val="00455326"/>
    <w:rsid w:val="00455836"/>
    <w:rsid w:val="0045603D"/>
    <w:rsid w:val="00456162"/>
    <w:rsid w:val="00456282"/>
    <w:rsid w:val="004563DB"/>
    <w:rsid w:val="00456D5C"/>
    <w:rsid w:val="00456EEE"/>
    <w:rsid w:val="0045713F"/>
    <w:rsid w:val="00457215"/>
    <w:rsid w:val="004575E5"/>
    <w:rsid w:val="0045763C"/>
    <w:rsid w:val="00457C34"/>
    <w:rsid w:val="00457ED2"/>
    <w:rsid w:val="004608F6"/>
    <w:rsid w:val="00460A41"/>
    <w:rsid w:val="00460BC9"/>
    <w:rsid w:val="00461037"/>
    <w:rsid w:val="00461B6B"/>
    <w:rsid w:val="00461C3C"/>
    <w:rsid w:val="00461F56"/>
    <w:rsid w:val="0046216C"/>
    <w:rsid w:val="00462782"/>
    <w:rsid w:val="004627B8"/>
    <w:rsid w:val="00462B1F"/>
    <w:rsid w:val="00463175"/>
    <w:rsid w:val="004635FE"/>
    <w:rsid w:val="00463939"/>
    <w:rsid w:val="004641B6"/>
    <w:rsid w:val="00464F3D"/>
    <w:rsid w:val="00465065"/>
    <w:rsid w:val="004655FC"/>
    <w:rsid w:val="00465CCD"/>
    <w:rsid w:val="00465E92"/>
    <w:rsid w:val="00465EE4"/>
    <w:rsid w:val="004661B0"/>
    <w:rsid w:val="00466B0B"/>
    <w:rsid w:val="00466DC4"/>
    <w:rsid w:val="00466FC0"/>
    <w:rsid w:val="004670CE"/>
    <w:rsid w:val="00467115"/>
    <w:rsid w:val="00467391"/>
    <w:rsid w:val="0046758C"/>
    <w:rsid w:val="004675B9"/>
    <w:rsid w:val="004679F6"/>
    <w:rsid w:val="00467AB4"/>
    <w:rsid w:val="0047024F"/>
    <w:rsid w:val="004702EB"/>
    <w:rsid w:val="00470D95"/>
    <w:rsid w:val="00471121"/>
    <w:rsid w:val="00471928"/>
    <w:rsid w:val="00471E07"/>
    <w:rsid w:val="00471FAC"/>
    <w:rsid w:val="00472020"/>
    <w:rsid w:val="00472656"/>
    <w:rsid w:val="00472902"/>
    <w:rsid w:val="00472B7E"/>
    <w:rsid w:val="00472F86"/>
    <w:rsid w:val="00473359"/>
    <w:rsid w:val="0047339F"/>
    <w:rsid w:val="00473490"/>
    <w:rsid w:val="0047352C"/>
    <w:rsid w:val="00473601"/>
    <w:rsid w:val="00473662"/>
    <w:rsid w:val="004737C6"/>
    <w:rsid w:val="00473823"/>
    <w:rsid w:val="004750F1"/>
    <w:rsid w:val="00475445"/>
    <w:rsid w:val="004756F6"/>
    <w:rsid w:val="00475F3A"/>
    <w:rsid w:val="00475F99"/>
    <w:rsid w:val="004760F2"/>
    <w:rsid w:val="00476368"/>
    <w:rsid w:val="004764D2"/>
    <w:rsid w:val="004767E6"/>
    <w:rsid w:val="00476B01"/>
    <w:rsid w:val="00476F73"/>
    <w:rsid w:val="004774BD"/>
    <w:rsid w:val="00477669"/>
    <w:rsid w:val="0048021F"/>
    <w:rsid w:val="00480373"/>
    <w:rsid w:val="004807FF"/>
    <w:rsid w:val="004811A7"/>
    <w:rsid w:val="004814F5"/>
    <w:rsid w:val="00481545"/>
    <w:rsid w:val="00481793"/>
    <w:rsid w:val="00481ABD"/>
    <w:rsid w:val="00481E7B"/>
    <w:rsid w:val="0048229C"/>
    <w:rsid w:val="004826D8"/>
    <w:rsid w:val="004829E0"/>
    <w:rsid w:val="004830E1"/>
    <w:rsid w:val="0048339E"/>
    <w:rsid w:val="004834BC"/>
    <w:rsid w:val="00483881"/>
    <w:rsid w:val="00483A94"/>
    <w:rsid w:val="00483AAD"/>
    <w:rsid w:val="00483B4C"/>
    <w:rsid w:val="00483F50"/>
    <w:rsid w:val="00484328"/>
    <w:rsid w:val="00484A6D"/>
    <w:rsid w:val="00484F4B"/>
    <w:rsid w:val="00484F60"/>
    <w:rsid w:val="00485220"/>
    <w:rsid w:val="00485675"/>
    <w:rsid w:val="0048576D"/>
    <w:rsid w:val="00485929"/>
    <w:rsid w:val="0048630B"/>
    <w:rsid w:val="00487111"/>
    <w:rsid w:val="004872A4"/>
    <w:rsid w:val="004874F2"/>
    <w:rsid w:val="00487BFB"/>
    <w:rsid w:val="00487FCF"/>
    <w:rsid w:val="0049071E"/>
    <w:rsid w:val="00491059"/>
    <w:rsid w:val="00491513"/>
    <w:rsid w:val="004917EB"/>
    <w:rsid w:val="00491A0C"/>
    <w:rsid w:val="00491B59"/>
    <w:rsid w:val="00492319"/>
    <w:rsid w:val="004923B8"/>
    <w:rsid w:val="00492B8B"/>
    <w:rsid w:val="0049372E"/>
    <w:rsid w:val="00493867"/>
    <w:rsid w:val="0049390F"/>
    <w:rsid w:val="00493A85"/>
    <w:rsid w:val="00493B46"/>
    <w:rsid w:val="00493F9E"/>
    <w:rsid w:val="004940A7"/>
    <w:rsid w:val="004949C6"/>
    <w:rsid w:val="00495493"/>
    <w:rsid w:val="004955CD"/>
    <w:rsid w:val="004956FB"/>
    <w:rsid w:val="00495C30"/>
    <w:rsid w:val="00495CA9"/>
    <w:rsid w:val="00495EFF"/>
    <w:rsid w:val="00495FB1"/>
    <w:rsid w:val="0049677E"/>
    <w:rsid w:val="00496A28"/>
    <w:rsid w:val="004974CD"/>
    <w:rsid w:val="0049771D"/>
    <w:rsid w:val="0049792C"/>
    <w:rsid w:val="00497F37"/>
    <w:rsid w:val="004A0572"/>
    <w:rsid w:val="004A0642"/>
    <w:rsid w:val="004A069A"/>
    <w:rsid w:val="004A0C85"/>
    <w:rsid w:val="004A0E4C"/>
    <w:rsid w:val="004A13B5"/>
    <w:rsid w:val="004A17BE"/>
    <w:rsid w:val="004A183E"/>
    <w:rsid w:val="004A23B3"/>
    <w:rsid w:val="004A2629"/>
    <w:rsid w:val="004A28E3"/>
    <w:rsid w:val="004A2975"/>
    <w:rsid w:val="004A29EA"/>
    <w:rsid w:val="004A2A42"/>
    <w:rsid w:val="004A2C34"/>
    <w:rsid w:val="004A2C7C"/>
    <w:rsid w:val="004A3075"/>
    <w:rsid w:val="004A30FC"/>
    <w:rsid w:val="004A3153"/>
    <w:rsid w:val="004A33EC"/>
    <w:rsid w:val="004A345B"/>
    <w:rsid w:val="004A3945"/>
    <w:rsid w:val="004A3978"/>
    <w:rsid w:val="004A3ACD"/>
    <w:rsid w:val="004A3F6F"/>
    <w:rsid w:val="004A4302"/>
    <w:rsid w:val="004A4BF7"/>
    <w:rsid w:val="004A51CB"/>
    <w:rsid w:val="004A5261"/>
    <w:rsid w:val="004A5756"/>
    <w:rsid w:val="004A578B"/>
    <w:rsid w:val="004A5BAA"/>
    <w:rsid w:val="004A6295"/>
    <w:rsid w:val="004A6446"/>
    <w:rsid w:val="004A6526"/>
    <w:rsid w:val="004A66E5"/>
    <w:rsid w:val="004A675E"/>
    <w:rsid w:val="004B022A"/>
    <w:rsid w:val="004B0BFE"/>
    <w:rsid w:val="004B0DE4"/>
    <w:rsid w:val="004B1446"/>
    <w:rsid w:val="004B175C"/>
    <w:rsid w:val="004B17CB"/>
    <w:rsid w:val="004B1D57"/>
    <w:rsid w:val="004B226B"/>
    <w:rsid w:val="004B232B"/>
    <w:rsid w:val="004B2A79"/>
    <w:rsid w:val="004B3120"/>
    <w:rsid w:val="004B3341"/>
    <w:rsid w:val="004B3591"/>
    <w:rsid w:val="004B360B"/>
    <w:rsid w:val="004B4211"/>
    <w:rsid w:val="004B48AE"/>
    <w:rsid w:val="004B4A0E"/>
    <w:rsid w:val="004B4C3B"/>
    <w:rsid w:val="004B4E09"/>
    <w:rsid w:val="004B57AD"/>
    <w:rsid w:val="004B5813"/>
    <w:rsid w:val="004B5D31"/>
    <w:rsid w:val="004B5F5E"/>
    <w:rsid w:val="004B5FCF"/>
    <w:rsid w:val="004B73B1"/>
    <w:rsid w:val="004B751A"/>
    <w:rsid w:val="004B75CA"/>
    <w:rsid w:val="004B7641"/>
    <w:rsid w:val="004B7FCD"/>
    <w:rsid w:val="004C04B1"/>
    <w:rsid w:val="004C069F"/>
    <w:rsid w:val="004C074D"/>
    <w:rsid w:val="004C0927"/>
    <w:rsid w:val="004C0C9C"/>
    <w:rsid w:val="004C1318"/>
    <w:rsid w:val="004C1BAE"/>
    <w:rsid w:val="004C2087"/>
    <w:rsid w:val="004C2179"/>
    <w:rsid w:val="004C21E6"/>
    <w:rsid w:val="004C22B6"/>
    <w:rsid w:val="004C261C"/>
    <w:rsid w:val="004C26E4"/>
    <w:rsid w:val="004C2A3A"/>
    <w:rsid w:val="004C2CB9"/>
    <w:rsid w:val="004C41D1"/>
    <w:rsid w:val="004C45E3"/>
    <w:rsid w:val="004C4691"/>
    <w:rsid w:val="004C49A3"/>
    <w:rsid w:val="004C4D89"/>
    <w:rsid w:val="004C5235"/>
    <w:rsid w:val="004C5C61"/>
    <w:rsid w:val="004C658B"/>
    <w:rsid w:val="004C6968"/>
    <w:rsid w:val="004C6B27"/>
    <w:rsid w:val="004C6B6E"/>
    <w:rsid w:val="004C6EFA"/>
    <w:rsid w:val="004C777D"/>
    <w:rsid w:val="004C78E3"/>
    <w:rsid w:val="004C7D01"/>
    <w:rsid w:val="004C7F97"/>
    <w:rsid w:val="004D0382"/>
    <w:rsid w:val="004D060A"/>
    <w:rsid w:val="004D06AF"/>
    <w:rsid w:val="004D0C9D"/>
    <w:rsid w:val="004D0FE5"/>
    <w:rsid w:val="004D10F4"/>
    <w:rsid w:val="004D1960"/>
    <w:rsid w:val="004D1BBB"/>
    <w:rsid w:val="004D1BC6"/>
    <w:rsid w:val="004D1C79"/>
    <w:rsid w:val="004D1F75"/>
    <w:rsid w:val="004D2176"/>
    <w:rsid w:val="004D296B"/>
    <w:rsid w:val="004D2C65"/>
    <w:rsid w:val="004D2E7C"/>
    <w:rsid w:val="004D2E9B"/>
    <w:rsid w:val="004D2EA4"/>
    <w:rsid w:val="004D3047"/>
    <w:rsid w:val="004D3C65"/>
    <w:rsid w:val="004D4233"/>
    <w:rsid w:val="004D42B6"/>
    <w:rsid w:val="004D4704"/>
    <w:rsid w:val="004D5087"/>
    <w:rsid w:val="004D5398"/>
    <w:rsid w:val="004D575C"/>
    <w:rsid w:val="004D5ADF"/>
    <w:rsid w:val="004D61C0"/>
    <w:rsid w:val="004D643E"/>
    <w:rsid w:val="004D6522"/>
    <w:rsid w:val="004D6535"/>
    <w:rsid w:val="004D6F51"/>
    <w:rsid w:val="004D6F59"/>
    <w:rsid w:val="004D7127"/>
    <w:rsid w:val="004D797B"/>
    <w:rsid w:val="004D7C7B"/>
    <w:rsid w:val="004E0692"/>
    <w:rsid w:val="004E0C60"/>
    <w:rsid w:val="004E0D09"/>
    <w:rsid w:val="004E0DAF"/>
    <w:rsid w:val="004E0E14"/>
    <w:rsid w:val="004E0EE6"/>
    <w:rsid w:val="004E1102"/>
    <w:rsid w:val="004E1196"/>
    <w:rsid w:val="004E14DD"/>
    <w:rsid w:val="004E1792"/>
    <w:rsid w:val="004E204A"/>
    <w:rsid w:val="004E254C"/>
    <w:rsid w:val="004E2F8D"/>
    <w:rsid w:val="004E32FC"/>
    <w:rsid w:val="004E3785"/>
    <w:rsid w:val="004E39D8"/>
    <w:rsid w:val="004E3B22"/>
    <w:rsid w:val="004E3CBF"/>
    <w:rsid w:val="004E3CE5"/>
    <w:rsid w:val="004E3D75"/>
    <w:rsid w:val="004E3EC7"/>
    <w:rsid w:val="004E40DC"/>
    <w:rsid w:val="004E4586"/>
    <w:rsid w:val="004E4777"/>
    <w:rsid w:val="004E51AB"/>
    <w:rsid w:val="004E5773"/>
    <w:rsid w:val="004E5CAB"/>
    <w:rsid w:val="004E6013"/>
    <w:rsid w:val="004E6779"/>
    <w:rsid w:val="004E69A7"/>
    <w:rsid w:val="004E6A69"/>
    <w:rsid w:val="004E6C7F"/>
    <w:rsid w:val="004E6C8A"/>
    <w:rsid w:val="004E71E2"/>
    <w:rsid w:val="004E777B"/>
    <w:rsid w:val="004E7807"/>
    <w:rsid w:val="004E79A8"/>
    <w:rsid w:val="004E7AE7"/>
    <w:rsid w:val="004E7AF6"/>
    <w:rsid w:val="004F0E94"/>
    <w:rsid w:val="004F1222"/>
    <w:rsid w:val="004F1561"/>
    <w:rsid w:val="004F1688"/>
    <w:rsid w:val="004F1B83"/>
    <w:rsid w:val="004F1CF6"/>
    <w:rsid w:val="004F225C"/>
    <w:rsid w:val="004F2CF9"/>
    <w:rsid w:val="004F3258"/>
    <w:rsid w:val="004F416D"/>
    <w:rsid w:val="004F4B8F"/>
    <w:rsid w:val="004F516F"/>
    <w:rsid w:val="004F530B"/>
    <w:rsid w:val="004F54E2"/>
    <w:rsid w:val="004F5B68"/>
    <w:rsid w:val="004F5DB8"/>
    <w:rsid w:val="004F61D6"/>
    <w:rsid w:val="004F65CE"/>
    <w:rsid w:val="004F69FA"/>
    <w:rsid w:val="004F6C49"/>
    <w:rsid w:val="004F6C90"/>
    <w:rsid w:val="004F73F2"/>
    <w:rsid w:val="004F7464"/>
    <w:rsid w:val="004F76E5"/>
    <w:rsid w:val="004F7E22"/>
    <w:rsid w:val="00500106"/>
    <w:rsid w:val="00500518"/>
    <w:rsid w:val="0050062F"/>
    <w:rsid w:val="005010C5"/>
    <w:rsid w:val="00501142"/>
    <w:rsid w:val="00501469"/>
    <w:rsid w:val="005015BE"/>
    <w:rsid w:val="005019C9"/>
    <w:rsid w:val="00501B64"/>
    <w:rsid w:val="00501CBF"/>
    <w:rsid w:val="00501DA3"/>
    <w:rsid w:val="00501DB2"/>
    <w:rsid w:val="00501E1B"/>
    <w:rsid w:val="0050204F"/>
    <w:rsid w:val="00502D56"/>
    <w:rsid w:val="00503020"/>
    <w:rsid w:val="005031CB"/>
    <w:rsid w:val="0050351E"/>
    <w:rsid w:val="00503988"/>
    <w:rsid w:val="00503B25"/>
    <w:rsid w:val="00504C2E"/>
    <w:rsid w:val="00505040"/>
    <w:rsid w:val="0050558E"/>
    <w:rsid w:val="0050567B"/>
    <w:rsid w:val="00505728"/>
    <w:rsid w:val="005061E1"/>
    <w:rsid w:val="0050628E"/>
    <w:rsid w:val="005062F3"/>
    <w:rsid w:val="0050653D"/>
    <w:rsid w:val="00506838"/>
    <w:rsid w:val="00506C1B"/>
    <w:rsid w:val="00506E56"/>
    <w:rsid w:val="005070DC"/>
    <w:rsid w:val="00507AAC"/>
    <w:rsid w:val="00507C28"/>
    <w:rsid w:val="00507CC7"/>
    <w:rsid w:val="005101E5"/>
    <w:rsid w:val="0051077F"/>
    <w:rsid w:val="00510A8D"/>
    <w:rsid w:val="00511825"/>
    <w:rsid w:val="00511ABF"/>
    <w:rsid w:val="00511F5B"/>
    <w:rsid w:val="005123A4"/>
    <w:rsid w:val="0051266F"/>
    <w:rsid w:val="00512873"/>
    <w:rsid w:val="00513491"/>
    <w:rsid w:val="00513B2E"/>
    <w:rsid w:val="00514053"/>
    <w:rsid w:val="00514A95"/>
    <w:rsid w:val="00514B6C"/>
    <w:rsid w:val="00514C65"/>
    <w:rsid w:val="005152CB"/>
    <w:rsid w:val="005154D7"/>
    <w:rsid w:val="00515559"/>
    <w:rsid w:val="00515599"/>
    <w:rsid w:val="0051586F"/>
    <w:rsid w:val="00515951"/>
    <w:rsid w:val="005159A2"/>
    <w:rsid w:val="00515A6C"/>
    <w:rsid w:val="00515CF6"/>
    <w:rsid w:val="005166A7"/>
    <w:rsid w:val="00517024"/>
    <w:rsid w:val="005170F9"/>
    <w:rsid w:val="00517533"/>
    <w:rsid w:val="00517BD3"/>
    <w:rsid w:val="00517DD9"/>
    <w:rsid w:val="00517FD7"/>
    <w:rsid w:val="0052004D"/>
    <w:rsid w:val="005205BF"/>
    <w:rsid w:val="00520B0E"/>
    <w:rsid w:val="00520B7B"/>
    <w:rsid w:val="005211AD"/>
    <w:rsid w:val="005212E2"/>
    <w:rsid w:val="0052158D"/>
    <w:rsid w:val="00521616"/>
    <w:rsid w:val="0052176F"/>
    <w:rsid w:val="00521BF8"/>
    <w:rsid w:val="00521C33"/>
    <w:rsid w:val="005227D2"/>
    <w:rsid w:val="00522C3A"/>
    <w:rsid w:val="00523067"/>
    <w:rsid w:val="0052330C"/>
    <w:rsid w:val="005238CE"/>
    <w:rsid w:val="005239F9"/>
    <w:rsid w:val="00523A90"/>
    <w:rsid w:val="00523A99"/>
    <w:rsid w:val="00523E1B"/>
    <w:rsid w:val="00524021"/>
    <w:rsid w:val="005244F3"/>
    <w:rsid w:val="00524C3F"/>
    <w:rsid w:val="005250C5"/>
    <w:rsid w:val="00525119"/>
    <w:rsid w:val="00525508"/>
    <w:rsid w:val="00525543"/>
    <w:rsid w:val="005257B4"/>
    <w:rsid w:val="0052657F"/>
    <w:rsid w:val="00526911"/>
    <w:rsid w:val="00526CC1"/>
    <w:rsid w:val="00526CFC"/>
    <w:rsid w:val="00527216"/>
    <w:rsid w:val="0052752F"/>
    <w:rsid w:val="00527C17"/>
    <w:rsid w:val="00527CC0"/>
    <w:rsid w:val="0053013E"/>
    <w:rsid w:val="00530259"/>
    <w:rsid w:val="0053025B"/>
    <w:rsid w:val="005309B0"/>
    <w:rsid w:val="00530A34"/>
    <w:rsid w:val="00530EFE"/>
    <w:rsid w:val="00531646"/>
    <w:rsid w:val="005316C6"/>
    <w:rsid w:val="00531749"/>
    <w:rsid w:val="00531C05"/>
    <w:rsid w:val="005320E3"/>
    <w:rsid w:val="00532118"/>
    <w:rsid w:val="00532281"/>
    <w:rsid w:val="00532406"/>
    <w:rsid w:val="0053298E"/>
    <w:rsid w:val="00532C6F"/>
    <w:rsid w:val="00532D57"/>
    <w:rsid w:val="00533414"/>
    <w:rsid w:val="005338BC"/>
    <w:rsid w:val="0053396E"/>
    <w:rsid w:val="0053398E"/>
    <w:rsid w:val="00533F78"/>
    <w:rsid w:val="00534532"/>
    <w:rsid w:val="00534F32"/>
    <w:rsid w:val="00534F52"/>
    <w:rsid w:val="00535169"/>
    <w:rsid w:val="00535382"/>
    <w:rsid w:val="0053554C"/>
    <w:rsid w:val="005355A2"/>
    <w:rsid w:val="005355DB"/>
    <w:rsid w:val="005357F4"/>
    <w:rsid w:val="00535D2B"/>
    <w:rsid w:val="00535E4B"/>
    <w:rsid w:val="00537191"/>
    <w:rsid w:val="0053765B"/>
    <w:rsid w:val="00537E03"/>
    <w:rsid w:val="00540055"/>
    <w:rsid w:val="00540364"/>
    <w:rsid w:val="00541074"/>
    <w:rsid w:val="00541335"/>
    <w:rsid w:val="005416D7"/>
    <w:rsid w:val="00541B10"/>
    <w:rsid w:val="00541F59"/>
    <w:rsid w:val="005422AB"/>
    <w:rsid w:val="005424A8"/>
    <w:rsid w:val="00542AFA"/>
    <w:rsid w:val="00542C0B"/>
    <w:rsid w:val="00542C63"/>
    <w:rsid w:val="00542C8E"/>
    <w:rsid w:val="00542D62"/>
    <w:rsid w:val="005436B6"/>
    <w:rsid w:val="00543750"/>
    <w:rsid w:val="00543BB8"/>
    <w:rsid w:val="005446BF"/>
    <w:rsid w:val="00544B49"/>
    <w:rsid w:val="00544D48"/>
    <w:rsid w:val="00544D4A"/>
    <w:rsid w:val="0054531E"/>
    <w:rsid w:val="0054597C"/>
    <w:rsid w:val="00546AE5"/>
    <w:rsid w:val="00546CA9"/>
    <w:rsid w:val="00546F5D"/>
    <w:rsid w:val="00546F80"/>
    <w:rsid w:val="005475BA"/>
    <w:rsid w:val="00547631"/>
    <w:rsid w:val="00547693"/>
    <w:rsid w:val="0054789D"/>
    <w:rsid w:val="00547B1F"/>
    <w:rsid w:val="00547C7E"/>
    <w:rsid w:val="005500FA"/>
    <w:rsid w:val="00550496"/>
    <w:rsid w:val="0055080F"/>
    <w:rsid w:val="00550876"/>
    <w:rsid w:val="00550CEC"/>
    <w:rsid w:val="00550E4C"/>
    <w:rsid w:val="00551B6A"/>
    <w:rsid w:val="00551BE0"/>
    <w:rsid w:val="00551D68"/>
    <w:rsid w:val="00552216"/>
    <w:rsid w:val="0055247F"/>
    <w:rsid w:val="005527B6"/>
    <w:rsid w:val="00552CCB"/>
    <w:rsid w:val="00554348"/>
    <w:rsid w:val="00554798"/>
    <w:rsid w:val="00554971"/>
    <w:rsid w:val="00554BB6"/>
    <w:rsid w:val="00554C22"/>
    <w:rsid w:val="00554D3C"/>
    <w:rsid w:val="00555622"/>
    <w:rsid w:val="005556CC"/>
    <w:rsid w:val="00555C75"/>
    <w:rsid w:val="00555D33"/>
    <w:rsid w:val="00555F57"/>
    <w:rsid w:val="00557C30"/>
    <w:rsid w:val="00557FB2"/>
    <w:rsid w:val="0056062D"/>
    <w:rsid w:val="00560684"/>
    <w:rsid w:val="005606E5"/>
    <w:rsid w:val="00560EBD"/>
    <w:rsid w:val="0056113A"/>
    <w:rsid w:val="00561619"/>
    <w:rsid w:val="0056198B"/>
    <w:rsid w:val="005619F3"/>
    <w:rsid w:val="00561D05"/>
    <w:rsid w:val="00561E3C"/>
    <w:rsid w:val="0056272A"/>
    <w:rsid w:val="0056288B"/>
    <w:rsid w:val="00562C63"/>
    <w:rsid w:val="00562D2E"/>
    <w:rsid w:val="00563367"/>
    <w:rsid w:val="00563A4E"/>
    <w:rsid w:val="00563CD4"/>
    <w:rsid w:val="00563EBE"/>
    <w:rsid w:val="005640BA"/>
    <w:rsid w:val="00564417"/>
    <w:rsid w:val="005645A1"/>
    <w:rsid w:val="0056474F"/>
    <w:rsid w:val="005647EA"/>
    <w:rsid w:val="005648AA"/>
    <w:rsid w:val="00565280"/>
    <w:rsid w:val="005652C0"/>
    <w:rsid w:val="00565B76"/>
    <w:rsid w:val="00565BAF"/>
    <w:rsid w:val="00565C58"/>
    <w:rsid w:val="005663A0"/>
    <w:rsid w:val="005664BD"/>
    <w:rsid w:val="005669FE"/>
    <w:rsid w:val="00566B74"/>
    <w:rsid w:val="00566BCE"/>
    <w:rsid w:val="0056797F"/>
    <w:rsid w:val="00567DF1"/>
    <w:rsid w:val="00567DFE"/>
    <w:rsid w:val="005700EE"/>
    <w:rsid w:val="0057034A"/>
    <w:rsid w:val="005705F5"/>
    <w:rsid w:val="00570E0A"/>
    <w:rsid w:val="00571126"/>
    <w:rsid w:val="005713DC"/>
    <w:rsid w:val="00571695"/>
    <w:rsid w:val="005717DC"/>
    <w:rsid w:val="0057185A"/>
    <w:rsid w:val="00571BDC"/>
    <w:rsid w:val="00572014"/>
    <w:rsid w:val="00572985"/>
    <w:rsid w:val="00572DF3"/>
    <w:rsid w:val="00573136"/>
    <w:rsid w:val="005733D8"/>
    <w:rsid w:val="005737E1"/>
    <w:rsid w:val="00574199"/>
    <w:rsid w:val="00574286"/>
    <w:rsid w:val="00574518"/>
    <w:rsid w:val="005748D9"/>
    <w:rsid w:val="00574BBA"/>
    <w:rsid w:val="00574BDB"/>
    <w:rsid w:val="0057572F"/>
    <w:rsid w:val="00576150"/>
    <w:rsid w:val="00576D77"/>
    <w:rsid w:val="005771BC"/>
    <w:rsid w:val="005771CD"/>
    <w:rsid w:val="00577B15"/>
    <w:rsid w:val="00577BC5"/>
    <w:rsid w:val="00577DC5"/>
    <w:rsid w:val="00580399"/>
    <w:rsid w:val="0058080D"/>
    <w:rsid w:val="0058095C"/>
    <w:rsid w:val="00580B53"/>
    <w:rsid w:val="00580F09"/>
    <w:rsid w:val="0058101E"/>
    <w:rsid w:val="00581060"/>
    <w:rsid w:val="00581A8C"/>
    <w:rsid w:val="00581B4A"/>
    <w:rsid w:val="00582093"/>
    <w:rsid w:val="005821AE"/>
    <w:rsid w:val="00582B08"/>
    <w:rsid w:val="005833FE"/>
    <w:rsid w:val="0058381A"/>
    <w:rsid w:val="00583BB7"/>
    <w:rsid w:val="00583D68"/>
    <w:rsid w:val="00583F34"/>
    <w:rsid w:val="005841E7"/>
    <w:rsid w:val="005841FE"/>
    <w:rsid w:val="00584601"/>
    <w:rsid w:val="00584968"/>
    <w:rsid w:val="00585826"/>
    <w:rsid w:val="005860C2"/>
    <w:rsid w:val="005860F8"/>
    <w:rsid w:val="005865ED"/>
    <w:rsid w:val="0058666B"/>
    <w:rsid w:val="00586702"/>
    <w:rsid w:val="0058670E"/>
    <w:rsid w:val="00587E74"/>
    <w:rsid w:val="00590045"/>
    <w:rsid w:val="005902B8"/>
    <w:rsid w:val="0059046D"/>
    <w:rsid w:val="005907E2"/>
    <w:rsid w:val="00590ABD"/>
    <w:rsid w:val="00590C33"/>
    <w:rsid w:val="00590F9B"/>
    <w:rsid w:val="0059134A"/>
    <w:rsid w:val="005913ED"/>
    <w:rsid w:val="005916BA"/>
    <w:rsid w:val="005917BF"/>
    <w:rsid w:val="00592288"/>
    <w:rsid w:val="00592412"/>
    <w:rsid w:val="0059246F"/>
    <w:rsid w:val="00592501"/>
    <w:rsid w:val="005927C5"/>
    <w:rsid w:val="00592C59"/>
    <w:rsid w:val="00592E27"/>
    <w:rsid w:val="00593170"/>
    <w:rsid w:val="005937A1"/>
    <w:rsid w:val="00593C4D"/>
    <w:rsid w:val="00594022"/>
    <w:rsid w:val="00594946"/>
    <w:rsid w:val="00594FF5"/>
    <w:rsid w:val="00595102"/>
    <w:rsid w:val="00595B0A"/>
    <w:rsid w:val="00595D04"/>
    <w:rsid w:val="00595F36"/>
    <w:rsid w:val="00595F49"/>
    <w:rsid w:val="005965C7"/>
    <w:rsid w:val="00596834"/>
    <w:rsid w:val="00596F9E"/>
    <w:rsid w:val="0059703F"/>
    <w:rsid w:val="005971F7"/>
    <w:rsid w:val="0059743F"/>
    <w:rsid w:val="00597A54"/>
    <w:rsid w:val="005A0346"/>
    <w:rsid w:val="005A0784"/>
    <w:rsid w:val="005A07D6"/>
    <w:rsid w:val="005A0811"/>
    <w:rsid w:val="005A144B"/>
    <w:rsid w:val="005A15D3"/>
    <w:rsid w:val="005A1711"/>
    <w:rsid w:val="005A1AFA"/>
    <w:rsid w:val="005A1E4B"/>
    <w:rsid w:val="005A230E"/>
    <w:rsid w:val="005A26B6"/>
    <w:rsid w:val="005A2C6D"/>
    <w:rsid w:val="005A2D88"/>
    <w:rsid w:val="005A3224"/>
    <w:rsid w:val="005A35C7"/>
    <w:rsid w:val="005A3669"/>
    <w:rsid w:val="005A37A1"/>
    <w:rsid w:val="005A460B"/>
    <w:rsid w:val="005A4657"/>
    <w:rsid w:val="005A4807"/>
    <w:rsid w:val="005A4BB0"/>
    <w:rsid w:val="005A4DFD"/>
    <w:rsid w:val="005A51BA"/>
    <w:rsid w:val="005A5201"/>
    <w:rsid w:val="005A520E"/>
    <w:rsid w:val="005A5534"/>
    <w:rsid w:val="005A5736"/>
    <w:rsid w:val="005A5C11"/>
    <w:rsid w:val="005A5D9E"/>
    <w:rsid w:val="005A5E7C"/>
    <w:rsid w:val="005A5ECD"/>
    <w:rsid w:val="005A60A8"/>
    <w:rsid w:val="005A6224"/>
    <w:rsid w:val="005A6520"/>
    <w:rsid w:val="005A6A8E"/>
    <w:rsid w:val="005A70EF"/>
    <w:rsid w:val="005A734C"/>
    <w:rsid w:val="005A74E0"/>
    <w:rsid w:val="005A75C3"/>
    <w:rsid w:val="005A7696"/>
    <w:rsid w:val="005A76D0"/>
    <w:rsid w:val="005A78F0"/>
    <w:rsid w:val="005A7D84"/>
    <w:rsid w:val="005B0074"/>
    <w:rsid w:val="005B00F8"/>
    <w:rsid w:val="005B060B"/>
    <w:rsid w:val="005B0779"/>
    <w:rsid w:val="005B0A4F"/>
    <w:rsid w:val="005B0A98"/>
    <w:rsid w:val="005B0F2C"/>
    <w:rsid w:val="005B0FE8"/>
    <w:rsid w:val="005B165B"/>
    <w:rsid w:val="005B16DE"/>
    <w:rsid w:val="005B18DB"/>
    <w:rsid w:val="005B1EEA"/>
    <w:rsid w:val="005B2052"/>
    <w:rsid w:val="005B2501"/>
    <w:rsid w:val="005B3593"/>
    <w:rsid w:val="005B368E"/>
    <w:rsid w:val="005B37EF"/>
    <w:rsid w:val="005B3B82"/>
    <w:rsid w:val="005B4733"/>
    <w:rsid w:val="005B4A1E"/>
    <w:rsid w:val="005B4E97"/>
    <w:rsid w:val="005B5022"/>
    <w:rsid w:val="005B549D"/>
    <w:rsid w:val="005B550F"/>
    <w:rsid w:val="005B5A34"/>
    <w:rsid w:val="005B5A78"/>
    <w:rsid w:val="005B5A7B"/>
    <w:rsid w:val="005B5AB2"/>
    <w:rsid w:val="005B6334"/>
    <w:rsid w:val="005B64D2"/>
    <w:rsid w:val="005B659F"/>
    <w:rsid w:val="005B6C1E"/>
    <w:rsid w:val="005B6D17"/>
    <w:rsid w:val="005B6E06"/>
    <w:rsid w:val="005B725E"/>
    <w:rsid w:val="005B7402"/>
    <w:rsid w:val="005B7FB7"/>
    <w:rsid w:val="005C042C"/>
    <w:rsid w:val="005C0797"/>
    <w:rsid w:val="005C0ABF"/>
    <w:rsid w:val="005C0B82"/>
    <w:rsid w:val="005C0C76"/>
    <w:rsid w:val="005C0D08"/>
    <w:rsid w:val="005C1471"/>
    <w:rsid w:val="005C1792"/>
    <w:rsid w:val="005C1835"/>
    <w:rsid w:val="005C1AE3"/>
    <w:rsid w:val="005C1DAE"/>
    <w:rsid w:val="005C219E"/>
    <w:rsid w:val="005C2548"/>
    <w:rsid w:val="005C2A77"/>
    <w:rsid w:val="005C2B6F"/>
    <w:rsid w:val="005C2E47"/>
    <w:rsid w:val="005C38EF"/>
    <w:rsid w:val="005C3AEB"/>
    <w:rsid w:val="005C3E70"/>
    <w:rsid w:val="005C460A"/>
    <w:rsid w:val="005C48AB"/>
    <w:rsid w:val="005C49DC"/>
    <w:rsid w:val="005C50C3"/>
    <w:rsid w:val="005C5103"/>
    <w:rsid w:val="005C5A40"/>
    <w:rsid w:val="005C5B3D"/>
    <w:rsid w:val="005C6138"/>
    <w:rsid w:val="005C61CA"/>
    <w:rsid w:val="005C6216"/>
    <w:rsid w:val="005C69D5"/>
    <w:rsid w:val="005C7912"/>
    <w:rsid w:val="005C7B50"/>
    <w:rsid w:val="005C7E09"/>
    <w:rsid w:val="005D0419"/>
    <w:rsid w:val="005D0446"/>
    <w:rsid w:val="005D0900"/>
    <w:rsid w:val="005D133E"/>
    <w:rsid w:val="005D1549"/>
    <w:rsid w:val="005D1B2D"/>
    <w:rsid w:val="005D2541"/>
    <w:rsid w:val="005D25CB"/>
    <w:rsid w:val="005D26EA"/>
    <w:rsid w:val="005D2777"/>
    <w:rsid w:val="005D2B28"/>
    <w:rsid w:val="005D2CBA"/>
    <w:rsid w:val="005D2F72"/>
    <w:rsid w:val="005D37E8"/>
    <w:rsid w:val="005D3A47"/>
    <w:rsid w:val="005D3BE5"/>
    <w:rsid w:val="005D41AE"/>
    <w:rsid w:val="005D46CD"/>
    <w:rsid w:val="005D4D95"/>
    <w:rsid w:val="005D4F29"/>
    <w:rsid w:val="005D524D"/>
    <w:rsid w:val="005D5D57"/>
    <w:rsid w:val="005D5F46"/>
    <w:rsid w:val="005D5F77"/>
    <w:rsid w:val="005D6A6A"/>
    <w:rsid w:val="005D7253"/>
    <w:rsid w:val="005E01F9"/>
    <w:rsid w:val="005E058E"/>
    <w:rsid w:val="005E07F1"/>
    <w:rsid w:val="005E0AAA"/>
    <w:rsid w:val="005E0BA4"/>
    <w:rsid w:val="005E0DF0"/>
    <w:rsid w:val="005E0F9D"/>
    <w:rsid w:val="005E15DD"/>
    <w:rsid w:val="005E1999"/>
    <w:rsid w:val="005E1C66"/>
    <w:rsid w:val="005E1EDD"/>
    <w:rsid w:val="005E23E2"/>
    <w:rsid w:val="005E269D"/>
    <w:rsid w:val="005E375A"/>
    <w:rsid w:val="005E3A53"/>
    <w:rsid w:val="005E3B4E"/>
    <w:rsid w:val="005E3CF0"/>
    <w:rsid w:val="005E47EB"/>
    <w:rsid w:val="005E4A57"/>
    <w:rsid w:val="005E4B11"/>
    <w:rsid w:val="005E5AE5"/>
    <w:rsid w:val="005E5CFC"/>
    <w:rsid w:val="005E6271"/>
    <w:rsid w:val="005E64B2"/>
    <w:rsid w:val="005E6528"/>
    <w:rsid w:val="005E6798"/>
    <w:rsid w:val="005E6824"/>
    <w:rsid w:val="005E7079"/>
    <w:rsid w:val="005E72B5"/>
    <w:rsid w:val="005E739D"/>
    <w:rsid w:val="005E73F6"/>
    <w:rsid w:val="005E7472"/>
    <w:rsid w:val="005E7963"/>
    <w:rsid w:val="005F02F4"/>
    <w:rsid w:val="005F05AA"/>
    <w:rsid w:val="005F0B8E"/>
    <w:rsid w:val="005F10A5"/>
    <w:rsid w:val="005F13E3"/>
    <w:rsid w:val="005F1713"/>
    <w:rsid w:val="005F1967"/>
    <w:rsid w:val="005F1B38"/>
    <w:rsid w:val="005F22BE"/>
    <w:rsid w:val="005F27D9"/>
    <w:rsid w:val="005F2870"/>
    <w:rsid w:val="005F2871"/>
    <w:rsid w:val="005F2C57"/>
    <w:rsid w:val="005F2D57"/>
    <w:rsid w:val="005F3172"/>
    <w:rsid w:val="005F33D0"/>
    <w:rsid w:val="005F3593"/>
    <w:rsid w:val="005F3926"/>
    <w:rsid w:val="005F3FC7"/>
    <w:rsid w:val="005F44E3"/>
    <w:rsid w:val="005F4C5B"/>
    <w:rsid w:val="005F4D93"/>
    <w:rsid w:val="005F50FA"/>
    <w:rsid w:val="005F51E0"/>
    <w:rsid w:val="005F54AD"/>
    <w:rsid w:val="005F561B"/>
    <w:rsid w:val="005F59A7"/>
    <w:rsid w:val="005F5DA8"/>
    <w:rsid w:val="005F61B8"/>
    <w:rsid w:val="005F61BD"/>
    <w:rsid w:val="005F68BF"/>
    <w:rsid w:val="005F6A6C"/>
    <w:rsid w:val="005F6C6C"/>
    <w:rsid w:val="005F75EE"/>
    <w:rsid w:val="005F77EB"/>
    <w:rsid w:val="005F7991"/>
    <w:rsid w:val="005F7C47"/>
    <w:rsid w:val="0060002D"/>
    <w:rsid w:val="00600264"/>
    <w:rsid w:val="006002F0"/>
    <w:rsid w:val="00600589"/>
    <w:rsid w:val="00600E64"/>
    <w:rsid w:val="00601059"/>
    <w:rsid w:val="0060141B"/>
    <w:rsid w:val="00602949"/>
    <w:rsid w:val="00602B42"/>
    <w:rsid w:val="00602D36"/>
    <w:rsid w:val="00603453"/>
    <w:rsid w:val="00603692"/>
    <w:rsid w:val="00603A34"/>
    <w:rsid w:val="00603A42"/>
    <w:rsid w:val="00603F3E"/>
    <w:rsid w:val="00603FC1"/>
    <w:rsid w:val="00604276"/>
    <w:rsid w:val="00604484"/>
    <w:rsid w:val="006047DE"/>
    <w:rsid w:val="00604CD6"/>
    <w:rsid w:val="00604D4D"/>
    <w:rsid w:val="00604DDB"/>
    <w:rsid w:val="006057A7"/>
    <w:rsid w:val="00606481"/>
    <w:rsid w:val="0060656D"/>
    <w:rsid w:val="00606755"/>
    <w:rsid w:val="00606782"/>
    <w:rsid w:val="006069B7"/>
    <w:rsid w:val="00606DA3"/>
    <w:rsid w:val="00606DA5"/>
    <w:rsid w:val="00606E12"/>
    <w:rsid w:val="00607098"/>
    <w:rsid w:val="0061043E"/>
    <w:rsid w:val="0061055E"/>
    <w:rsid w:val="00610797"/>
    <w:rsid w:val="00610A51"/>
    <w:rsid w:val="00610B0B"/>
    <w:rsid w:val="00610F1B"/>
    <w:rsid w:val="00610F69"/>
    <w:rsid w:val="006112AE"/>
    <w:rsid w:val="0061130A"/>
    <w:rsid w:val="0061157E"/>
    <w:rsid w:val="00611FC7"/>
    <w:rsid w:val="0061249B"/>
    <w:rsid w:val="00612610"/>
    <w:rsid w:val="00612797"/>
    <w:rsid w:val="00612983"/>
    <w:rsid w:val="006133D1"/>
    <w:rsid w:val="0061353E"/>
    <w:rsid w:val="0061385B"/>
    <w:rsid w:val="00613A16"/>
    <w:rsid w:val="00613B0C"/>
    <w:rsid w:val="00613E52"/>
    <w:rsid w:val="006140D3"/>
    <w:rsid w:val="00614133"/>
    <w:rsid w:val="0061438B"/>
    <w:rsid w:val="0061596A"/>
    <w:rsid w:val="00615EF6"/>
    <w:rsid w:val="006162D4"/>
    <w:rsid w:val="006169C2"/>
    <w:rsid w:val="00616FF3"/>
    <w:rsid w:val="006176C0"/>
    <w:rsid w:val="0061771D"/>
    <w:rsid w:val="00617749"/>
    <w:rsid w:val="00617D2E"/>
    <w:rsid w:val="00620501"/>
    <w:rsid w:val="0062080A"/>
    <w:rsid w:val="00620C20"/>
    <w:rsid w:val="00620C49"/>
    <w:rsid w:val="00620EED"/>
    <w:rsid w:val="0062138C"/>
    <w:rsid w:val="00621885"/>
    <w:rsid w:val="00621936"/>
    <w:rsid w:val="00621B22"/>
    <w:rsid w:val="00621F94"/>
    <w:rsid w:val="006220FB"/>
    <w:rsid w:val="00622134"/>
    <w:rsid w:val="00622A73"/>
    <w:rsid w:val="00622F53"/>
    <w:rsid w:val="00622FD2"/>
    <w:rsid w:val="00623314"/>
    <w:rsid w:val="00623357"/>
    <w:rsid w:val="006237FD"/>
    <w:rsid w:val="006239D4"/>
    <w:rsid w:val="00623D43"/>
    <w:rsid w:val="00624555"/>
    <w:rsid w:val="006246CB"/>
    <w:rsid w:val="00624987"/>
    <w:rsid w:val="00624A22"/>
    <w:rsid w:val="00624E24"/>
    <w:rsid w:val="006250DC"/>
    <w:rsid w:val="00625909"/>
    <w:rsid w:val="006261E9"/>
    <w:rsid w:val="00626622"/>
    <w:rsid w:val="00626A93"/>
    <w:rsid w:val="00626DFB"/>
    <w:rsid w:val="00627B3D"/>
    <w:rsid w:val="00627CA9"/>
    <w:rsid w:val="00627F1B"/>
    <w:rsid w:val="006306E4"/>
    <w:rsid w:val="006308D2"/>
    <w:rsid w:val="00630E8B"/>
    <w:rsid w:val="006312AD"/>
    <w:rsid w:val="00632161"/>
    <w:rsid w:val="00632641"/>
    <w:rsid w:val="00632CBD"/>
    <w:rsid w:val="00632E0A"/>
    <w:rsid w:val="00632F78"/>
    <w:rsid w:val="0063305D"/>
    <w:rsid w:val="00633080"/>
    <w:rsid w:val="00633B4A"/>
    <w:rsid w:val="00633EE6"/>
    <w:rsid w:val="0063400C"/>
    <w:rsid w:val="00634039"/>
    <w:rsid w:val="00634460"/>
    <w:rsid w:val="00634473"/>
    <w:rsid w:val="00634DF7"/>
    <w:rsid w:val="0063580D"/>
    <w:rsid w:val="00635CB7"/>
    <w:rsid w:val="006362EA"/>
    <w:rsid w:val="0063632E"/>
    <w:rsid w:val="00636702"/>
    <w:rsid w:val="00636933"/>
    <w:rsid w:val="00636962"/>
    <w:rsid w:val="00636A55"/>
    <w:rsid w:val="00636CBA"/>
    <w:rsid w:val="00637249"/>
    <w:rsid w:val="00640258"/>
    <w:rsid w:val="0064051D"/>
    <w:rsid w:val="0064096B"/>
    <w:rsid w:val="00640B70"/>
    <w:rsid w:val="00640BA7"/>
    <w:rsid w:val="00640D5E"/>
    <w:rsid w:val="00640EA4"/>
    <w:rsid w:val="00641318"/>
    <w:rsid w:val="006414C7"/>
    <w:rsid w:val="006418B6"/>
    <w:rsid w:val="00641C10"/>
    <w:rsid w:val="00641C86"/>
    <w:rsid w:val="00642546"/>
    <w:rsid w:val="006429C8"/>
    <w:rsid w:val="00642BC1"/>
    <w:rsid w:val="00642BC2"/>
    <w:rsid w:val="00642C1E"/>
    <w:rsid w:val="006440B8"/>
    <w:rsid w:val="00644415"/>
    <w:rsid w:val="00644533"/>
    <w:rsid w:val="006446B3"/>
    <w:rsid w:val="0064521F"/>
    <w:rsid w:val="0064542B"/>
    <w:rsid w:val="00645444"/>
    <w:rsid w:val="0064545B"/>
    <w:rsid w:val="00645600"/>
    <w:rsid w:val="00646034"/>
    <w:rsid w:val="006460F0"/>
    <w:rsid w:val="00646C9F"/>
    <w:rsid w:val="006471AC"/>
    <w:rsid w:val="006473C0"/>
    <w:rsid w:val="0064770F"/>
    <w:rsid w:val="00647B8F"/>
    <w:rsid w:val="00647B95"/>
    <w:rsid w:val="0065000E"/>
    <w:rsid w:val="0065002D"/>
    <w:rsid w:val="006501E0"/>
    <w:rsid w:val="006507AD"/>
    <w:rsid w:val="00650850"/>
    <w:rsid w:val="006508A4"/>
    <w:rsid w:val="00650F9A"/>
    <w:rsid w:val="00651020"/>
    <w:rsid w:val="0065148D"/>
    <w:rsid w:val="00651754"/>
    <w:rsid w:val="006519DD"/>
    <w:rsid w:val="00652661"/>
    <w:rsid w:val="006526DC"/>
    <w:rsid w:val="00652E81"/>
    <w:rsid w:val="00653299"/>
    <w:rsid w:val="00653D82"/>
    <w:rsid w:val="0065478F"/>
    <w:rsid w:val="00654A08"/>
    <w:rsid w:val="00654C78"/>
    <w:rsid w:val="00654CD2"/>
    <w:rsid w:val="00654E35"/>
    <w:rsid w:val="00655064"/>
    <w:rsid w:val="006550B5"/>
    <w:rsid w:val="006552E3"/>
    <w:rsid w:val="00656247"/>
    <w:rsid w:val="006566B3"/>
    <w:rsid w:val="0065671C"/>
    <w:rsid w:val="00657473"/>
    <w:rsid w:val="00657630"/>
    <w:rsid w:val="0065769C"/>
    <w:rsid w:val="00657B72"/>
    <w:rsid w:val="006602E8"/>
    <w:rsid w:val="00660B6B"/>
    <w:rsid w:val="00660C20"/>
    <w:rsid w:val="0066169B"/>
    <w:rsid w:val="00661A3D"/>
    <w:rsid w:val="00661CF1"/>
    <w:rsid w:val="00661E7F"/>
    <w:rsid w:val="00661F11"/>
    <w:rsid w:val="0066257E"/>
    <w:rsid w:val="00663081"/>
    <w:rsid w:val="006630D7"/>
    <w:rsid w:val="00663388"/>
    <w:rsid w:val="0066340C"/>
    <w:rsid w:val="006635E0"/>
    <w:rsid w:val="006636F7"/>
    <w:rsid w:val="006639E0"/>
    <w:rsid w:val="00663ACF"/>
    <w:rsid w:val="00663D6E"/>
    <w:rsid w:val="0066412D"/>
    <w:rsid w:val="006642BD"/>
    <w:rsid w:val="00664BC2"/>
    <w:rsid w:val="00665369"/>
    <w:rsid w:val="006654D4"/>
    <w:rsid w:val="006656F5"/>
    <w:rsid w:val="00666068"/>
    <w:rsid w:val="006660E3"/>
    <w:rsid w:val="00666A5B"/>
    <w:rsid w:val="00666BB8"/>
    <w:rsid w:val="00666D3C"/>
    <w:rsid w:val="006671C5"/>
    <w:rsid w:val="00667313"/>
    <w:rsid w:val="0066753B"/>
    <w:rsid w:val="006676DF"/>
    <w:rsid w:val="00667AE5"/>
    <w:rsid w:val="00670664"/>
    <w:rsid w:val="00670704"/>
    <w:rsid w:val="00671535"/>
    <w:rsid w:val="00671625"/>
    <w:rsid w:val="006719E7"/>
    <w:rsid w:val="00672116"/>
    <w:rsid w:val="00672390"/>
    <w:rsid w:val="0067249E"/>
    <w:rsid w:val="0067283D"/>
    <w:rsid w:val="00672B76"/>
    <w:rsid w:val="00672DD5"/>
    <w:rsid w:val="006734E4"/>
    <w:rsid w:val="00673914"/>
    <w:rsid w:val="0067425A"/>
    <w:rsid w:val="00674860"/>
    <w:rsid w:val="00674A48"/>
    <w:rsid w:val="00674E91"/>
    <w:rsid w:val="006755FC"/>
    <w:rsid w:val="00675EA6"/>
    <w:rsid w:val="006763F7"/>
    <w:rsid w:val="006764A8"/>
    <w:rsid w:val="00676673"/>
    <w:rsid w:val="0067686E"/>
    <w:rsid w:val="00676DED"/>
    <w:rsid w:val="0067711C"/>
    <w:rsid w:val="0067792D"/>
    <w:rsid w:val="00677D29"/>
    <w:rsid w:val="00677D7C"/>
    <w:rsid w:val="00680086"/>
    <w:rsid w:val="00680565"/>
    <w:rsid w:val="006805C3"/>
    <w:rsid w:val="00680E95"/>
    <w:rsid w:val="006812D9"/>
    <w:rsid w:val="00681C6F"/>
    <w:rsid w:val="00681EB0"/>
    <w:rsid w:val="00682323"/>
    <w:rsid w:val="00682550"/>
    <w:rsid w:val="00683325"/>
    <w:rsid w:val="006834B1"/>
    <w:rsid w:val="00683558"/>
    <w:rsid w:val="00684483"/>
    <w:rsid w:val="00684795"/>
    <w:rsid w:val="0068495B"/>
    <w:rsid w:val="00684A38"/>
    <w:rsid w:val="00684A48"/>
    <w:rsid w:val="00684C76"/>
    <w:rsid w:val="006852F5"/>
    <w:rsid w:val="00685636"/>
    <w:rsid w:val="00685B4E"/>
    <w:rsid w:val="00685D82"/>
    <w:rsid w:val="0068621C"/>
    <w:rsid w:val="00686285"/>
    <w:rsid w:val="00686305"/>
    <w:rsid w:val="006863E0"/>
    <w:rsid w:val="00686B04"/>
    <w:rsid w:val="00686FE6"/>
    <w:rsid w:val="00687067"/>
    <w:rsid w:val="00687232"/>
    <w:rsid w:val="00687898"/>
    <w:rsid w:val="00687EB1"/>
    <w:rsid w:val="006902C1"/>
    <w:rsid w:val="00690851"/>
    <w:rsid w:val="00690A3F"/>
    <w:rsid w:val="00690D2B"/>
    <w:rsid w:val="0069153E"/>
    <w:rsid w:val="006917D2"/>
    <w:rsid w:val="006920EE"/>
    <w:rsid w:val="00692265"/>
    <w:rsid w:val="0069320A"/>
    <w:rsid w:val="00693352"/>
    <w:rsid w:val="006933DC"/>
    <w:rsid w:val="00693738"/>
    <w:rsid w:val="00693EE7"/>
    <w:rsid w:val="00693FD6"/>
    <w:rsid w:val="0069489B"/>
    <w:rsid w:val="00694AAD"/>
    <w:rsid w:val="00695285"/>
    <w:rsid w:val="006955E5"/>
    <w:rsid w:val="00695D2B"/>
    <w:rsid w:val="00695F9C"/>
    <w:rsid w:val="00696817"/>
    <w:rsid w:val="00696DC4"/>
    <w:rsid w:val="00696F9E"/>
    <w:rsid w:val="00697168"/>
    <w:rsid w:val="006973DC"/>
    <w:rsid w:val="00697A03"/>
    <w:rsid w:val="00697D21"/>
    <w:rsid w:val="00697E92"/>
    <w:rsid w:val="00697ED7"/>
    <w:rsid w:val="00697FFA"/>
    <w:rsid w:val="006A0A75"/>
    <w:rsid w:val="006A0C42"/>
    <w:rsid w:val="006A0E0A"/>
    <w:rsid w:val="006A168F"/>
    <w:rsid w:val="006A1A98"/>
    <w:rsid w:val="006A2838"/>
    <w:rsid w:val="006A2958"/>
    <w:rsid w:val="006A29AA"/>
    <w:rsid w:val="006A2DCB"/>
    <w:rsid w:val="006A2EB0"/>
    <w:rsid w:val="006A333E"/>
    <w:rsid w:val="006A356D"/>
    <w:rsid w:val="006A3718"/>
    <w:rsid w:val="006A3EB7"/>
    <w:rsid w:val="006A4E32"/>
    <w:rsid w:val="006A4EED"/>
    <w:rsid w:val="006A508E"/>
    <w:rsid w:val="006A5163"/>
    <w:rsid w:val="006A55AE"/>
    <w:rsid w:val="006A584C"/>
    <w:rsid w:val="006A5AC0"/>
    <w:rsid w:val="006A5B72"/>
    <w:rsid w:val="006A6AC1"/>
    <w:rsid w:val="006A7A1D"/>
    <w:rsid w:val="006A7AB9"/>
    <w:rsid w:val="006A7AF5"/>
    <w:rsid w:val="006A7C61"/>
    <w:rsid w:val="006A7C87"/>
    <w:rsid w:val="006A7CF0"/>
    <w:rsid w:val="006A7F18"/>
    <w:rsid w:val="006B00CC"/>
    <w:rsid w:val="006B0388"/>
    <w:rsid w:val="006B070C"/>
    <w:rsid w:val="006B0AF3"/>
    <w:rsid w:val="006B0C80"/>
    <w:rsid w:val="006B0D46"/>
    <w:rsid w:val="006B13ED"/>
    <w:rsid w:val="006B16DC"/>
    <w:rsid w:val="006B1964"/>
    <w:rsid w:val="006B27C1"/>
    <w:rsid w:val="006B2B4A"/>
    <w:rsid w:val="006B2CB8"/>
    <w:rsid w:val="006B30E2"/>
    <w:rsid w:val="006B340A"/>
    <w:rsid w:val="006B38CE"/>
    <w:rsid w:val="006B3937"/>
    <w:rsid w:val="006B3E07"/>
    <w:rsid w:val="006B4C13"/>
    <w:rsid w:val="006B4C9C"/>
    <w:rsid w:val="006B4D62"/>
    <w:rsid w:val="006B5273"/>
    <w:rsid w:val="006B52C9"/>
    <w:rsid w:val="006B54DA"/>
    <w:rsid w:val="006B571E"/>
    <w:rsid w:val="006B5CB7"/>
    <w:rsid w:val="006B5E46"/>
    <w:rsid w:val="006B5EEF"/>
    <w:rsid w:val="006B61C1"/>
    <w:rsid w:val="006B6349"/>
    <w:rsid w:val="006B656B"/>
    <w:rsid w:val="006B6E0E"/>
    <w:rsid w:val="006B6E29"/>
    <w:rsid w:val="006B763B"/>
    <w:rsid w:val="006B7653"/>
    <w:rsid w:val="006B78B0"/>
    <w:rsid w:val="006B7D72"/>
    <w:rsid w:val="006B7FDC"/>
    <w:rsid w:val="006C0131"/>
    <w:rsid w:val="006C04B3"/>
    <w:rsid w:val="006C0AC2"/>
    <w:rsid w:val="006C0D07"/>
    <w:rsid w:val="006C11A8"/>
    <w:rsid w:val="006C13AC"/>
    <w:rsid w:val="006C1805"/>
    <w:rsid w:val="006C189E"/>
    <w:rsid w:val="006C1C9D"/>
    <w:rsid w:val="006C1D92"/>
    <w:rsid w:val="006C2998"/>
    <w:rsid w:val="006C2B39"/>
    <w:rsid w:val="006C2CA7"/>
    <w:rsid w:val="006C33C2"/>
    <w:rsid w:val="006C36D6"/>
    <w:rsid w:val="006C4267"/>
    <w:rsid w:val="006C4437"/>
    <w:rsid w:val="006C4543"/>
    <w:rsid w:val="006C4794"/>
    <w:rsid w:val="006C481C"/>
    <w:rsid w:val="006C48BB"/>
    <w:rsid w:val="006C4D27"/>
    <w:rsid w:val="006C5CB0"/>
    <w:rsid w:val="006C5EA6"/>
    <w:rsid w:val="006C6125"/>
    <w:rsid w:val="006C6244"/>
    <w:rsid w:val="006C6436"/>
    <w:rsid w:val="006C65AB"/>
    <w:rsid w:val="006C6AEC"/>
    <w:rsid w:val="006C6D4F"/>
    <w:rsid w:val="006C6DC2"/>
    <w:rsid w:val="006C6EAA"/>
    <w:rsid w:val="006C75E2"/>
    <w:rsid w:val="006C796C"/>
    <w:rsid w:val="006C7D04"/>
    <w:rsid w:val="006C7E84"/>
    <w:rsid w:val="006D07F7"/>
    <w:rsid w:val="006D0D9D"/>
    <w:rsid w:val="006D0E67"/>
    <w:rsid w:val="006D0F40"/>
    <w:rsid w:val="006D0FA3"/>
    <w:rsid w:val="006D1530"/>
    <w:rsid w:val="006D1744"/>
    <w:rsid w:val="006D178D"/>
    <w:rsid w:val="006D17B1"/>
    <w:rsid w:val="006D1AE6"/>
    <w:rsid w:val="006D1F70"/>
    <w:rsid w:val="006D2045"/>
    <w:rsid w:val="006D226A"/>
    <w:rsid w:val="006D2612"/>
    <w:rsid w:val="006D264B"/>
    <w:rsid w:val="006D2757"/>
    <w:rsid w:val="006D2C97"/>
    <w:rsid w:val="006D2D71"/>
    <w:rsid w:val="006D3303"/>
    <w:rsid w:val="006D355E"/>
    <w:rsid w:val="006D3605"/>
    <w:rsid w:val="006D3856"/>
    <w:rsid w:val="006D3FA5"/>
    <w:rsid w:val="006D5064"/>
    <w:rsid w:val="006D5521"/>
    <w:rsid w:val="006D58B8"/>
    <w:rsid w:val="006D5908"/>
    <w:rsid w:val="006D5D0C"/>
    <w:rsid w:val="006D5EC2"/>
    <w:rsid w:val="006D610B"/>
    <w:rsid w:val="006D622A"/>
    <w:rsid w:val="006D6502"/>
    <w:rsid w:val="006D71F4"/>
    <w:rsid w:val="006D7257"/>
    <w:rsid w:val="006D73F5"/>
    <w:rsid w:val="006D7E2C"/>
    <w:rsid w:val="006D7FFB"/>
    <w:rsid w:val="006E01B1"/>
    <w:rsid w:val="006E04C0"/>
    <w:rsid w:val="006E0624"/>
    <w:rsid w:val="006E1272"/>
    <w:rsid w:val="006E161E"/>
    <w:rsid w:val="006E1E35"/>
    <w:rsid w:val="006E2107"/>
    <w:rsid w:val="006E38B5"/>
    <w:rsid w:val="006E44B0"/>
    <w:rsid w:val="006E45EF"/>
    <w:rsid w:val="006E46C3"/>
    <w:rsid w:val="006E4A8A"/>
    <w:rsid w:val="006E4A99"/>
    <w:rsid w:val="006E5932"/>
    <w:rsid w:val="006E59B2"/>
    <w:rsid w:val="006E5AC3"/>
    <w:rsid w:val="006E5DC7"/>
    <w:rsid w:val="006E6096"/>
    <w:rsid w:val="006E633D"/>
    <w:rsid w:val="006E6A65"/>
    <w:rsid w:val="006E6FDF"/>
    <w:rsid w:val="006E7476"/>
    <w:rsid w:val="006E7898"/>
    <w:rsid w:val="006E7972"/>
    <w:rsid w:val="006F00E6"/>
    <w:rsid w:val="006F0385"/>
    <w:rsid w:val="006F0AA0"/>
    <w:rsid w:val="006F0B41"/>
    <w:rsid w:val="006F0B4D"/>
    <w:rsid w:val="006F100F"/>
    <w:rsid w:val="006F134B"/>
    <w:rsid w:val="006F1680"/>
    <w:rsid w:val="006F1AE5"/>
    <w:rsid w:val="006F1BAD"/>
    <w:rsid w:val="006F2833"/>
    <w:rsid w:val="006F2F00"/>
    <w:rsid w:val="006F3590"/>
    <w:rsid w:val="006F3697"/>
    <w:rsid w:val="006F3BB6"/>
    <w:rsid w:val="006F3E03"/>
    <w:rsid w:val="006F3FB6"/>
    <w:rsid w:val="006F4124"/>
    <w:rsid w:val="006F418B"/>
    <w:rsid w:val="006F4394"/>
    <w:rsid w:val="006F44CA"/>
    <w:rsid w:val="006F46CF"/>
    <w:rsid w:val="006F4C35"/>
    <w:rsid w:val="006F53BA"/>
    <w:rsid w:val="006F555D"/>
    <w:rsid w:val="006F59E4"/>
    <w:rsid w:val="006F5D9D"/>
    <w:rsid w:val="006F5E05"/>
    <w:rsid w:val="006F5E97"/>
    <w:rsid w:val="006F671F"/>
    <w:rsid w:val="006F677A"/>
    <w:rsid w:val="006F6843"/>
    <w:rsid w:val="006F6910"/>
    <w:rsid w:val="006F6A8E"/>
    <w:rsid w:val="006F6B0C"/>
    <w:rsid w:val="006F73C8"/>
    <w:rsid w:val="006F74AE"/>
    <w:rsid w:val="006F751B"/>
    <w:rsid w:val="006F7525"/>
    <w:rsid w:val="006F76CF"/>
    <w:rsid w:val="006F77A9"/>
    <w:rsid w:val="006F78A1"/>
    <w:rsid w:val="006F794D"/>
    <w:rsid w:val="006F7950"/>
    <w:rsid w:val="006F7E3D"/>
    <w:rsid w:val="00700306"/>
    <w:rsid w:val="007005D4"/>
    <w:rsid w:val="007007B1"/>
    <w:rsid w:val="00700A2F"/>
    <w:rsid w:val="00700B66"/>
    <w:rsid w:val="00700DE3"/>
    <w:rsid w:val="00701B7B"/>
    <w:rsid w:val="00702834"/>
    <w:rsid w:val="00702CD8"/>
    <w:rsid w:val="00703163"/>
    <w:rsid w:val="00703588"/>
    <w:rsid w:val="00703AF8"/>
    <w:rsid w:val="00703DCC"/>
    <w:rsid w:val="00703FB8"/>
    <w:rsid w:val="007041B0"/>
    <w:rsid w:val="007045C8"/>
    <w:rsid w:val="00704B76"/>
    <w:rsid w:val="00704F51"/>
    <w:rsid w:val="00705851"/>
    <w:rsid w:val="00705CE4"/>
    <w:rsid w:val="00705E82"/>
    <w:rsid w:val="00706724"/>
    <w:rsid w:val="0070694F"/>
    <w:rsid w:val="00706AC5"/>
    <w:rsid w:val="007072F0"/>
    <w:rsid w:val="00707C0C"/>
    <w:rsid w:val="00707ECB"/>
    <w:rsid w:val="007101DC"/>
    <w:rsid w:val="0071020B"/>
    <w:rsid w:val="0071032E"/>
    <w:rsid w:val="00710479"/>
    <w:rsid w:val="007107D3"/>
    <w:rsid w:val="00710851"/>
    <w:rsid w:val="00710FC6"/>
    <w:rsid w:val="00711600"/>
    <w:rsid w:val="00711888"/>
    <w:rsid w:val="007118CA"/>
    <w:rsid w:val="00711B84"/>
    <w:rsid w:val="00711CE4"/>
    <w:rsid w:val="007120D3"/>
    <w:rsid w:val="00712C52"/>
    <w:rsid w:val="00712CEF"/>
    <w:rsid w:val="00713A7F"/>
    <w:rsid w:val="00714325"/>
    <w:rsid w:val="0071457A"/>
    <w:rsid w:val="007147AA"/>
    <w:rsid w:val="007147C0"/>
    <w:rsid w:val="0071484F"/>
    <w:rsid w:val="00715594"/>
    <w:rsid w:val="00715ABC"/>
    <w:rsid w:val="0071661C"/>
    <w:rsid w:val="00716756"/>
    <w:rsid w:val="00717014"/>
    <w:rsid w:val="007173C2"/>
    <w:rsid w:val="00717B43"/>
    <w:rsid w:val="00720188"/>
    <w:rsid w:val="007202FD"/>
    <w:rsid w:val="007209F9"/>
    <w:rsid w:val="00720E8C"/>
    <w:rsid w:val="00720EB4"/>
    <w:rsid w:val="007211A1"/>
    <w:rsid w:val="00721653"/>
    <w:rsid w:val="007216CE"/>
    <w:rsid w:val="00721932"/>
    <w:rsid w:val="00721D45"/>
    <w:rsid w:val="00721DD3"/>
    <w:rsid w:val="007227FA"/>
    <w:rsid w:val="00722931"/>
    <w:rsid w:val="00722F32"/>
    <w:rsid w:val="00722FE8"/>
    <w:rsid w:val="007233A2"/>
    <w:rsid w:val="00724359"/>
    <w:rsid w:val="00724541"/>
    <w:rsid w:val="007245ED"/>
    <w:rsid w:val="007249B6"/>
    <w:rsid w:val="00724A29"/>
    <w:rsid w:val="00724BA9"/>
    <w:rsid w:val="00724C15"/>
    <w:rsid w:val="00724CFC"/>
    <w:rsid w:val="00725038"/>
    <w:rsid w:val="007250F0"/>
    <w:rsid w:val="007251C2"/>
    <w:rsid w:val="007255E4"/>
    <w:rsid w:val="007258DA"/>
    <w:rsid w:val="00725A4C"/>
    <w:rsid w:val="00725A60"/>
    <w:rsid w:val="00725EFA"/>
    <w:rsid w:val="00726025"/>
    <w:rsid w:val="00727B60"/>
    <w:rsid w:val="00727BBF"/>
    <w:rsid w:val="00730162"/>
    <w:rsid w:val="00730E57"/>
    <w:rsid w:val="00730FA4"/>
    <w:rsid w:val="0073153D"/>
    <w:rsid w:val="00731CAD"/>
    <w:rsid w:val="00731D12"/>
    <w:rsid w:val="00731F6E"/>
    <w:rsid w:val="00732211"/>
    <w:rsid w:val="0073232D"/>
    <w:rsid w:val="007324BD"/>
    <w:rsid w:val="00732993"/>
    <w:rsid w:val="007330E0"/>
    <w:rsid w:val="0073311E"/>
    <w:rsid w:val="00733516"/>
    <w:rsid w:val="007336BC"/>
    <w:rsid w:val="00733EC5"/>
    <w:rsid w:val="007343E2"/>
    <w:rsid w:val="0073466F"/>
    <w:rsid w:val="00734BC6"/>
    <w:rsid w:val="00735793"/>
    <w:rsid w:val="007363CF"/>
    <w:rsid w:val="0073666E"/>
    <w:rsid w:val="0073669B"/>
    <w:rsid w:val="0073692B"/>
    <w:rsid w:val="007369B9"/>
    <w:rsid w:val="00736B9C"/>
    <w:rsid w:val="00737854"/>
    <w:rsid w:val="00737917"/>
    <w:rsid w:val="00737A70"/>
    <w:rsid w:val="007404EC"/>
    <w:rsid w:val="007408FC"/>
    <w:rsid w:val="00740A8D"/>
    <w:rsid w:val="00740AAB"/>
    <w:rsid w:val="007411F9"/>
    <w:rsid w:val="007418A3"/>
    <w:rsid w:val="00741F14"/>
    <w:rsid w:val="00742096"/>
    <w:rsid w:val="0074231C"/>
    <w:rsid w:val="0074245B"/>
    <w:rsid w:val="0074285E"/>
    <w:rsid w:val="00742E30"/>
    <w:rsid w:val="00742E45"/>
    <w:rsid w:val="00742ECF"/>
    <w:rsid w:val="00743B3D"/>
    <w:rsid w:val="00743B72"/>
    <w:rsid w:val="00743C27"/>
    <w:rsid w:val="0074415D"/>
    <w:rsid w:val="0074455A"/>
    <w:rsid w:val="00744674"/>
    <w:rsid w:val="00744702"/>
    <w:rsid w:val="007448DD"/>
    <w:rsid w:val="00744BAF"/>
    <w:rsid w:val="00744EF6"/>
    <w:rsid w:val="00745A9B"/>
    <w:rsid w:val="0074644B"/>
    <w:rsid w:val="007468FC"/>
    <w:rsid w:val="00746CEA"/>
    <w:rsid w:val="00746E23"/>
    <w:rsid w:val="00747320"/>
    <w:rsid w:val="007473FC"/>
    <w:rsid w:val="00747B1D"/>
    <w:rsid w:val="00747C48"/>
    <w:rsid w:val="00747C4F"/>
    <w:rsid w:val="0075004C"/>
    <w:rsid w:val="007501DC"/>
    <w:rsid w:val="007504B5"/>
    <w:rsid w:val="00750572"/>
    <w:rsid w:val="00750655"/>
    <w:rsid w:val="00750822"/>
    <w:rsid w:val="00750849"/>
    <w:rsid w:val="00750A24"/>
    <w:rsid w:val="007517E1"/>
    <w:rsid w:val="00751835"/>
    <w:rsid w:val="00751C7E"/>
    <w:rsid w:val="00751D5B"/>
    <w:rsid w:val="00751F14"/>
    <w:rsid w:val="0075280F"/>
    <w:rsid w:val="00752DEA"/>
    <w:rsid w:val="00752E9D"/>
    <w:rsid w:val="0075302D"/>
    <w:rsid w:val="007530B2"/>
    <w:rsid w:val="00753162"/>
    <w:rsid w:val="00753549"/>
    <w:rsid w:val="00753E9A"/>
    <w:rsid w:val="00753EF8"/>
    <w:rsid w:val="00753F96"/>
    <w:rsid w:val="00754D61"/>
    <w:rsid w:val="00754EC1"/>
    <w:rsid w:val="00754ED2"/>
    <w:rsid w:val="00754FAB"/>
    <w:rsid w:val="0075546E"/>
    <w:rsid w:val="00755829"/>
    <w:rsid w:val="0075586C"/>
    <w:rsid w:val="0075596D"/>
    <w:rsid w:val="007559E9"/>
    <w:rsid w:val="00755BA6"/>
    <w:rsid w:val="00756C1E"/>
    <w:rsid w:val="00756E1F"/>
    <w:rsid w:val="00757291"/>
    <w:rsid w:val="00757629"/>
    <w:rsid w:val="00757652"/>
    <w:rsid w:val="00757FDD"/>
    <w:rsid w:val="00757FF5"/>
    <w:rsid w:val="00760FC0"/>
    <w:rsid w:val="007615D4"/>
    <w:rsid w:val="00761A23"/>
    <w:rsid w:val="00761D6B"/>
    <w:rsid w:val="00761EFE"/>
    <w:rsid w:val="0076224C"/>
    <w:rsid w:val="00762841"/>
    <w:rsid w:val="00762A7A"/>
    <w:rsid w:val="00762C53"/>
    <w:rsid w:val="00762DFB"/>
    <w:rsid w:val="007632A6"/>
    <w:rsid w:val="00763EFF"/>
    <w:rsid w:val="007641C0"/>
    <w:rsid w:val="007646ED"/>
    <w:rsid w:val="00764A6A"/>
    <w:rsid w:val="00764B03"/>
    <w:rsid w:val="00764BCE"/>
    <w:rsid w:val="00764CA8"/>
    <w:rsid w:val="00765644"/>
    <w:rsid w:val="00765B53"/>
    <w:rsid w:val="00765F62"/>
    <w:rsid w:val="00766D12"/>
    <w:rsid w:val="00766F36"/>
    <w:rsid w:val="00766FAB"/>
    <w:rsid w:val="00766FFA"/>
    <w:rsid w:val="00767839"/>
    <w:rsid w:val="00767A57"/>
    <w:rsid w:val="00767D21"/>
    <w:rsid w:val="00770444"/>
    <w:rsid w:val="007706A1"/>
    <w:rsid w:val="00770719"/>
    <w:rsid w:val="00770DC9"/>
    <w:rsid w:val="00770EFB"/>
    <w:rsid w:val="00771529"/>
    <w:rsid w:val="0077173D"/>
    <w:rsid w:val="00771AF3"/>
    <w:rsid w:val="00771B93"/>
    <w:rsid w:val="00771C13"/>
    <w:rsid w:val="0077252F"/>
    <w:rsid w:val="00772B57"/>
    <w:rsid w:val="007732AF"/>
    <w:rsid w:val="007736B6"/>
    <w:rsid w:val="00774109"/>
    <w:rsid w:val="00774485"/>
    <w:rsid w:val="0077458B"/>
    <w:rsid w:val="00774EDC"/>
    <w:rsid w:val="00774F1A"/>
    <w:rsid w:val="007751AD"/>
    <w:rsid w:val="0077599A"/>
    <w:rsid w:val="00776AD4"/>
    <w:rsid w:val="00776EFA"/>
    <w:rsid w:val="00777306"/>
    <w:rsid w:val="00777319"/>
    <w:rsid w:val="007779FB"/>
    <w:rsid w:val="00780480"/>
    <w:rsid w:val="007807B2"/>
    <w:rsid w:val="007807ED"/>
    <w:rsid w:val="0078101E"/>
    <w:rsid w:val="007810BF"/>
    <w:rsid w:val="0078199D"/>
    <w:rsid w:val="00781B46"/>
    <w:rsid w:val="007823DF"/>
    <w:rsid w:val="007826CB"/>
    <w:rsid w:val="00782808"/>
    <w:rsid w:val="00783204"/>
    <w:rsid w:val="0078333C"/>
    <w:rsid w:val="007834C5"/>
    <w:rsid w:val="00783594"/>
    <w:rsid w:val="00783DE8"/>
    <w:rsid w:val="00784263"/>
    <w:rsid w:val="007842A1"/>
    <w:rsid w:val="00784328"/>
    <w:rsid w:val="0078435A"/>
    <w:rsid w:val="007853AE"/>
    <w:rsid w:val="00785478"/>
    <w:rsid w:val="007854D7"/>
    <w:rsid w:val="00785517"/>
    <w:rsid w:val="007856E6"/>
    <w:rsid w:val="00785AA1"/>
    <w:rsid w:val="00785E3A"/>
    <w:rsid w:val="00786172"/>
    <w:rsid w:val="00787102"/>
    <w:rsid w:val="0078735B"/>
    <w:rsid w:val="00787C96"/>
    <w:rsid w:val="00787CED"/>
    <w:rsid w:val="007900ED"/>
    <w:rsid w:val="0079041E"/>
    <w:rsid w:val="00791054"/>
    <w:rsid w:val="007910CC"/>
    <w:rsid w:val="0079135D"/>
    <w:rsid w:val="00791C90"/>
    <w:rsid w:val="00791E8A"/>
    <w:rsid w:val="007920F3"/>
    <w:rsid w:val="0079227E"/>
    <w:rsid w:val="00792894"/>
    <w:rsid w:val="00792B29"/>
    <w:rsid w:val="00792C24"/>
    <w:rsid w:val="00793172"/>
    <w:rsid w:val="00793364"/>
    <w:rsid w:val="0079376F"/>
    <w:rsid w:val="00793CAE"/>
    <w:rsid w:val="00793CC8"/>
    <w:rsid w:val="00793CE4"/>
    <w:rsid w:val="00793DD5"/>
    <w:rsid w:val="00793E06"/>
    <w:rsid w:val="00793E39"/>
    <w:rsid w:val="00793F73"/>
    <w:rsid w:val="007946E8"/>
    <w:rsid w:val="007947BF"/>
    <w:rsid w:val="00794AFB"/>
    <w:rsid w:val="00794CC0"/>
    <w:rsid w:val="00794E5C"/>
    <w:rsid w:val="00794FB8"/>
    <w:rsid w:val="0079519D"/>
    <w:rsid w:val="0079522A"/>
    <w:rsid w:val="0079547E"/>
    <w:rsid w:val="00795D7A"/>
    <w:rsid w:val="00796453"/>
    <w:rsid w:val="007964FC"/>
    <w:rsid w:val="00796D4E"/>
    <w:rsid w:val="00796F86"/>
    <w:rsid w:val="007974D9"/>
    <w:rsid w:val="007975AF"/>
    <w:rsid w:val="007976F3"/>
    <w:rsid w:val="007A0109"/>
    <w:rsid w:val="007A0716"/>
    <w:rsid w:val="007A098E"/>
    <w:rsid w:val="007A0E0F"/>
    <w:rsid w:val="007A0F36"/>
    <w:rsid w:val="007A0FC3"/>
    <w:rsid w:val="007A1141"/>
    <w:rsid w:val="007A18D7"/>
    <w:rsid w:val="007A198F"/>
    <w:rsid w:val="007A19CB"/>
    <w:rsid w:val="007A19D2"/>
    <w:rsid w:val="007A1B53"/>
    <w:rsid w:val="007A2219"/>
    <w:rsid w:val="007A24FB"/>
    <w:rsid w:val="007A2D03"/>
    <w:rsid w:val="007A300D"/>
    <w:rsid w:val="007A3746"/>
    <w:rsid w:val="007A3AD0"/>
    <w:rsid w:val="007A3E87"/>
    <w:rsid w:val="007A44B3"/>
    <w:rsid w:val="007A49B2"/>
    <w:rsid w:val="007A56A3"/>
    <w:rsid w:val="007A5D2D"/>
    <w:rsid w:val="007A5F70"/>
    <w:rsid w:val="007A5F72"/>
    <w:rsid w:val="007A5F83"/>
    <w:rsid w:val="007A627A"/>
    <w:rsid w:val="007A7E9F"/>
    <w:rsid w:val="007A7F46"/>
    <w:rsid w:val="007B0004"/>
    <w:rsid w:val="007B0021"/>
    <w:rsid w:val="007B074B"/>
    <w:rsid w:val="007B0FE9"/>
    <w:rsid w:val="007B105E"/>
    <w:rsid w:val="007B15A2"/>
    <w:rsid w:val="007B1647"/>
    <w:rsid w:val="007B16BA"/>
    <w:rsid w:val="007B1740"/>
    <w:rsid w:val="007B1A14"/>
    <w:rsid w:val="007B1A6A"/>
    <w:rsid w:val="007B1CF1"/>
    <w:rsid w:val="007B2074"/>
    <w:rsid w:val="007B25D9"/>
    <w:rsid w:val="007B275D"/>
    <w:rsid w:val="007B2D12"/>
    <w:rsid w:val="007B2EED"/>
    <w:rsid w:val="007B32A2"/>
    <w:rsid w:val="007B3822"/>
    <w:rsid w:val="007B3CF3"/>
    <w:rsid w:val="007B40BA"/>
    <w:rsid w:val="007B40CD"/>
    <w:rsid w:val="007B47BC"/>
    <w:rsid w:val="007B4FF5"/>
    <w:rsid w:val="007B5562"/>
    <w:rsid w:val="007B5607"/>
    <w:rsid w:val="007B5714"/>
    <w:rsid w:val="007B5967"/>
    <w:rsid w:val="007B6A26"/>
    <w:rsid w:val="007B6BA1"/>
    <w:rsid w:val="007B75DD"/>
    <w:rsid w:val="007C0B5F"/>
    <w:rsid w:val="007C0CCD"/>
    <w:rsid w:val="007C0F10"/>
    <w:rsid w:val="007C1381"/>
    <w:rsid w:val="007C1407"/>
    <w:rsid w:val="007C149C"/>
    <w:rsid w:val="007C253E"/>
    <w:rsid w:val="007C27D9"/>
    <w:rsid w:val="007C2A9E"/>
    <w:rsid w:val="007C2F67"/>
    <w:rsid w:val="007C315B"/>
    <w:rsid w:val="007C31AE"/>
    <w:rsid w:val="007C32B9"/>
    <w:rsid w:val="007C398B"/>
    <w:rsid w:val="007C3B97"/>
    <w:rsid w:val="007C3E86"/>
    <w:rsid w:val="007C3F73"/>
    <w:rsid w:val="007C4E23"/>
    <w:rsid w:val="007C518A"/>
    <w:rsid w:val="007C54FF"/>
    <w:rsid w:val="007C563C"/>
    <w:rsid w:val="007C56BE"/>
    <w:rsid w:val="007C56DD"/>
    <w:rsid w:val="007C5A8C"/>
    <w:rsid w:val="007C5D6B"/>
    <w:rsid w:val="007C64E8"/>
    <w:rsid w:val="007C6517"/>
    <w:rsid w:val="007C67E9"/>
    <w:rsid w:val="007C6C45"/>
    <w:rsid w:val="007C6CE4"/>
    <w:rsid w:val="007C6DBB"/>
    <w:rsid w:val="007C6FC5"/>
    <w:rsid w:val="007C7123"/>
    <w:rsid w:val="007C74CE"/>
    <w:rsid w:val="007C7744"/>
    <w:rsid w:val="007D0416"/>
    <w:rsid w:val="007D0EE5"/>
    <w:rsid w:val="007D114D"/>
    <w:rsid w:val="007D1411"/>
    <w:rsid w:val="007D196F"/>
    <w:rsid w:val="007D2061"/>
    <w:rsid w:val="007D233A"/>
    <w:rsid w:val="007D2516"/>
    <w:rsid w:val="007D2BDE"/>
    <w:rsid w:val="007D2DE8"/>
    <w:rsid w:val="007D3217"/>
    <w:rsid w:val="007D32CA"/>
    <w:rsid w:val="007D3B1E"/>
    <w:rsid w:val="007D3D2C"/>
    <w:rsid w:val="007D3D4F"/>
    <w:rsid w:val="007D3F50"/>
    <w:rsid w:val="007D43FB"/>
    <w:rsid w:val="007D44B5"/>
    <w:rsid w:val="007D5202"/>
    <w:rsid w:val="007D5718"/>
    <w:rsid w:val="007D59D3"/>
    <w:rsid w:val="007D5F95"/>
    <w:rsid w:val="007D6961"/>
    <w:rsid w:val="007D6DEB"/>
    <w:rsid w:val="007D72D1"/>
    <w:rsid w:val="007D73B0"/>
    <w:rsid w:val="007D7878"/>
    <w:rsid w:val="007E07D8"/>
    <w:rsid w:val="007E0A88"/>
    <w:rsid w:val="007E0BE0"/>
    <w:rsid w:val="007E0D27"/>
    <w:rsid w:val="007E144B"/>
    <w:rsid w:val="007E15B0"/>
    <w:rsid w:val="007E17D4"/>
    <w:rsid w:val="007E18A4"/>
    <w:rsid w:val="007E1A25"/>
    <w:rsid w:val="007E1D23"/>
    <w:rsid w:val="007E1EEF"/>
    <w:rsid w:val="007E2303"/>
    <w:rsid w:val="007E3103"/>
    <w:rsid w:val="007E33C5"/>
    <w:rsid w:val="007E45D3"/>
    <w:rsid w:val="007E46B8"/>
    <w:rsid w:val="007E46F7"/>
    <w:rsid w:val="007E48F7"/>
    <w:rsid w:val="007E4F46"/>
    <w:rsid w:val="007E505D"/>
    <w:rsid w:val="007E5467"/>
    <w:rsid w:val="007E5960"/>
    <w:rsid w:val="007E5A64"/>
    <w:rsid w:val="007E5C0F"/>
    <w:rsid w:val="007E6058"/>
    <w:rsid w:val="007E6862"/>
    <w:rsid w:val="007E7086"/>
    <w:rsid w:val="007E73E1"/>
    <w:rsid w:val="007E7B7D"/>
    <w:rsid w:val="007E7DCF"/>
    <w:rsid w:val="007F044C"/>
    <w:rsid w:val="007F0E52"/>
    <w:rsid w:val="007F19C0"/>
    <w:rsid w:val="007F1D05"/>
    <w:rsid w:val="007F1F69"/>
    <w:rsid w:val="007F2326"/>
    <w:rsid w:val="007F2374"/>
    <w:rsid w:val="007F261B"/>
    <w:rsid w:val="007F27F0"/>
    <w:rsid w:val="007F2E62"/>
    <w:rsid w:val="007F46F4"/>
    <w:rsid w:val="007F4A79"/>
    <w:rsid w:val="007F4E62"/>
    <w:rsid w:val="007F54BA"/>
    <w:rsid w:val="007F5E3F"/>
    <w:rsid w:val="007F608A"/>
    <w:rsid w:val="007F6BA6"/>
    <w:rsid w:val="007F7220"/>
    <w:rsid w:val="007F7787"/>
    <w:rsid w:val="007F7BB3"/>
    <w:rsid w:val="007F7EB6"/>
    <w:rsid w:val="008002DC"/>
    <w:rsid w:val="008008ED"/>
    <w:rsid w:val="00800F2A"/>
    <w:rsid w:val="00800F46"/>
    <w:rsid w:val="008010CC"/>
    <w:rsid w:val="008019E5"/>
    <w:rsid w:val="00801E46"/>
    <w:rsid w:val="008023F0"/>
    <w:rsid w:val="00802755"/>
    <w:rsid w:val="008027CE"/>
    <w:rsid w:val="00802E1A"/>
    <w:rsid w:val="0080327C"/>
    <w:rsid w:val="0080393D"/>
    <w:rsid w:val="00803CE8"/>
    <w:rsid w:val="00803E0B"/>
    <w:rsid w:val="008041AE"/>
    <w:rsid w:val="00804392"/>
    <w:rsid w:val="00804D47"/>
    <w:rsid w:val="00804D9B"/>
    <w:rsid w:val="0080504F"/>
    <w:rsid w:val="0080516A"/>
    <w:rsid w:val="008056DE"/>
    <w:rsid w:val="00805A65"/>
    <w:rsid w:val="0080665C"/>
    <w:rsid w:val="00806EB6"/>
    <w:rsid w:val="0080725B"/>
    <w:rsid w:val="008072FB"/>
    <w:rsid w:val="00807BC2"/>
    <w:rsid w:val="00807E9B"/>
    <w:rsid w:val="008103BD"/>
    <w:rsid w:val="008105BF"/>
    <w:rsid w:val="0081062A"/>
    <w:rsid w:val="0081066B"/>
    <w:rsid w:val="008108F0"/>
    <w:rsid w:val="00810D22"/>
    <w:rsid w:val="00811559"/>
    <w:rsid w:val="00811798"/>
    <w:rsid w:val="00811F0B"/>
    <w:rsid w:val="008124FC"/>
    <w:rsid w:val="00812C46"/>
    <w:rsid w:val="00812C4F"/>
    <w:rsid w:val="0081307D"/>
    <w:rsid w:val="0081337C"/>
    <w:rsid w:val="008137AC"/>
    <w:rsid w:val="00813C16"/>
    <w:rsid w:val="00813D8F"/>
    <w:rsid w:val="00814570"/>
    <w:rsid w:val="00815147"/>
    <w:rsid w:val="00815D34"/>
    <w:rsid w:val="00815E0B"/>
    <w:rsid w:val="0081604F"/>
    <w:rsid w:val="008162DD"/>
    <w:rsid w:val="00816632"/>
    <w:rsid w:val="00816C4C"/>
    <w:rsid w:val="00816E4E"/>
    <w:rsid w:val="00817138"/>
    <w:rsid w:val="00817AA6"/>
    <w:rsid w:val="00817B67"/>
    <w:rsid w:val="00817D62"/>
    <w:rsid w:val="00820F7A"/>
    <w:rsid w:val="00821055"/>
    <w:rsid w:val="008211DB"/>
    <w:rsid w:val="008214DD"/>
    <w:rsid w:val="00821886"/>
    <w:rsid w:val="00821CA2"/>
    <w:rsid w:val="00821ED4"/>
    <w:rsid w:val="0082228F"/>
    <w:rsid w:val="00822AB8"/>
    <w:rsid w:val="00823010"/>
    <w:rsid w:val="008230AD"/>
    <w:rsid w:val="00823558"/>
    <w:rsid w:val="00823FFD"/>
    <w:rsid w:val="008241A1"/>
    <w:rsid w:val="0082451E"/>
    <w:rsid w:val="00824731"/>
    <w:rsid w:val="00824BE3"/>
    <w:rsid w:val="00824CD7"/>
    <w:rsid w:val="00824F28"/>
    <w:rsid w:val="008256D2"/>
    <w:rsid w:val="008259DF"/>
    <w:rsid w:val="00825AA9"/>
    <w:rsid w:val="0082602F"/>
    <w:rsid w:val="008265E0"/>
    <w:rsid w:val="00826930"/>
    <w:rsid w:val="00826A0C"/>
    <w:rsid w:val="00826D77"/>
    <w:rsid w:val="008270D9"/>
    <w:rsid w:val="008272B0"/>
    <w:rsid w:val="008275BB"/>
    <w:rsid w:val="00827A22"/>
    <w:rsid w:val="00827B8B"/>
    <w:rsid w:val="00830435"/>
    <w:rsid w:val="008305CB"/>
    <w:rsid w:val="008308E9"/>
    <w:rsid w:val="008311F0"/>
    <w:rsid w:val="00831348"/>
    <w:rsid w:val="008314CE"/>
    <w:rsid w:val="00831817"/>
    <w:rsid w:val="00831A90"/>
    <w:rsid w:val="00831BF7"/>
    <w:rsid w:val="00831D75"/>
    <w:rsid w:val="00831E47"/>
    <w:rsid w:val="00832CCC"/>
    <w:rsid w:val="00832DF1"/>
    <w:rsid w:val="008334EB"/>
    <w:rsid w:val="00833531"/>
    <w:rsid w:val="00833562"/>
    <w:rsid w:val="00833581"/>
    <w:rsid w:val="008337CF"/>
    <w:rsid w:val="008339F4"/>
    <w:rsid w:val="00833BA3"/>
    <w:rsid w:val="00833F00"/>
    <w:rsid w:val="0083486C"/>
    <w:rsid w:val="00834AF2"/>
    <w:rsid w:val="00834BF3"/>
    <w:rsid w:val="00834C2C"/>
    <w:rsid w:val="00834CBE"/>
    <w:rsid w:val="00835783"/>
    <w:rsid w:val="00836EC5"/>
    <w:rsid w:val="00837023"/>
    <w:rsid w:val="00837276"/>
    <w:rsid w:val="008378F3"/>
    <w:rsid w:val="00837F74"/>
    <w:rsid w:val="008404C3"/>
    <w:rsid w:val="00840537"/>
    <w:rsid w:val="008409C6"/>
    <w:rsid w:val="00841782"/>
    <w:rsid w:val="00841E89"/>
    <w:rsid w:val="00842050"/>
    <w:rsid w:val="008420BF"/>
    <w:rsid w:val="0084259B"/>
    <w:rsid w:val="00842AD5"/>
    <w:rsid w:val="008434C8"/>
    <w:rsid w:val="00843976"/>
    <w:rsid w:val="00843A3F"/>
    <w:rsid w:val="00843AE1"/>
    <w:rsid w:val="0084408A"/>
    <w:rsid w:val="0084414E"/>
    <w:rsid w:val="008446FB"/>
    <w:rsid w:val="00844733"/>
    <w:rsid w:val="00844D14"/>
    <w:rsid w:val="00844D55"/>
    <w:rsid w:val="0084522D"/>
    <w:rsid w:val="008454D5"/>
    <w:rsid w:val="00845A13"/>
    <w:rsid w:val="00845CA8"/>
    <w:rsid w:val="00845DBF"/>
    <w:rsid w:val="008463A8"/>
    <w:rsid w:val="008463E6"/>
    <w:rsid w:val="0084671C"/>
    <w:rsid w:val="0084695D"/>
    <w:rsid w:val="00846A89"/>
    <w:rsid w:val="008473BC"/>
    <w:rsid w:val="0084757A"/>
    <w:rsid w:val="00847DD1"/>
    <w:rsid w:val="00847EBE"/>
    <w:rsid w:val="0085000B"/>
    <w:rsid w:val="00850210"/>
    <w:rsid w:val="008502B7"/>
    <w:rsid w:val="00850383"/>
    <w:rsid w:val="00850492"/>
    <w:rsid w:val="0085061A"/>
    <w:rsid w:val="00850D4A"/>
    <w:rsid w:val="00850E04"/>
    <w:rsid w:val="00851057"/>
    <w:rsid w:val="008511D5"/>
    <w:rsid w:val="00851F2B"/>
    <w:rsid w:val="0085213F"/>
    <w:rsid w:val="00852309"/>
    <w:rsid w:val="0085295A"/>
    <w:rsid w:val="00852C98"/>
    <w:rsid w:val="0085310E"/>
    <w:rsid w:val="00853893"/>
    <w:rsid w:val="00853A6D"/>
    <w:rsid w:val="00853E46"/>
    <w:rsid w:val="00854067"/>
    <w:rsid w:val="00854954"/>
    <w:rsid w:val="00854995"/>
    <w:rsid w:val="008549BA"/>
    <w:rsid w:val="00854B70"/>
    <w:rsid w:val="0085592B"/>
    <w:rsid w:val="0085683D"/>
    <w:rsid w:val="008568AF"/>
    <w:rsid w:val="00856959"/>
    <w:rsid w:val="00856B41"/>
    <w:rsid w:val="00857974"/>
    <w:rsid w:val="00860050"/>
    <w:rsid w:val="0086020C"/>
    <w:rsid w:val="008602A8"/>
    <w:rsid w:val="0086081A"/>
    <w:rsid w:val="00860A0F"/>
    <w:rsid w:val="00860EFF"/>
    <w:rsid w:val="00862098"/>
    <w:rsid w:val="008625C5"/>
    <w:rsid w:val="0086263B"/>
    <w:rsid w:val="00862874"/>
    <w:rsid w:val="00862972"/>
    <w:rsid w:val="00862F3A"/>
    <w:rsid w:val="0086370A"/>
    <w:rsid w:val="00863B7E"/>
    <w:rsid w:val="00863BC5"/>
    <w:rsid w:val="00863C6B"/>
    <w:rsid w:val="00864255"/>
    <w:rsid w:val="008645F5"/>
    <w:rsid w:val="00864756"/>
    <w:rsid w:val="00864822"/>
    <w:rsid w:val="008648E8"/>
    <w:rsid w:val="00864CE8"/>
    <w:rsid w:val="00864E4C"/>
    <w:rsid w:val="00864E84"/>
    <w:rsid w:val="00865233"/>
    <w:rsid w:val="0086586A"/>
    <w:rsid w:val="00865B59"/>
    <w:rsid w:val="00866232"/>
    <w:rsid w:val="008666BE"/>
    <w:rsid w:val="00866DDD"/>
    <w:rsid w:val="00866F37"/>
    <w:rsid w:val="00867210"/>
    <w:rsid w:val="00867266"/>
    <w:rsid w:val="008675AE"/>
    <w:rsid w:val="008677E4"/>
    <w:rsid w:val="00867A66"/>
    <w:rsid w:val="00867B09"/>
    <w:rsid w:val="00867CA1"/>
    <w:rsid w:val="00867D7D"/>
    <w:rsid w:val="008700DF"/>
    <w:rsid w:val="00870120"/>
    <w:rsid w:val="008706D1"/>
    <w:rsid w:val="00870B7B"/>
    <w:rsid w:val="00870BDC"/>
    <w:rsid w:val="00870BFA"/>
    <w:rsid w:val="00870E39"/>
    <w:rsid w:val="00870F91"/>
    <w:rsid w:val="00871CB2"/>
    <w:rsid w:val="00871E43"/>
    <w:rsid w:val="00871EDA"/>
    <w:rsid w:val="008723BC"/>
    <w:rsid w:val="00872460"/>
    <w:rsid w:val="00872758"/>
    <w:rsid w:val="00872BAC"/>
    <w:rsid w:val="00873B4B"/>
    <w:rsid w:val="00873E8B"/>
    <w:rsid w:val="0087477E"/>
    <w:rsid w:val="0087483A"/>
    <w:rsid w:val="00874ADA"/>
    <w:rsid w:val="00874B69"/>
    <w:rsid w:val="008753D4"/>
    <w:rsid w:val="008755F7"/>
    <w:rsid w:val="00875805"/>
    <w:rsid w:val="00875AF4"/>
    <w:rsid w:val="00875C4A"/>
    <w:rsid w:val="0087614F"/>
    <w:rsid w:val="0087625B"/>
    <w:rsid w:val="0087659A"/>
    <w:rsid w:val="008765C2"/>
    <w:rsid w:val="00876FAB"/>
    <w:rsid w:val="00877B7B"/>
    <w:rsid w:val="00877C97"/>
    <w:rsid w:val="00880531"/>
    <w:rsid w:val="0088080C"/>
    <w:rsid w:val="008809B0"/>
    <w:rsid w:val="00880A34"/>
    <w:rsid w:val="00880F6A"/>
    <w:rsid w:val="00881029"/>
    <w:rsid w:val="00881B58"/>
    <w:rsid w:val="00881DE1"/>
    <w:rsid w:val="00882047"/>
    <w:rsid w:val="008821EF"/>
    <w:rsid w:val="0088243D"/>
    <w:rsid w:val="0088262F"/>
    <w:rsid w:val="008826FA"/>
    <w:rsid w:val="00882827"/>
    <w:rsid w:val="00882E30"/>
    <w:rsid w:val="00882E93"/>
    <w:rsid w:val="00882F0A"/>
    <w:rsid w:val="00883566"/>
    <w:rsid w:val="00883A0C"/>
    <w:rsid w:val="00883B4B"/>
    <w:rsid w:val="00883E29"/>
    <w:rsid w:val="00884851"/>
    <w:rsid w:val="00884B61"/>
    <w:rsid w:val="00884BB1"/>
    <w:rsid w:val="00884C81"/>
    <w:rsid w:val="00885079"/>
    <w:rsid w:val="008853D6"/>
    <w:rsid w:val="0088541B"/>
    <w:rsid w:val="0088560D"/>
    <w:rsid w:val="0088568B"/>
    <w:rsid w:val="008857CD"/>
    <w:rsid w:val="008858AF"/>
    <w:rsid w:val="008859E7"/>
    <w:rsid w:val="00885AA4"/>
    <w:rsid w:val="00885EB6"/>
    <w:rsid w:val="0088663F"/>
    <w:rsid w:val="00886F2E"/>
    <w:rsid w:val="0088701F"/>
    <w:rsid w:val="00887513"/>
    <w:rsid w:val="00887F24"/>
    <w:rsid w:val="008900D0"/>
    <w:rsid w:val="00890456"/>
    <w:rsid w:val="00891725"/>
    <w:rsid w:val="0089172F"/>
    <w:rsid w:val="008918A7"/>
    <w:rsid w:val="008918E7"/>
    <w:rsid w:val="008923D9"/>
    <w:rsid w:val="0089298D"/>
    <w:rsid w:val="00892B7E"/>
    <w:rsid w:val="008933D0"/>
    <w:rsid w:val="00893A59"/>
    <w:rsid w:val="00893BC7"/>
    <w:rsid w:val="00894049"/>
    <w:rsid w:val="00894163"/>
    <w:rsid w:val="0089453E"/>
    <w:rsid w:val="0089507B"/>
    <w:rsid w:val="00895BA6"/>
    <w:rsid w:val="00896502"/>
    <w:rsid w:val="00896533"/>
    <w:rsid w:val="00896538"/>
    <w:rsid w:val="00896757"/>
    <w:rsid w:val="00896D53"/>
    <w:rsid w:val="00896FB5"/>
    <w:rsid w:val="0089739A"/>
    <w:rsid w:val="0089739B"/>
    <w:rsid w:val="0089764A"/>
    <w:rsid w:val="008978C7"/>
    <w:rsid w:val="008A0235"/>
    <w:rsid w:val="008A0D0D"/>
    <w:rsid w:val="008A12F7"/>
    <w:rsid w:val="008A168A"/>
    <w:rsid w:val="008A173E"/>
    <w:rsid w:val="008A1F66"/>
    <w:rsid w:val="008A23C9"/>
    <w:rsid w:val="008A28D2"/>
    <w:rsid w:val="008A28DD"/>
    <w:rsid w:val="008A2AA5"/>
    <w:rsid w:val="008A2C25"/>
    <w:rsid w:val="008A302A"/>
    <w:rsid w:val="008A3AB9"/>
    <w:rsid w:val="008A3ABF"/>
    <w:rsid w:val="008A3C1E"/>
    <w:rsid w:val="008A3D08"/>
    <w:rsid w:val="008A4096"/>
    <w:rsid w:val="008A4978"/>
    <w:rsid w:val="008A4BC6"/>
    <w:rsid w:val="008A54F5"/>
    <w:rsid w:val="008A5B25"/>
    <w:rsid w:val="008A5C1C"/>
    <w:rsid w:val="008A636A"/>
    <w:rsid w:val="008A6670"/>
    <w:rsid w:val="008A68FB"/>
    <w:rsid w:val="008A6C28"/>
    <w:rsid w:val="008A7212"/>
    <w:rsid w:val="008A7651"/>
    <w:rsid w:val="008A76CE"/>
    <w:rsid w:val="008B0C71"/>
    <w:rsid w:val="008B11D4"/>
    <w:rsid w:val="008B12BA"/>
    <w:rsid w:val="008B1702"/>
    <w:rsid w:val="008B17FA"/>
    <w:rsid w:val="008B1828"/>
    <w:rsid w:val="008B18EA"/>
    <w:rsid w:val="008B1E3E"/>
    <w:rsid w:val="008B22C2"/>
    <w:rsid w:val="008B235A"/>
    <w:rsid w:val="008B245E"/>
    <w:rsid w:val="008B29C6"/>
    <w:rsid w:val="008B2AC3"/>
    <w:rsid w:val="008B2CBC"/>
    <w:rsid w:val="008B2F99"/>
    <w:rsid w:val="008B33DF"/>
    <w:rsid w:val="008B3A35"/>
    <w:rsid w:val="008B3FCC"/>
    <w:rsid w:val="008B42EC"/>
    <w:rsid w:val="008B445E"/>
    <w:rsid w:val="008B478E"/>
    <w:rsid w:val="008B48C5"/>
    <w:rsid w:val="008B4919"/>
    <w:rsid w:val="008B4A21"/>
    <w:rsid w:val="008B4AAB"/>
    <w:rsid w:val="008B4BAD"/>
    <w:rsid w:val="008B4CD0"/>
    <w:rsid w:val="008B521A"/>
    <w:rsid w:val="008B5A73"/>
    <w:rsid w:val="008B62BC"/>
    <w:rsid w:val="008B64A7"/>
    <w:rsid w:val="008B679E"/>
    <w:rsid w:val="008B6EAF"/>
    <w:rsid w:val="008B7F20"/>
    <w:rsid w:val="008C0012"/>
    <w:rsid w:val="008C01E3"/>
    <w:rsid w:val="008C0527"/>
    <w:rsid w:val="008C0C1C"/>
    <w:rsid w:val="008C14B8"/>
    <w:rsid w:val="008C1AB5"/>
    <w:rsid w:val="008C1B54"/>
    <w:rsid w:val="008C25DA"/>
    <w:rsid w:val="008C2697"/>
    <w:rsid w:val="008C2EC5"/>
    <w:rsid w:val="008C346B"/>
    <w:rsid w:val="008C42CB"/>
    <w:rsid w:val="008C4303"/>
    <w:rsid w:val="008C5D4F"/>
    <w:rsid w:val="008C600E"/>
    <w:rsid w:val="008C6858"/>
    <w:rsid w:val="008C7366"/>
    <w:rsid w:val="008C73BF"/>
    <w:rsid w:val="008C7676"/>
    <w:rsid w:val="008C7851"/>
    <w:rsid w:val="008D002A"/>
    <w:rsid w:val="008D01B9"/>
    <w:rsid w:val="008D021C"/>
    <w:rsid w:val="008D0AB7"/>
    <w:rsid w:val="008D119D"/>
    <w:rsid w:val="008D1257"/>
    <w:rsid w:val="008D140E"/>
    <w:rsid w:val="008D18BE"/>
    <w:rsid w:val="008D1AD4"/>
    <w:rsid w:val="008D1C92"/>
    <w:rsid w:val="008D277F"/>
    <w:rsid w:val="008D2DB6"/>
    <w:rsid w:val="008D355B"/>
    <w:rsid w:val="008D3CDB"/>
    <w:rsid w:val="008D3DED"/>
    <w:rsid w:val="008D468B"/>
    <w:rsid w:val="008D497C"/>
    <w:rsid w:val="008D4AA7"/>
    <w:rsid w:val="008D4E6D"/>
    <w:rsid w:val="008D4F34"/>
    <w:rsid w:val="008D5088"/>
    <w:rsid w:val="008D5153"/>
    <w:rsid w:val="008D539F"/>
    <w:rsid w:val="008D5D46"/>
    <w:rsid w:val="008D5DA4"/>
    <w:rsid w:val="008D6391"/>
    <w:rsid w:val="008D66D4"/>
    <w:rsid w:val="008D69CD"/>
    <w:rsid w:val="008D6A73"/>
    <w:rsid w:val="008D6A92"/>
    <w:rsid w:val="008D6E68"/>
    <w:rsid w:val="008D6F5A"/>
    <w:rsid w:val="008D6FD4"/>
    <w:rsid w:val="008D790C"/>
    <w:rsid w:val="008D7AE9"/>
    <w:rsid w:val="008D7DCB"/>
    <w:rsid w:val="008D7EA3"/>
    <w:rsid w:val="008E0264"/>
    <w:rsid w:val="008E0AD7"/>
    <w:rsid w:val="008E0DE2"/>
    <w:rsid w:val="008E123A"/>
    <w:rsid w:val="008E1518"/>
    <w:rsid w:val="008E1650"/>
    <w:rsid w:val="008E16FD"/>
    <w:rsid w:val="008E1E9C"/>
    <w:rsid w:val="008E1EF2"/>
    <w:rsid w:val="008E226C"/>
    <w:rsid w:val="008E2CBE"/>
    <w:rsid w:val="008E3115"/>
    <w:rsid w:val="008E33C7"/>
    <w:rsid w:val="008E3988"/>
    <w:rsid w:val="008E3A3B"/>
    <w:rsid w:val="008E3BC7"/>
    <w:rsid w:val="008E3D0E"/>
    <w:rsid w:val="008E4391"/>
    <w:rsid w:val="008E443D"/>
    <w:rsid w:val="008E4CDF"/>
    <w:rsid w:val="008E4DB1"/>
    <w:rsid w:val="008E505B"/>
    <w:rsid w:val="008E538B"/>
    <w:rsid w:val="008E5551"/>
    <w:rsid w:val="008E58EE"/>
    <w:rsid w:val="008E5D8D"/>
    <w:rsid w:val="008E5EF2"/>
    <w:rsid w:val="008E6416"/>
    <w:rsid w:val="008E657A"/>
    <w:rsid w:val="008E67D4"/>
    <w:rsid w:val="008E6809"/>
    <w:rsid w:val="008E6918"/>
    <w:rsid w:val="008E6C49"/>
    <w:rsid w:val="008E6CBF"/>
    <w:rsid w:val="008E6D7E"/>
    <w:rsid w:val="008E6E65"/>
    <w:rsid w:val="008E72C7"/>
    <w:rsid w:val="008E78EF"/>
    <w:rsid w:val="008E7DE9"/>
    <w:rsid w:val="008F0488"/>
    <w:rsid w:val="008F04A5"/>
    <w:rsid w:val="008F1001"/>
    <w:rsid w:val="008F20D8"/>
    <w:rsid w:val="008F22BF"/>
    <w:rsid w:val="008F22E7"/>
    <w:rsid w:val="008F2395"/>
    <w:rsid w:val="008F25CB"/>
    <w:rsid w:val="008F2849"/>
    <w:rsid w:val="008F29AB"/>
    <w:rsid w:val="008F2C9C"/>
    <w:rsid w:val="008F321F"/>
    <w:rsid w:val="008F3596"/>
    <w:rsid w:val="008F3739"/>
    <w:rsid w:val="008F3F52"/>
    <w:rsid w:val="008F42B0"/>
    <w:rsid w:val="008F4692"/>
    <w:rsid w:val="008F4E6F"/>
    <w:rsid w:val="008F5297"/>
    <w:rsid w:val="008F53F7"/>
    <w:rsid w:val="008F5C90"/>
    <w:rsid w:val="008F5EAF"/>
    <w:rsid w:val="008F63C2"/>
    <w:rsid w:val="008F67F3"/>
    <w:rsid w:val="008F69A2"/>
    <w:rsid w:val="008F6B54"/>
    <w:rsid w:val="008F6D70"/>
    <w:rsid w:val="008F6E26"/>
    <w:rsid w:val="008F7E4F"/>
    <w:rsid w:val="009007D0"/>
    <w:rsid w:val="00900B34"/>
    <w:rsid w:val="00900E05"/>
    <w:rsid w:val="0090193A"/>
    <w:rsid w:val="00902190"/>
    <w:rsid w:val="00902373"/>
    <w:rsid w:val="009027AD"/>
    <w:rsid w:val="00902F78"/>
    <w:rsid w:val="00903511"/>
    <w:rsid w:val="009038D6"/>
    <w:rsid w:val="00903C88"/>
    <w:rsid w:val="00903CA1"/>
    <w:rsid w:val="00903DDF"/>
    <w:rsid w:val="00903EF6"/>
    <w:rsid w:val="00904040"/>
    <w:rsid w:val="00904056"/>
    <w:rsid w:val="0090406C"/>
    <w:rsid w:val="00904467"/>
    <w:rsid w:val="00904F58"/>
    <w:rsid w:val="00905020"/>
    <w:rsid w:val="009050CE"/>
    <w:rsid w:val="0090546E"/>
    <w:rsid w:val="009054D3"/>
    <w:rsid w:val="00905602"/>
    <w:rsid w:val="009059DE"/>
    <w:rsid w:val="009063DC"/>
    <w:rsid w:val="0090656A"/>
    <w:rsid w:val="00906570"/>
    <w:rsid w:val="009069C3"/>
    <w:rsid w:val="00906A7F"/>
    <w:rsid w:val="00906BAD"/>
    <w:rsid w:val="00907977"/>
    <w:rsid w:val="00907BE0"/>
    <w:rsid w:val="00910F45"/>
    <w:rsid w:val="00910F69"/>
    <w:rsid w:val="009112E7"/>
    <w:rsid w:val="00911419"/>
    <w:rsid w:val="009114D2"/>
    <w:rsid w:val="0091159C"/>
    <w:rsid w:val="009117A0"/>
    <w:rsid w:val="0091197B"/>
    <w:rsid w:val="00911B5F"/>
    <w:rsid w:val="00911EE1"/>
    <w:rsid w:val="00911F07"/>
    <w:rsid w:val="009121FD"/>
    <w:rsid w:val="009124BE"/>
    <w:rsid w:val="009131D8"/>
    <w:rsid w:val="00913489"/>
    <w:rsid w:val="0091354F"/>
    <w:rsid w:val="0091393B"/>
    <w:rsid w:val="00913FB5"/>
    <w:rsid w:val="0091476F"/>
    <w:rsid w:val="00914DB7"/>
    <w:rsid w:val="009154B4"/>
    <w:rsid w:val="00915FF1"/>
    <w:rsid w:val="009161F1"/>
    <w:rsid w:val="0091691D"/>
    <w:rsid w:val="00917230"/>
    <w:rsid w:val="00917261"/>
    <w:rsid w:val="00917759"/>
    <w:rsid w:val="009179CF"/>
    <w:rsid w:val="00917B85"/>
    <w:rsid w:val="0092024A"/>
    <w:rsid w:val="009207F7"/>
    <w:rsid w:val="00920E50"/>
    <w:rsid w:val="009212BD"/>
    <w:rsid w:val="00921460"/>
    <w:rsid w:val="00921473"/>
    <w:rsid w:val="00921665"/>
    <w:rsid w:val="00921A12"/>
    <w:rsid w:val="00922117"/>
    <w:rsid w:val="00922272"/>
    <w:rsid w:val="0092259B"/>
    <w:rsid w:val="00922767"/>
    <w:rsid w:val="009230DD"/>
    <w:rsid w:val="00923463"/>
    <w:rsid w:val="00923714"/>
    <w:rsid w:val="00923C05"/>
    <w:rsid w:val="00923C35"/>
    <w:rsid w:val="00923D77"/>
    <w:rsid w:val="009240A6"/>
    <w:rsid w:val="00924BD2"/>
    <w:rsid w:val="0092514E"/>
    <w:rsid w:val="009257CA"/>
    <w:rsid w:val="00925D96"/>
    <w:rsid w:val="00925E1C"/>
    <w:rsid w:val="009260B1"/>
    <w:rsid w:val="009261E4"/>
    <w:rsid w:val="00926CEF"/>
    <w:rsid w:val="00926DC1"/>
    <w:rsid w:val="00926F0C"/>
    <w:rsid w:val="00926F1D"/>
    <w:rsid w:val="00926F8C"/>
    <w:rsid w:val="00927100"/>
    <w:rsid w:val="0092720C"/>
    <w:rsid w:val="0092775E"/>
    <w:rsid w:val="0092799D"/>
    <w:rsid w:val="00927C17"/>
    <w:rsid w:val="00930074"/>
    <w:rsid w:val="00930B83"/>
    <w:rsid w:val="00930C37"/>
    <w:rsid w:val="00930C98"/>
    <w:rsid w:val="009310F8"/>
    <w:rsid w:val="009319C6"/>
    <w:rsid w:val="00931B3A"/>
    <w:rsid w:val="00932003"/>
    <w:rsid w:val="00932184"/>
    <w:rsid w:val="009321F8"/>
    <w:rsid w:val="00932BBC"/>
    <w:rsid w:val="009330F6"/>
    <w:rsid w:val="009332CE"/>
    <w:rsid w:val="00933318"/>
    <w:rsid w:val="0093346E"/>
    <w:rsid w:val="009337FB"/>
    <w:rsid w:val="00933B93"/>
    <w:rsid w:val="00933F94"/>
    <w:rsid w:val="00934570"/>
    <w:rsid w:val="009345D9"/>
    <w:rsid w:val="0093463E"/>
    <w:rsid w:val="00934731"/>
    <w:rsid w:val="009347D2"/>
    <w:rsid w:val="00934B1B"/>
    <w:rsid w:val="009353E6"/>
    <w:rsid w:val="009358B3"/>
    <w:rsid w:val="00935C68"/>
    <w:rsid w:val="00936149"/>
    <w:rsid w:val="0093642C"/>
    <w:rsid w:val="00936950"/>
    <w:rsid w:val="00936CBF"/>
    <w:rsid w:val="0093723C"/>
    <w:rsid w:val="0093791F"/>
    <w:rsid w:val="00937978"/>
    <w:rsid w:val="009401D0"/>
    <w:rsid w:val="00940256"/>
    <w:rsid w:val="00940C70"/>
    <w:rsid w:val="00940C7F"/>
    <w:rsid w:val="00940D51"/>
    <w:rsid w:val="00941A2A"/>
    <w:rsid w:val="00941C2D"/>
    <w:rsid w:val="00941EA4"/>
    <w:rsid w:val="009422D3"/>
    <w:rsid w:val="00942B18"/>
    <w:rsid w:val="00942CDC"/>
    <w:rsid w:val="00943249"/>
    <w:rsid w:val="00943811"/>
    <w:rsid w:val="00943B32"/>
    <w:rsid w:val="00944000"/>
    <w:rsid w:val="0094463A"/>
    <w:rsid w:val="00944C2E"/>
    <w:rsid w:val="00944E37"/>
    <w:rsid w:val="0094546B"/>
    <w:rsid w:val="00945E29"/>
    <w:rsid w:val="00945E9B"/>
    <w:rsid w:val="00945F54"/>
    <w:rsid w:val="00945F60"/>
    <w:rsid w:val="00945F62"/>
    <w:rsid w:val="0094680A"/>
    <w:rsid w:val="00946BD4"/>
    <w:rsid w:val="00946C4B"/>
    <w:rsid w:val="00946C5E"/>
    <w:rsid w:val="009472C4"/>
    <w:rsid w:val="00947369"/>
    <w:rsid w:val="009476B1"/>
    <w:rsid w:val="009477A4"/>
    <w:rsid w:val="009479C4"/>
    <w:rsid w:val="00947B91"/>
    <w:rsid w:val="00947D9D"/>
    <w:rsid w:val="00947E2E"/>
    <w:rsid w:val="00950660"/>
    <w:rsid w:val="009509BF"/>
    <w:rsid w:val="00950B27"/>
    <w:rsid w:val="00950E13"/>
    <w:rsid w:val="00950EAA"/>
    <w:rsid w:val="0095107A"/>
    <w:rsid w:val="00951111"/>
    <w:rsid w:val="00951373"/>
    <w:rsid w:val="00951767"/>
    <w:rsid w:val="00951B2C"/>
    <w:rsid w:val="00951B82"/>
    <w:rsid w:val="00951BDF"/>
    <w:rsid w:val="009525E8"/>
    <w:rsid w:val="0095288D"/>
    <w:rsid w:val="00952CF1"/>
    <w:rsid w:val="00952E82"/>
    <w:rsid w:val="00952EB8"/>
    <w:rsid w:val="00952F90"/>
    <w:rsid w:val="0095335D"/>
    <w:rsid w:val="0095349C"/>
    <w:rsid w:val="00953851"/>
    <w:rsid w:val="00953BEE"/>
    <w:rsid w:val="00953D9A"/>
    <w:rsid w:val="00954323"/>
    <w:rsid w:val="00954338"/>
    <w:rsid w:val="00954379"/>
    <w:rsid w:val="009546D0"/>
    <w:rsid w:val="009547FD"/>
    <w:rsid w:val="009549C4"/>
    <w:rsid w:val="00954AE9"/>
    <w:rsid w:val="00954DF6"/>
    <w:rsid w:val="00955573"/>
    <w:rsid w:val="00956157"/>
    <w:rsid w:val="00956159"/>
    <w:rsid w:val="009561CB"/>
    <w:rsid w:val="009574DA"/>
    <w:rsid w:val="009578D0"/>
    <w:rsid w:val="00957AB4"/>
    <w:rsid w:val="00960226"/>
    <w:rsid w:val="0096031F"/>
    <w:rsid w:val="00960491"/>
    <w:rsid w:val="0096051D"/>
    <w:rsid w:val="00960670"/>
    <w:rsid w:val="00960933"/>
    <w:rsid w:val="00960A33"/>
    <w:rsid w:val="00960AB2"/>
    <w:rsid w:val="0096160B"/>
    <w:rsid w:val="00961D2A"/>
    <w:rsid w:val="00961D2F"/>
    <w:rsid w:val="0096219D"/>
    <w:rsid w:val="0096239C"/>
    <w:rsid w:val="00962483"/>
    <w:rsid w:val="00962625"/>
    <w:rsid w:val="00963325"/>
    <w:rsid w:val="00963EB0"/>
    <w:rsid w:val="00963EC1"/>
    <w:rsid w:val="0096404F"/>
    <w:rsid w:val="009640AD"/>
    <w:rsid w:val="00964DB2"/>
    <w:rsid w:val="00965365"/>
    <w:rsid w:val="009654B9"/>
    <w:rsid w:val="009654F3"/>
    <w:rsid w:val="00965582"/>
    <w:rsid w:val="00965603"/>
    <w:rsid w:val="00965A0D"/>
    <w:rsid w:val="00965B4C"/>
    <w:rsid w:val="009663BC"/>
    <w:rsid w:val="0096640D"/>
    <w:rsid w:val="0096695A"/>
    <w:rsid w:val="00966FB8"/>
    <w:rsid w:val="00970443"/>
    <w:rsid w:val="00970E66"/>
    <w:rsid w:val="00970EB6"/>
    <w:rsid w:val="00971033"/>
    <w:rsid w:val="009715BA"/>
    <w:rsid w:val="00971609"/>
    <w:rsid w:val="00971A2E"/>
    <w:rsid w:val="0097237E"/>
    <w:rsid w:val="009725A2"/>
    <w:rsid w:val="00972618"/>
    <w:rsid w:val="009728DD"/>
    <w:rsid w:val="00972BFA"/>
    <w:rsid w:val="00972CCE"/>
    <w:rsid w:val="0097339F"/>
    <w:rsid w:val="009733C3"/>
    <w:rsid w:val="00973D08"/>
    <w:rsid w:val="00974770"/>
    <w:rsid w:val="0097515E"/>
    <w:rsid w:val="009751FF"/>
    <w:rsid w:val="009753E6"/>
    <w:rsid w:val="0097584B"/>
    <w:rsid w:val="009758B3"/>
    <w:rsid w:val="00975981"/>
    <w:rsid w:val="00975DFC"/>
    <w:rsid w:val="009762AC"/>
    <w:rsid w:val="00976471"/>
    <w:rsid w:val="0097651A"/>
    <w:rsid w:val="00976839"/>
    <w:rsid w:val="00977086"/>
    <w:rsid w:val="0097714D"/>
    <w:rsid w:val="0097721C"/>
    <w:rsid w:val="00977408"/>
    <w:rsid w:val="00977D2B"/>
    <w:rsid w:val="00977EC3"/>
    <w:rsid w:val="00977F21"/>
    <w:rsid w:val="00977FCF"/>
    <w:rsid w:val="00980379"/>
    <w:rsid w:val="0098040C"/>
    <w:rsid w:val="00980501"/>
    <w:rsid w:val="009807B6"/>
    <w:rsid w:val="0098088F"/>
    <w:rsid w:val="00980953"/>
    <w:rsid w:val="00980BFF"/>
    <w:rsid w:val="00980E79"/>
    <w:rsid w:val="0098104B"/>
    <w:rsid w:val="009813FC"/>
    <w:rsid w:val="009814A7"/>
    <w:rsid w:val="009815C0"/>
    <w:rsid w:val="00981C5D"/>
    <w:rsid w:val="00981D8C"/>
    <w:rsid w:val="00981D91"/>
    <w:rsid w:val="009824E9"/>
    <w:rsid w:val="00982891"/>
    <w:rsid w:val="0098298D"/>
    <w:rsid w:val="00982BF2"/>
    <w:rsid w:val="00982E40"/>
    <w:rsid w:val="00982EB5"/>
    <w:rsid w:val="0098319B"/>
    <w:rsid w:val="009834C7"/>
    <w:rsid w:val="0098379B"/>
    <w:rsid w:val="00983EE2"/>
    <w:rsid w:val="00984400"/>
    <w:rsid w:val="00984494"/>
    <w:rsid w:val="00984559"/>
    <w:rsid w:val="0098464E"/>
    <w:rsid w:val="0098491C"/>
    <w:rsid w:val="00984A05"/>
    <w:rsid w:val="00984B74"/>
    <w:rsid w:val="009850B9"/>
    <w:rsid w:val="009856D0"/>
    <w:rsid w:val="0098576D"/>
    <w:rsid w:val="00985A0A"/>
    <w:rsid w:val="00985CB1"/>
    <w:rsid w:val="00985DF5"/>
    <w:rsid w:val="00985EA4"/>
    <w:rsid w:val="00986522"/>
    <w:rsid w:val="009867EB"/>
    <w:rsid w:val="009867F5"/>
    <w:rsid w:val="00986B82"/>
    <w:rsid w:val="00986DFF"/>
    <w:rsid w:val="00987555"/>
    <w:rsid w:val="0098768F"/>
    <w:rsid w:val="0098776F"/>
    <w:rsid w:val="00987E2D"/>
    <w:rsid w:val="00990003"/>
    <w:rsid w:val="0099022B"/>
    <w:rsid w:val="009908A3"/>
    <w:rsid w:val="00990CC7"/>
    <w:rsid w:val="00990DF2"/>
    <w:rsid w:val="00991187"/>
    <w:rsid w:val="009913B8"/>
    <w:rsid w:val="00991D8F"/>
    <w:rsid w:val="00992483"/>
    <w:rsid w:val="009926DF"/>
    <w:rsid w:val="009932D9"/>
    <w:rsid w:val="009939A1"/>
    <w:rsid w:val="00994671"/>
    <w:rsid w:val="00994A02"/>
    <w:rsid w:val="00994C87"/>
    <w:rsid w:val="00994DE5"/>
    <w:rsid w:val="00994FDB"/>
    <w:rsid w:val="00995212"/>
    <w:rsid w:val="0099558F"/>
    <w:rsid w:val="00995688"/>
    <w:rsid w:val="009958B8"/>
    <w:rsid w:val="00995CED"/>
    <w:rsid w:val="00996040"/>
    <w:rsid w:val="009962E8"/>
    <w:rsid w:val="00996E45"/>
    <w:rsid w:val="00996FE2"/>
    <w:rsid w:val="009973CC"/>
    <w:rsid w:val="009977D5"/>
    <w:rsid w:val="00997958"/>
    <w:rsid w:val="009979C4"/>
    <w:rsid w:val="009A00A1"/>
    <w:rsid w:val="009A0135"/>
    <w:rsid w:val="009A0488"/>
    <w:rsid w:val="009A079C"/>
    <w:rsid w:val="009A095B"/>
    <w:rsid w:val="009A0B1D"/>
    <w:rsid w:val="009A146D"/>
    <w:rsid w:val="009A1D26"/>
    <w:rsid w:val="009A2268"/>
    <w:rsid w:val="009A247C"/>
    <w:rsid w:val="009A2528"/>
    <w:rsid w:val="009A2591"/>
    <w:rsid w:val="009A25B9"/>
    <w:rsid w:val="009A2839"/>
    <w:rsid w:val="009A2B8C"/>
    <w:rsid w:val="009A2D8C"/>
    <w:rsid w:val="009A3073"/>
    <w:rsid w:val="009A33F3"/>
    <w:rsid w:val="009A372F"/>
    <w:rsid w:val="009A4DB7"/>
    <w:rsid w:val="009A5236"/>
    <w:rsid w:val="009A5340"/>
    <w:rsid w:val="009A556A"/>
    <w:rsid w:val="009A584B"/>
    <w:rsid w:val="009A5FFD"/>
    <w:rsid w:val="009A60C3"/>
    <w:rsid w:val="009A6102"/>
    <w:rsid w:val="009A6937"/>
    <w:rsid w:val="009A6D87"/>
    <w:rsid w:val="009A71E6"/>
    <w:rsid w:val="009A7221"/>
    <w:rsid w:val="009A7966"/>
    <w:rsid w:val="009B0343"/>
    <w:rsid w:val="009B078A"/>
    <w:rsid w:val="009B0D2E"/>
    <w:rsid w:val="009B0F41"/>
    <w:rsid w:val="009B1423"/>
    <w:rsid w:val="009B17AB"/>
    <w:rsid w:val="009B1851"/>
    <w:rsid w:val="009B22B8"/>
    <w:rsid w:val="009B293E"/>
    <w:rsid w:val="009B2997"/>
    <w:rsid w:val="009B2A33"/>
    <w:rsid w:val="009B2B5C"/>
    <w:rsid w:val="009B2BC9"/>
    <w:rsid w:val="009B3395"/>
    <w:rsid w:val="009B366D"/>
    <w:rsid w:val="009B40D0"/>
    <w:rsid w:val="009B4325"/>
    <w:rsid w:val="009B4ABB"/>
    <w:rsid w:val="009B4BF5"/>
    <w:rsid w:val="009B50FF"/>
    <w:rsid w:val="009B53AE"/>
    <w:rsid w:val="009B56F2"/>
    <w:rsid w:val="009B5800"/>
    <w:rsid w:val="009B5AF9"/>
    <w:rsid w:val="009B5BDB"/>
    <w:rsid w:val="009B5E18"/>
    <w:rsid w:val="009B60DC"/>
    <w:rsid w:val="009B61CA"/>
    <w:rsid w:val="009B6369"/>
    <w:rsid w:val="009B6485"/>
    <w:rsid w:val="009B68BA"/>
    <w:rsid w:val="009B6B6A"/>
    <w:rsid w:val="009B6C39"/>
    <w:rsid w:val="009B6E10"/>
    <w:rsid w:val="009B6E18"/>
    <w:rsid w:val="009B6F5A"/>
    <w:rsid w:val="009B7C6B"/>
    <w:rsid w:val="009B7F8B"/>
    <w:rsid w:val="009C0186"/>
    <w:rsid w:val="009C0B98"/>
    <w:rsid w:val="009C0CD7"/>
    <w:rsid w:val="009C1203"/>
    <w:rsid w:val="009C1939"/>
    <w:rsid w:val="009C1F71"/>
    <w:rsid w:val="009C205D"/>
    <w:rsid w:val="009C21EA"/>
    <w:rsid w:val="009C2E1A"/>
    <w:rsid w:val="009C347A"/>
    <w:rsid w:val="009C34D5"/>
    <w:rsid w:val="009C3CCA"/>
    <w:rsid w:val="009C3D1D"/>
    <w:rsid w:val="009C3DA6"/>
    <w:rsid w:val="009C3E81"/>
    <w:rsid w:val="009C3FAB"/>
    <w:rsid w:val="009C4C86"/>
    <w:rsid w:val="009C4F30"/>
    <w:rsid w:val="009C54D0"/>
    <w:rsid w:val="009C5609"/>
    <w:rsid w:val="009C5AEB"/>
    <w:rsid w:val="009C608E"/>
    <w:rsid w:val="009C60FF"/>
    <w:rsid w:val="009C6148"/>
    <w:rsid w:val="009C62B5"/>
    <w:rsid w:val="009C6E9C"/>
    <w:rsid w:val="009C713F"/>
    <w:rsid w:val="009C762F"/>
    <w:rsid w:val="009C7DEC"/>
    <w:rsid w:val="009D02E6"/>
    <w:rsid w:val="009D070D"/>
    <w:rsid w:val="009D1482"/>
    <w:rsid w:val="009D1692"/>
    <w:rsid w:val="009D1985"/>
    <w:rsid w:val="009D1DE4"/>
    <w:rsid w:val="009D2149"/>
    <w:rsid w:val="009D26AB"/>
    <w:rsid w:val="009D2C36"/>
    <w:rsid w:val="009D2E17"/>
    <w:rsid w:val="009D3183"/>
    <w:rsid w:val="009D33A5"/>
    <w:rsid w:val="009D3AA5"/>
    <w:rsid w:val="009D4506"/>
    <w:rsid w:val="009D458A"/>
    <w:rsid w:val="009D498E"/>
    <w:rsid w:val="009D4A94"/>
    <w:rsid w:val="009D4E1A"/>
    <w:rsid w:val="009D52AC"/>
    <w:rsid w:val="009D5723"/>
    <w:rsid w:val="009D5ABE"/>
    <w:rsid w:val="009D6418"/>
    <w:rsid w:val="009D6482"/>
    <w:rsid w:val="009D6741"/>
    <w:rsid w:val="009D69E6"/>
    <w:rsid w:val="009D6B24"/>
    <w:rsid w:val="009D7EB9"/>
    <w:rsid w:val="009E074F"/>
    <w:rsid w:val="009E075B"/>
    <w:rsid w:val="009E079D"/>
    <w:rsid w:val="009E081E"/>
    <w:rsid w:val="009E0DD7"/>
    <w:rsid w:val="009E102B"/>
    <w:rsid w:val="009E134C"/>
    <w:rsid w:val="009E1BB3"/>
    <w:rsid w:val="009E1D4B"/>
    <w:rsid w:val="009E1EC4"/>
    <w:rsid w:val="009E24D0"/>
    <w:rsid w:val="009E28E8"/>
    <w:rsid w:val="009E2D65"/>
    <w:rsid w:val="009E32FD"/>
    <w:rsid w:val="009E3542"/>
    <w:rsid w:val="009E3570"/>
    <w:rsid w:val="009E367A"/>
    <w:rsid w:val="009E3A77"/>
    <w:rsid w:val="009E4057"/>
    <w:rsid w:val="009E42CB"/>
    <w:rsid w:val="009E430E"/>
    <w:rsid w:val="009E44B8"/>
    <w:rsid w:val="009E4ECE"/>
    <w:rsid w:val="009E53DE"/>
    <w:rsid w:val="009E5924"/>
    <w:rsid w:val="009E5A42"/>
    <w:rsid w:val="009E5AF7"/>
    <w:rsid w:val="009E6547"/>
    <w:rsid w:val="009E7130"/>
    <w:rsid w:val="009E773A"/>
    <w:rsid w:val="009E7878"/>
    <w:rsid w:val="009E7E6E"/>
    <w:rsid w:val="009E7F57"/>
    <w:rsid w:val="009F03FA"/>
    <w:rsid w:val="009F07B5"/>
    <w:rsid w:val="009F07BB"/>
    <w:rsid w:val="009F092A"/>
    <w:rsid w:val="009F0D83"/>
    <w:rsid w:val="009F0E45"/>
    <w:rsid w:val="009F1400"/>
    <w:rsid w:val="009F1514"/>
    <w:rsid w:val="009F1ACD"/>
    <w:rsid w:val="009F1BF1"/>
    <w:rsid w:val="009F1DA5"/>
    <w:rsid w:val="009F2CC4"/>
    <w:rsid w:val="009F346A"/>
    <w:rsid w:val="009F38B5"/>
    <w:rsid w:val="009F3EFA"/>
    <w:rsid w:val="009F4344"/>
    <w:rsid w:val="009F453C"/>
    <w:rsid w:val="009F45EB"/>
    <w:rsid w:val="009F4636"/>
    <w:rsid w:val="009F46D6"/>
    <w:rsid w:val="009F50BD"/>
    <w:rsid w:val="009F54C0"/>
    <w:rsid w:val="009F55C2"/>
    <w:rsid w:val="009F5636"/>
    <w:rsid w:val="009F5644"/>
    <w:rsid w:val="009F635B"/>
    <w:rsid w:val="009F681C"/>
    <w:rsid w:val="009F6E39"/>
    <w:rsid w:val="009F7506"/>
    <w:rsid w:val="009F7AE8"/>
    <w:rsid w:val="009F7F3D"/>
    <w:rsid w:val="009F7FEC"/>
    <w:rsid w:val="00A00113"/>
    <w:rsid w:val="00A003B7"/>
    <w:rsid w:val="00A00444"/>
    <w:rsid w:val="00A00C25"/>
    <w:rsid w:val="00A015C9"/>
    <w:rsid w:val="00A0174F"/>
    <w:rsid w:val="00A01F9D"/>
    <w:rsid w:val="00A0222B"/>
    <w:rsid w:val="00A02239"/>
    <w:rsid w:val="00A022C1"/>
    <w:rsid w:val="00A02548"/>
    <w:rsid w:val="00A02E6A"/>
    <w:rsid w:val="00A03392"/>
    <w:rsid w:val="00A03919"/>
    <w:rsid w:val="00A04364"/>
    <w:rsid w:val="00A0486A"/>
    <w:rsid w:val="00A04B77"/>
    <w:rsid w:val="00A04C3C"/>
    <w:rsid w:val="00A04E7C"/>
    <w:rsid w:val="00A04F01"/>
    <w:rsid w:val="00A05294"/>
    <w:rsid w:val="00A0563E"/>
    <w:rsid w:val="00A05978"/>
    <w:rsid w:val="00A060EB"/>
    <w:rsid w:val="00A061CE"/>
    <w:rsid w:val="00A063FD"/>
    <w:rsid w:val="00A0677D"/>
    <w:rsid w:val="00A06A4C"/>
    <w:rsid w:val="00A07236"/>
    <w:rsid w:val="00A074C3"/>
    <w:rsid w:val="00A1062B"/>
    <w:rsid w:val="00A10691"/>
    <w:rsid w:val="00A1096A"/>
    <w:rsid w:val="00A10BC0"/>
    <w:rsid w:val="00A10D69"/>
    <w:rsid w:val="00A1117C"/>
    <w:rsid w:val="00A11686"/>
    <w:rsid w:val="00A117E5"/>
    <w:rsid w:val="00A1187A"/>
    <w:rsid w:val="00A12202"/>
    <w:rsid w:val="00A126AC"/>
    <w:rsid w:val="00A12B4B"/>
    <w:rsid w:val="00A12B55"/>
    <w:rsid w:val="00A12E1E"/>
    <w:rsid w:val="00A1302D"/>
    <w:rsid w:val="00A13473"/>
    <w:rsid w:val="00A1374F"/>
    <w:rsid w:val="00A13882"/>
    <w:rsid w:val="00A139B6"/>
    <w:rsid w:val="00A13B3C"/>
    <w:rsid w:val="00A14C71"/>
    <w:rsid w:val="00A14E93"/>
    <w:rsid w:val="00A15149"/>
    <w:rsid w:val="00A15247"/>
    <w:rsid w:val="00A15490"/>
    <w:rsid w:val="00A154FC"/>
    <w:rsid w:val="00A15AD3"/>
    <w:rsid w:val="00A165A4"/>
    <w:rsid w:val="00A166C9"/>
    <w:rsid w:val="00A16887"/>
    <w:rsid w:val="00A16AD4"/>
    <w:rsid w:val="00A1728B"/>
    <w:rsid w:val="00A173DA"/>
    <w:rsid w:val="00A1746F"/>
    <w:rsid w:val="00A17AF0"/>
    <w:rsid w:val="00A204CA"/>
    <w:rsid w:val="00A207C5"/>
    <w:rsid w:val="00A20A35"/>
    <w:rsid w:val="00A20B57"/>
    <w:rsid w:val="00A20CD3"/>
    <w:rsid w:val="00A21257"/>
    <w:rsid w:val="00A213CA"/>
    <w:rsid w:val="00A2161D"/>
    <w:rsid w:val="00A216E3"/>
    <w:rsid w:val="00A2181E"/>
    <w:rsid w:val="00A21CC0"/>
    <w:rsid w:val="00A21D86"/>
    <w:rsid w:val="00A21EE0"/>
    <w:rsid w:val="00A21EE7"/>
    <w:rsid w:val="00A223B9"/>
    <w:rsid w:val="00A228C4"/>
    <w:rsid w:val="00A229E0"/>
    <w:rsid w:val="00A22BCF"/>
    <w:rsid w:val="00A22C58"/>
    <w:rsid w:val="00A23126"/>
    <w:rsid w:val="00A23494"/>
    <w:rsid w:val="00A23799"/>
    <w:rsid w:val="00A23894"/>
    <w:rsid w:val="00A23AE5"/>
    <w:rsid w:val="00A23E9B"/>
    <w:rsid w:val="00A243E5"/>
    <w:rsid w:val="00A247DF"/>
    <w:rsid w:val="00A247E2"/>
    <w:rsid w:val="00A24ACB"/>
    <w:rsid w:val="00A24C71"/>
    <w:rsid w:val="00A251B9"/>
    <w:rsid w:val="00A25302"/>
    <w:rsid w:val="00A25610"/>
    <w:rsid w:val="00A25F5C"/>
    <w:rsid w:val="00A262CA"/>
    <w:rsid w:val="00A2654D"/>
    <w:rsid w:val="00A26586"/>
    <w:rsid w:val="00A26C47"/>
    <w:rsid w:val="00A26DB8"/>
    <w:rsid w:val="00A26F01"/>
    <w:rsid w:val="00A270B7"/>
    <w:rsid w:val="00A2730E"/>
    <w:rsid w:val="00A278FE"/>
    <w:rsid w:val="00A279F1"/>
    <w:rsid w:val="00A30CCF"/>
    <w:rsid w:val="00A30DC0"/>
    <w:rsid w:val="00A30E03"/>
    <w:rsid w:val="00A31AD6"/>
    <w:rsid w:val="00A323DB"/>
    <w:rsid w:val="00A32663"/>
    <w:rsid w:val="00A32D88"/>
    <w:rsid w:val="00A33155"/>
    <w:rsid w:val="00A33617"/>
    <w:rsid w:val="00A33866"/>
    <w:rsid w:val="00A34491"/>
    <w:rsid w:val="00A3483F"/>
    <w:rsid w:val="00A35966"/>
    <w:rsid w:val="00A359AD"/>
    <w:rsid w:val="00A35F36"/>
    <w:rsid w:val="00A360DC"/>
    <w:rsid w:val="00A362E4"/>
    <w:rsid w:val="00A367FD"/>
    <w:rsid w:val="00A36897"/>
    <w:rsid w:val="00A36A8E"/>
    <w:rsid w:val="00A36E55"/>
    <w:rsid w:val="00A374AA"/>
    <w:rsid w:val="00A378E8"/>
    <w:rsid w:val="00A37F9B"/>
    <w:rsid w:val="00A402B1"/>
    <w:rsid w:val="00A4039F"/>
    <w:rsid w:val="00A409E7"/>
    <w:rsid w:val="00A410B1"/>
    <w:rsid w:val="00A41326"/>
    <w:rsid w:val="00A419FC"/>
    <w:rsid w:val="00A41BF5"/>
    <w:rsid w:val="00A41CA9"/>
    <w:rsid w:val="00A41CF6"/>
    <w:rsid w:val="00A41DD5"/>
    <w:rsid w:val="00A41E49"/>
    <w:rsid w:val="00A41EA1"/>
    <w:rsid w:val="00A42375"/>
    <w:rsid w:val="00A42559"/>
    <w:rsid w:val="00A4257A"/>
    <w:rsid w:val="00A4298A"/>
    <w:rsid w:val="00A42F2F"/>
    <w:rsid w:val="00A4308C"/>
    <w:rsid w:val="00A43272"/>
    <w:rsid w:val="00A43346"/>
    <w:rsid w:val="00A435EE"/>
    <w:rsid w:val="00A4368F"/>
    <w:rsid w:val="00A43AF2"/>
    <w:rsid w:val="00A43B98"/>
    <w:rsid w:val="00A43D6B"/>
    <w:rsid w:val="00A447B0"/>
    <w:rsid w:val="00A449A5"/>
    <w:rsid w:val="00A44BC1"/>
    <w:rsid w:val="00A44D2A"/>
    <w:rsid w:val="00A44D45"/>
    <w:rsid w:val="00A45699"/>
    <w:rsid w:val="00A4585F"/>
    <w:rsid w:val="00A45872"/>
    <w:rsid w:val="00A45C84"/>
    <w:rsid w:val="00A45ED1"/>
    <w:rsid w:val="00A45F4F"/>
    <w:rsid w:val="00A46BA6"/>
    <w:rsid w:val="00A4756C"/>
    <w:rsid w:val="00A4766B"/>
    <w:rsid w:val="00A501FB"/>
    <w:rsid w:val="00A50558"/>
    <w:rsid w:val="00A5085C"/>
    <w:rsid w:val="00A508D2"/>
    <w:rsid w:val="00A50933"/>
    <w:rsid w:val="00A5096A"/>
    <w:rsid w:val="00A50EE2"/>
    <w:rsid w:val="00A5108B"/>
    <w:rsid w:val="00A511E4"/>
    <w:rsid w:val="00A512BC"/>
    <w:rsid w:val="00A51E5B"/>
    <w:rsid w:val="00A51F84"/>
    <w:rsid w:val="00A523CD"/>
    <w:rsid w:val="00A5289D"/>
    <w:rsid w:val="00A52A02"/>
    <w:rsid w:val="00A52B95"/>
    <w:rsid w:val="00A52C94"/>
    <w:rsid w:val="00A53483"/>
    <w:rsid w:val="00A53782"/>
    <w:rsid w:val="00A542BA"/>
    <w:rsid w:val="00A54818"/>
    <w:rsid w:val="00A548F7"/>
    <w:rsid w:val="00A54979"/>
    <w:rsid w:val="00A55477"/>
    <w:rsid w:val="00A55A13"/>
    <w:rsid w:val="00A55A9E"/>
    <w:rsid w:val="00A55DEE"/>
    <w:rsid w:val="00A55E81"/>
    <w:rsid w:val="00A56226"/>
    <w:rsid w:val="00A56274"/>
    <w:rsid w:val="00A56686"/>
    <w:rsid w:val="00A567CA"/>
    <w:rsid w:val="00A56858"/>
    <w:rsid w:val="00A570B7"/>
    <w:rsid w:val="00A5775D"/>
    <w:rsid w:val="00A577B7"/>
    <w:rsid w:val="00A57C4C"/>
    <w:rsid w:val="00A57C90"/>
    <w:rsid w:val="00A60067"/>
    <w:rsid w:val="00A600BD"/>
    <w:rsid w:val="00A61007"/>
    <w:rsid w:val="00A6104A"/>
    <w:rsid w:val="00A61825"/>
    <w:rsid w:val="00A61AC5"/>
    <w:rsid w:val="00A61C56"/>
    <w:rsid w:val="00A628BB"/>
    <w:rsid w:val="00A62F9F"/>
    <w:rsid w:val="00A63941"/>
    <w:rsid w:val="00A639BD"/>
    <w:rsid w:val="00A63DFB"/>
    <w:rsid w:val="00A6446F"/>
    <w:rsid w:val="00A64933"/>
    <w:rsid w:val="00A6499C"/>
    <w:rsid w:val="00A64C74"/>
    <w:rsid w:val="00A655CE"/>
    <w:rsid w:val="00A6577C"/>
    <w:rsid w:val="00A65981"/>
    <w:rsid w:val="00A65BA3"/>
    <w:rsid w:val="00A660C3"/>
    <w:rsid w:val="00A6611E"/>
    <w:rsid w:val="00A6617F"/>
    <w:rsid w:val="00A663BB"/>
    <w:rsid w:val="00A668A1"/>
    <w:rsid w:val="00A67BB6"/>
    <w:rsid w:val="00A67F91"/>
    <w:rsid w:val="00A70349"/>
    <w:rsid w:val="00A70946"/>
    <w:rsid w:val="00A70A86"/>
    <w:rsid w:val="00A70BB8"/>
    <w:rsid w:val="00A710C2"/>
    <w:rsid w:val="00A7148F"/>
    <w:rsid w:val="00A714B6"/>
    <w:rsid w:val="00A71946"/>
    <w:rsid w:val="00A71BCE"/>
    <w:rsid w:val="00A723DD"/>
    <w:rsid w:val="00A72FA2"/>
    <w:rsid w:val="00A72FCF"/>
    <w:rsid w:val="00A72FF1"/>
    <w:rsid w:val="00A73433"/>
    <w:rsid w:val="00A73476"/>
    <w:rsid w:val="00A73988"/>
    <w:rsid w:val="00A73B4C"/>
    <w:rsid w:val="00A743B5"/>
    <w:rsid w:val="00A7446E"/>
    <w:rsid w:val="00A747A8"/>
    <w:rsid w:val="00A747B9"/>
    <w:rsid w:val="00A74FEC"/>
    <w:rsid w:val="00A7507C"/>
    <w:rsid w:val="00A751D8"/>
    <w:rsid w:val="00A758CF"/>
    <w:rsid w:val="00A75A88"/>
    <w:rsid w:val="00A75B69"/>
    <w:rsid w:val="00A763A8"/>
    <w:rsid w:val="00A76842"/>
    <w:rsid w:val="00A769EC"/>
    <w:rsid w:val="00A76B05"/>
    <w:rsid w:val="00A76D73"/>
    <w:rsid w:val="00A77220"/>
    <w:rsid w:val="00A77782"/>
    <w:rsid w:val="00A7794A"/>
    <w:rsid w:val="00A77AC7"/>
    <w:rsid w:val="00A77D1E"/>
    <w:rsid w:val="00A8135F"/>
    <w:rsid w:val="00A81E08"/>
    <w:rsid w:val="00A81EB8"/>
    <w:rsid w:val="00A820A5"/>
    <w:rsid w:val="00A825F7"/>
    <w:rsid w:val="00A826D9"/>
    <w:rsid w:val="00A827E9"/>
    <w:rsid w:val="00A82D02"/>
    <w:rsid w:val="00A830B1"/>
    <w:rsid w:val="00A8339C"/>
    <w:rsid w:val="00A83523"/>
    <w:rsid w:val="00A8390C"/>
    <w:rsid w:val="00A839E4"/>
    <w:rsid w:val="00A83CD1"/>
    <w:rsid w:val="00A83D40"/>
    <w:rsid w:val="00A8434A"/>
    <w:rsid w:val="00A84518"/>
    <w:rsid w:val="00A84D6A"/>
    <w:rsid w:val="00A851AB"/>
    <w:rsid w:val="00A85A5E"/>
    <w:rsid w:val="00A86195"/>
    <w:rsid w:val="00A8661E"/>
    <w:rsid w:val="00A867EF"/>
    <w:rsid w:val="00A86927"/>
    <w:rsid w:val="00A86EB7"/>
    <w:rsid w:val="00A86FFE"/>
    <w:rsid w:val="00A872CB"/>
    <w:rsid w:val="00A87D8A"/>
    <w:rsid w:val="00A87DF7"/>
    <w:rsid w:val="00A87EB6"/>
    <w:rsid w:val="00A87FBD"/>
    <w:rsid w:val="00A90430"/>
    <w:rsid w:val="00A90587"/>
    <w:rsid w:val="00A9085D"/>
    <w:rsid w:val="00A90C15"/>
    <w:rsid w:val="00A90CDC"/>
    <w:rsid w:val="00A90DC1"/>
    <w:rsid w:val="00A90ED3"/>
    <w:rsid w:val="00A9130C"/>
    <w:rsid w:val="00A91350"/>
    <w:rsid w:val="00A92511"/>
    <w:rsid w:val="00A92D9E"/>
    <w:rsid w:val="00A92F2E"/>
    <w:rsid w:val="00A9329C"/>
    <w:rsid w:val="00A936A2"/>
    <w:rsid w:val="00A93BAE"/>
    <w:rsid w:val="00A93DCA"/>
    <w:rsid w:val="00A93E7C"/>
    <w:rsid w:val="00A94290"/>
    <w:rsid w:val="00A942DD"/>
    <w:rsid w:val="00A94E1A"/>
    <w:rsid w:val="00A94ED3"/>
    <w:rsid w:val="00A956FF"/>
    <w:rsid w:val="00A95A21"/>
    <w:rsid w:val="00A962BE"/>
    <w:rsid w:val="00A96715"/>
    <w:rsid w:val="00A96BAE"/>
    <w:rsid w:val="00A97014"/>
    <w:rsid w:val="00A97402"/>
    <w:rsid w:val="00A974C6"/>
    <w:rsid w:val="00A97589"/>
    <w:rsid w:val="00A97795"/>
    <w:rsid w:val="00A978B0"/>
    <w:rsid w:val="00A978DF"/>
    <w:rsid w:val="00A979CD"/>
    <w:rsid w:val="00A97BF0"/>
    <w:rsid w:val="00A97C6E"/>
    <w:rsid w:val="00AA04CB"/>
    <w:rsid w:val="00AA05E8"/>
    <w:rsid w:val="00AA0970"/>
    <w:rsid w:val="00AA0B20"/>
    <w:rsid w:val="00AA0D78"/>
    <w:rsid w:val="00AA0EEB"/>
    <w:rsid w:val="00AA0F36"/>
    <w:rsid w:val="00AA115E"/>
    <w:rsid w:val="00AA12E1"/>
    <w:rsid w:val="00AA146E"/>
    <w:rsid w:val="00AA1645"/>
    <w:rsid w:val="00AA1A06"/>
    <w:rsid w:val="00AA1A52"/>
    <w:rsid w:val="00AA2A01"/>
    <w:rsid w:val="00AA2B7D"/>
    <w:rsid w:val="00AA2F10"/>
    <w:rsid w:val="00AA2F56"/>
    <w:rsid w:val="00AA33B7"/>
    <w:rsid w:val="00AA3872"/>
    <w:rsid w:val="00AA390C"/>
    <w:rsid w:val="00AA3DE9"/>
    <w:rsid w:val="00AA4161"/>
    <w:rsid w:val="00AA4FD7"/>
    <w:rsid w:val="00AA58B4"/>
    <w:rsid w:val="00AA58FA"/>
    <w:rsid w:val="00AA5906"/>
    <w:rsid w:val="00AA675C"/>
    <w:rsid w:val="00AA6DB0"/>
    <w:rsid w:val="00AA701F"/>
    <w:rsid w:val="00AA725F"/>
    <w:rsid w:val="00AA72AC"/>
    <w:rsid w:val="00AA781F"/>
    <w:rsid w:val="00AB0879"/>
    <w:rsid w:val="00AB0C15"/>
    <w:rsid w:val="00AB0CE8"/>
    <w:rsid w:val="00AB0E20"/>
    <w:rsid w:val="00AB0EAB"/>
    <w:rsid w:val="00AB16D1"/>
    <w:rsid w:val="00AB17C4"/>
    <w:rsid w:val="00AB1846"/>
    <w:rsid w:val="00AB1B6F"/>
    <w:rsid w:val="00AB1ED4"/>
    <w:rsid w:val="00AB1F80"/>
    <w:rsid w:val="00AB2083"/>
    <w:rsid w:val="00AB22C0"/>
    <w:rsid w:val="00AB259F"/>
    <w:rsid w:val="00AB2A0D"/>
    <w:rsid w:val="00AB2A15"/>
    <w:rsid w:val="00AB2D91"/>
    <w:rsid w:val="00AB310A"/>
    <w:rsid w:val="00AB315F"/>
    <w:rsid w:val="00AB3491"/>
    <w:rsid w:val="00AB3541"/>
    <w:rsid w:val="00AB3DFF"/>
    <w:rsid w:val="00AB3FAC"/>
    <w:rsid w:val="00AB4541"/>
    <w:rsid w:val="00AB46F8"/>
    <w:rsid w:val="00AB47B4"/>
    <w:rsid w:val="00AB4FBF"/>
    <w:rsid w:val="00AB54E6"/>
    <w:rsid w:val="00AB5AD0"/>
    <w:rsid w:val="00AB5B70"/>
    <w:rsid w:val="00AB5C36"/>
    <w:rsid w:val="00AB5D1B"/>
    <w:rsid w:val="00AB5F3D"/>
    <w:rsid w:val="00AB5FEA"/>
    <w:rsid w:val="00AB6DE9"/>
    <w:rsid w:val="00AC0185"/>
    <w:rsid w:val="00AC03FA"/>
    <w:rsid w:val="00AC0481"/>
    <w:rsid w:val="00AC0634"/>
    <w:rsid w:val="00AC0F96"/>
    <w:rsid w:val="00AC0F9E"/>
    <w:rsid w:val="00AC1026"/>
    <w:rsid w:val="00AC118F"/>
    <w:rsid w:val="00AC1239"/>
    <w:rsid w:val="00AC12EE"/>
    <w:rsid w:val="00AC13D1"/>
    <w:rsid w:val="00AC1A35"/>
    <w:rsid w:val="00AC1FB8"/>
    <w:rsid w:val="00AC2078"/>
    <w:rsid w:val="00AC2343"/>
    <w:rsid w:val="00AC235F"/>
    <w:rsid w:val="00AC2592"/>
    <w:rsid w:val="00AC2DAD"/>
    <w:rsid w:val="00AC305C"/>
    <w:rsid w:val="00AC31D9"/>
    <w:rsid w:val="00AC3879"/>
    <w:rsid w:val="00AC3CC4"/>
    <w:rsid w:val="00AC3E3C"/>
    <w:rsid w:val="00AC40AD"/>
    <w:rsid w:val="00AC4A72"/>
    <w:rsid w:val="00AC52E9"/>
    <w:rsid w:val="00AC5481"/>
    <w:rsid w:val="00AC5603"/>
    <w:rsid w:val="00AC56D7"/>
    <w:rsid w:val="00AC57B1"/>
    <w:rsid w:val="00AC57D5"/>
    <w:rsid w:val="00AC5D66"/>
    <w:rsid w:val="00AC5E67"/>
    <w:rsid w:val="00AC6742"/>
    <w:rsid w:val="00AC6D82"/>
    <w:rsid w:val="00AC6FBC"/>
    <w:rsid w:val="00AC721E"/>
    <w:rsid w:val="00AC72B4"/>
    <w:rsid w:val="00AC7351"/>
    <w:rsid w:val="00AC784D"/>
    <w:rsid w:val="00AC7A43"/>
    <w:rsid w:val="00AC7C17"/>
    <w:rsid w:val="00AC7E46"/>
    <w:rsid w:val="00AC7E54"/>
    <w:rsid w:val="00AC7F5B"/>
    <w:rsid w:val="00AD0333"/>
    <w:rsid w:val="00AD03CF"/>
    <w:rsid w:val="00AD0834"/>
    <w:rsid w:val="00AD0C00"/>
    <w:rsid w:val="00AD0D3D"/>
    <w:rsid w:val="00AD1BE5"/>
    <w:rsid w:val="00AD2613"/>
    <w:rsid w:val="00AD26B9"/>
    <w:rsid w:val="00AD284C"/>
    <w:rsid w:val="00AD2A45"/>
    <w:rsid w:val="00AD2F1E"/>
    <w:rsid w:val="00AD32A8"/>
    <w:rsid w:val="00AD3774"/>
    <w:rsid w:val="00AD3930"/>
    <w:rsid w:val="00AD3C7B"/>
    <w:rsid w:val="00AD3CCF"/>
    <w:rsid w:val="00AD3D88"/>
    <w:rsid w:val="00AD441D"/>
    <w:rsid w:val="00AD5BDA"/>
    <w:rsid w:val="00AD5DFA"/>
    <w:rsid w:val="00AD68B3"/>
    <w:rsid w:val="00AD695B"/>
    <w:rsid w:val="00AD6A1B"/>
    <w:rsid w:val="00AD6E1D"/>
    <w:rsid w:val="00AD6E4E"/>
    <w:rsid w:val="00AD6F1D"/>
    <w:rsid w:val="00AD756D"/>
    <w:rsid w:val="00AD7602"/>
    <w:rsid w:val="00AD7F8E"/>
    <w:rsid w:val="00AE0017"/>
    <w:rsid w:val="00AE0771"/>
    <w:rsid w:val="00AE0A80"/>
    <w:rsid w:val="00AE0AF5"/>
    <w:rsid w:val="00AE14F1"/>
    <w:rsid w:val="00AE15A2"/>
    <w:rsid w:val="00AE15C7"/>
    <w:rsid w:val="00AE15D9"/>
    <w:rsid w:val="00AE184A"/>
    <w:rsid w:val="00AE1E15"/>
    <w:rsid w:val="00AE2030"/>
    <w:rsid w:val="00AE21EE"/>
    <w:rsid w:val="00AE23E5"/>
    <w:rsid w:val="00AE2989"/>
    <w:rsid w:val="00AE2BD1"/>
    <w:rsid w:val="00AE2DB7"/>
    <w:rsid w:val="00AE30A0"/>
    <w:rsid w:val="00AE30C9"/>
    <w:rsid w:val="00AE35D6"/>
    <w:rsid w:val="00AE3921"/>
    <w:rsid w:val="00AE3970"/>
    <w:rsid w:val="00AE3B00"/>
    <w:rsid w:val="00AE3D08"/>
    <w:rsid w:val="00AE3D1B"/>
    <w:rsid w:val="00AE3E81"/>
    <w:rsid w:val="00AE3FF1"/>
    <w:rsid w:val="00AE42EA"/>
    <w:rsid w:val="00AE5953"/>
    <w:rsid w:val="00AE5DA0"/>
    <w:rsid w:val="00AE68B3"/>
    <w:rsid w:val="00AE6EFC"/>
    <w:rsid w:val="00AE73DA"/>
    <w:rsid w:val="00AE7BE4"/>
    <w:rsid w:val="00AE7F48"/>
    <w:rsid w:val="00AF001C"/>
    <w:rsid w:val="00AF0529"/>
    <w:rsid w:val="00AF0FCD"/>
    <w:rsid w:val="00AF13E5"/>
    <w:rsid w:val="00AF155B"/>
    <w:rsid w:val="00AF1E49"/>
    <w:rsid w:val="00AF1E5B"/>
    <w:rsid w:val="00AF2466"/>
    <w:rsid w:val="00AF28EA"/>
    <w:rsid w:val="00AF2B18"/>
    <w:rsid w:val="00AF2D09"/>
    <w:rsid w:val="00AF3163"/>
    <w:rsid w:val="00AF33A0"/>
    <w:rsid w:val="00AF36D0"/>
    <w:rsid w:val="00AF3914"/>
    <w:rsid w:val="00AF3C12"/>
    <w:rsid w:val="00AF412F"/>
    <w:rsid w:val="00AF433E"/>
    <w:rsid w:val="00AF4545"/>
    <w:rsid w:val="00AF4556"/>
    <w:rsid w:val="00AF4E58"/>
    <w:rsid w:val="00AF543E"/>
    <w:rsid w:val="00AF5D9A"/>
    <w:rsid w:val="00AF5E9F"/>
    <w:rsid w:val="00AF60E0"/>
    <w:rsid w:val="00AF67AB"/>
    <w:rsid w:val="00AF6DD6"/>
    <w:rsid w:val="00AF70A5"/>
    <w:rsid w:val="00AF75D0"/>
    <w:rsid w:val="00AF79FC"/>
    <w:rsid w:val="00AF7FAD"/>
    <w:rsid w:val="00B001C5"/>
    <w:rsid w:val="00B0063C"/>
    <w:rsid w:val="00B00703"/>
    <w:rsid w:val="00B00868"/>
    <w:rsid w:val="00B00BB9"/>
    <w:rsid w:val="00B00EC2"/>
    <w:rsid w:val="00B012C1"/>
    <w:rsid w:val="00B0191C"/>
    <w:rsid w:val="00B024FB"/>
    <w:rsid w:val="00B0275E"/>
    <w:rsid w:val="00B027C8"/>
    <w:rsid w:val="00B027CE"/>
    <w:rsid w:val="00B02A17"/>
    <w:rsid w:val="00B02CA6"/>
    <w:rsid w:val="00B02F2B"/>
    <w:rsid w:val="00B03663"/>
    <w:rsid w:val="00B040CD"/>
    <w:rsid w:val="00B04209"/>
    <w:rsid w:val="00B04213"/>
    <w:rsid w:val="00B0511D"/>
    <w:rsid w:val="00B057A7"/>
    <w:rsid w:val="00B05BF6"/>
    <w:rsid w:val="00B05C0D"/>
    <w:rsid w:val="00B06288"/>
    <w:rsid w:val="00B0629B"/>
    <w:rsid w:val="00B064AD"/>
    <w:rsid w:val="00B067A4"/>
    <w:rsid w:val="00B067E6"/>
    <w:rsid w:val="00B067EC"/>
    <w:rsid w:val="00B06E0D"/>
    <w:rsid w:val="00B06E94"/>
    <w:rsid w:val="00B072E8"/>
    <w:rsid w:val="00B074D0"/>
    <w:rsid w:val="00B107D8"/>
    <w:rsid w:val="00B10C51"/>
    <w:rsid w:val="00B110CC"/>
    <w:rsid w:val="00B1154C"/>
    <w:rsid w:val="00B11AF6"/>
    <w:rsid w:val="00B11F80"/>
    <w:rsid w:val="00B1227C"/>
    <w:rsid w:val="00B12648"/>
    <w:rsid w:val="00B1273E"/>
    <w:rsid w:val="00B12B39"/>
    <w:rsid w:val="00B12B45"/>
    <w:rsid w:val="00B12C03"/>
    <w:rsid w:val="00B13012"/>
    <w:rsid w:val="00B13587"/>
    <w:rsid w:val="00B137DD"/>
    <w:rsid w:val="00B138E2"/>
    <w:rsid w:val="00B13AAA"/>
    <w:rsid w:val="00B13D4E"/>
    <w:rsid w:val="00B13E6E"/>
    <w:rsid w:val="00B150E1"/>
    <w:rsid w:val="00B150F5"/>
    <w:rsid w:val="00B15231"/>
    <w:rsid w:val="00B15BEC"/>
    <w:rsid w:val="00B15E6A"/>
    <w:rsid w:val="00B166AB"/>
    <w:rsid w:val="00B167F2"/>
    <w:rsid w:val="00B169DE"/>
    <w:rsid w:val="00B16CB8"/>
    <w:rsid w:val="00B16FAA"/>
    <w:rsid w:val="00B171CF"/>
    <w:rsid w:val="00B175F0"/>
    <w:rsid w:val="00B17AC1"/>
    <w:rsid w:val="00B17D72"/>
    <w:rsid w:val="00B20683"/>
    <w:rsid w:val="00B20C80"/>
    <w:rsid w:val="00B20D13"/>
    <w:rsid w:val="00B2102B"/>
    <w:rsid w:val="00B218D4"/>
    <w:rsid w:val="00B21E45"/>
    <w:rsid w:val="00B21F6F"/>
    <w:rsid w:val="00B229B8"/>
    <w:rsid w:val="00B22A24"/>
    <w:rsid w:val="00B2307D"/>
    <w:rsid w:val="00B23FDC"/>
    <w:rsid w:val="00B2409C"/>
    <w:rsid w:val="00B24105"/>
    <w:rsid w:val="00B2419F"/>
    <w:rsid w:val="00B24486"/>
    <w:rsid w:val="00B24712"/>
    <w:rsid w:val="00B24D75"/>
    <w:rsid w:val="00B24D9A"/>
    <w:rsid w:val="00B24F2C"/>
    <w:rsid w:val="00B2508E"/>
    <w:rsid w:val="00B25C77"/>
    <w:rsid w:val="00B25E19"/>
    <w:rsid w:val="00B25EC5"/>
    <w:rsid w:val="00B26101"/>
    <w:rsid w:val="00B262C2"/>
    <w:rsid w:val="00B2642C"/>
    <w:rsid w:val="00B276D6"/>
    <w:rsid w:val="00B27BCE"/>
    <w:rsid w:val="00B27D23"/>
    <w:rsid w:val="00B30586"/>
    <w:rsid w:val="00B305B5"/>
    <w:rsid w:val="00B305FF"/>
    <w:rsid w:val="00B30D64"/>
    <w:rsid w:val="00B3127D"/>
    <w:rsid w:val="00B3138D"/>
    <w:rsid w:val="00B31E8A"/>
    <w:rsid w:val="00B3231E"/>
    <w:rsid w:val="00B325FA"/>
    <w:rsid w:val="00B32806"/>
    <w:rsid w:val="00B329C5"/>
    <w:rsid w:val="00B32C94"/>
    <w:rsid w:val="00B32D0C"/>
    <w:rsid w:val="00B32F28"/>
    <w:rsid w:val="00B33614"/>
    <w:rsid w:val="00B33748"/>
    <w:rsid w:val="00B338F6"/>
    <w:rsid w:val="00B33980"/>
    <w:rsid w:val="00B339BD"/>
    <w:rsid w:val="00B339E9"/>
    <w:rsid w:val="00B34907"/>
    <w:rsid w:val="00B34BD4"/>
    <w:rsid w:val="00B350FE"/>
    <w:rsid w:val="00B35441"/>
    <w:rsid w:val="00B35498"/>
    <w:rsid w:val="00B3564A"/>
    <w:rsid w:val="00B35685"/>
    <w:rsid w:val="00B35B5D"/>
    <w:rsid w:val="00B36399"/>
    <w:rsid w:val="00B369F4"/>
    <w:rsid w:val="00B36B93"/>
    <w:rsid w:val="00B36FC0"/>
    <w:rsid w:val="00B37067"/>
    <w:rsid w:val="00B3754C"/>
    <w:rsid w:val="00B37722"/>
    <w:rsid w:val="00B378CA"/>
    <w:rsid w:val="00B40007"/>
    <w:rsid w:val="00B40129"/>
    <w:rsid w:val="00B4088D"/>
    <w:rsid w:val="00B40BEE"/>
    <w:rsid w:val="00B40C7D"/>
    <w:rsid w:val="00B41644"/>
    <w:rsid w:val="00B422A9"/>
    <w:rsid w:val="00B422E1"/>
    <w:rsid w:val="00B4251B"/>
    <w:rsid w:val="00B4269A"/>
    <w:rsid w:val="00B42726"/>
    <w:rsid w:val="00B42CFF"/>
    <w:rsid w:val="00B42DBA"/>
    <w:rsid w:val="00B43793"/>
    <w:rsid w:val="00B43BBA"/>
    <w:rsid w:val="00B44402"/>
    <w:rsid w:val="00B44695"/>
    <w:rsid w:val="00B447CD"/>
    <w:rsid w:val="00B449E0"/>
    <w:rsid w:val="00B44D0B"/>
    <w:rsid w:val="00B45443"/>
    <w:rsid w:val="00B45471"/>
    <w:rsid w:val="00B459E9"/>
    <w:rsid w:val="00B462BE"/>
    <w:rsid w:val="00B4699C"/>
    <w:rsid w:val="00B46A1B"/>
    <w:rsid w:val="00B46DDD"/>
    <w:rsid w:val="00B4782E"/>
    <w:rsid w:val="00B479F3"/>
    <w:rsid w:val="00B47AE7"/>
    <w:rsid w:val="00B50514"/>
    <w:rsid w:val="00B50B72"/>
    <w:rsid w:val="00B50D42"/>
    <w:rsid w:val="00B510F4"/>
    <w:rsid w:val="00B512D3"/>
    <w:rsid w:val="00B513A2"/>
    <w:rsid w:val="00B51531"/>
    <w:rsid w:val="00B51A8C"/>
    <w:rsid w:val="00B5252D"/>
    <w:rsid w:val="00B529AD"/>
    <w:rsid w:val="00B52A3F"/>
    <w:rsid w:val="00B5301C"/>
    <w:rsid w:val="00B53075"/>
    <w:rsid w:val="00B531FF"/>
    <w:rsid w:val="00B535D1"/>
    <w:rsid w:val="00B53BAC"/>
    <w:rsid w:val="00B549CC"/>
    <w:rsid w:val="00B54DC8"/>
    <w:rsid w:val="00B558B6"/>
    <w:rsid w:val="00B55D4E"/>
    <w:rsid w:val="00B55FF3"/>
    <w:rsid w:val="00B5630D"/>
    <w:rsid w:val="00B564A2"/>
    <w:rsid w:val="00B567FA"/>
    <w:rsid w:val="00B56D5E"/>
    <w:rsid w:val="00B5715A"/>
    <w:rsid w:val="00B57396"/>
    <w:rsid w:val="00B573DC"/>
    <w:rsid w:val="00B577C7"/>
    <w:rsid w:val="00B57A57"/>
    <w:rsid w:val="00B57B1F"/>
    <w:rsid w:val="00B57BE6"/>
    <w:rsid w:val="00B60111"/>
    <w:rsid w:val="00B6019B"/>
    <w:rsid w:val="00B603B5"/>
    <w:rsid w:val="00B6081E"/>
    <w:rsid w:val="00B613A3"/>
    <w:rsid w:val="00B614B2"/>
    <w:rsid w:val="00B615BB"/>
    <w:rsid w:val="00B61BA6"/>
    <w:rsid w:val="00B62831"/>
    <w:rsid w:val="00B63866"/>
    <w:rsid w:val="00B639B3"/>
    <w:rsid w:val="00B64279"/>
    <w:rsid w:val="00B643F0"/>
    <w:rsid w:val="00B6477D"/>
    <w:rsid w:val="00B6492E"/>
    <w:rsid w:val="00B64BA1"/>
    <w:rsid w:val="00B64F13"/>
    <w:rsid w:val="00B65BFE"/>
    <w:rsid w:val="00B65EBC"/>
    <w:rsid w:val="00B670B6"/>
    <w:rsid w:val="00B67483"/>
    <w:rsid w:val="00B67856"/>
    <w:rsid w:val="00B67EF7"/>
    <w:rsid w:val="00B70472"/>
    <w:rsid w:val="00B704A8"/>
    <w:rsid w:val="00B70E86"/>
    <w:rsid w:val="00B71373"/>
    <w:rsid w:val="00B714C7"/>
    <w:rsid w:val="00B71517"/>
    <w:rsid w:val="00B71830"/>
    <w:rsid w:val="00B71B34"/>
    <w:rsid w:val="00B7215F"/>
    <w:rsid w:val="00B72A81"/>
    <w:rsid w:val="00B72B73"/>
    <w:rsid w:val="00B73221"/>
    <w:rsid w:val="00B73E79"/>
    <w:rsid w:val="00B73F65"/>
    <w:rsid w:val="00B7422C"/>
    <w:rsid w:val="00B7425A"/>
    <w:rsid w:val="00B74A91"/>
    <w:rsid w:val="00B74F07"/>
    <w:rsid w:val="00B7576C"/>
    <w:rsid w:val="00B75AD6"/>
    <w:rsid w:val="00B75D1B"/>
    <w:rsid w:val="00B75E98"/>
    <w:rsid w:val="00B76858"/>
    <w:rsid w:val="00B76C88"/>
    <w:rsid w:val="00B77CD3"/>
    <w:rsid w:val="00B8055D"/>
    <w:rsid w:val="00B808D7"/>
    <w:rsid w:val="00B80D49"/>
    <w:rsid w:val="00B810CA"/>
    <w:rsid w:val="00B811EF"/>
    <w:rsid w:val="00B81727"/>
    <w:rsid w:val="00B8183A"/>
    <w:rsid w:val="00B81F44"/>
    <w:rsid w:val="00B81F48"/>
    <w:rsid w:val="00B8242B"/>
    <w:rsid w:val="00B82DDB"/>
    <w:rsid w:val="00B8304F"/>
    <w:rsid w:val="00B832B4"/>
    <w:rsid w:val="00B83488"/>
    <w:rsid w:val="00B83864"/>
    <w:rsid w:val="00B838B1"/>
    <w:rsid w:val="00B83A7D"/>
    <w:rsid w:val="00B83DCB"/>
    <w:rsid w:val="00B83DF7"/>
    <w:rsid w:val="00B84074"/>
    <w:rsid w:val="00B84167"/>
    <w:rsid w:val="00B842B2"/>
    <w:rsid w:val="00B8430F"/>
    <w:rsid w:val="00B8449D"/>
    <w:rsid w:val="00B8463E"/>
    <w:rsid w:val="00B84944"/>
    <w:rsid w:val="00B84B39"/>
    <w:rsid w:val="00B853DE"/>
    <w:rsid w:val="00B85AD3"/>
    <w:rsid w:val="00B85B93"/>
    <w:rsid w:val="00B85CB8"/>
    <w:rsid w:val="00B85D25"/>
    <w:rsid w:val="00B863D3"/>
    <w:rsid w:val="00B86957"/>
    <w:rsid w:val="00B86B07"/>
    <w:rsid w:val="00B8778B"/>
    <w:rsid w:val="00B878A6"/>
    <w:rsid w:val="00B878C2"/>
    <w:rsid w:val="00B878EB"/>
    <w:rsid w:val="00B90379"/>
    <w:rsid w:val="00B90566"/>
    <w:rsid w:val="00B909F3"/>
    <w:rsid w:val="00B90F02"/>
    <w:rsid w:val="00B91611"/>
    <w:rsid w:val="00B92126"/>
    <w:rsid w:val="00B922F8"/>
    <w:rsid w:val="00B93284"/>
    <w:rsid w:val="00B934EA"/>
    <w:rsid w:val="00B94C04"/>
    <w:rsid w:val="00B95088"/>
    <w:rsid w:val="00B9697D"/>
    <w:rsid w:val="00B96D82"/>
    <w:rsid w:val="00B973D7"/>
    <w:rsid w:val="00BA09A3"/>
    <w:rsid w:val="00BA1195"/>
    <w:rsid w:val="00BA1F05"/>
    <w:rsid w:val="00BA1F11"/>
    <w:rsid w:val="00BA1F8D"/>
    <w:rsid w:val="00BA2458"/>
    <w:rsid w:val="00BA278E"/>
    <w:rsid w:val="00BA27E2"/>
    <w:rsid w:val="00BA29E9"/>
    <w:rsid w:val="00BA2C76"/>
    <w:rsid w:val="00BA2D20"/>
    <w:rsid w:val="00BA32D6"/>
    <w:rsid w:val="00BA3819"/>
    <w:rsid w:val="00BA40F9"/>
    <w:rsid w:val="00BA429E"/>
    <w:rsid w:val="00BA4330"/>
    <w:rsid w:val="00BA4621"/>
    <w:rsid w:val="00BA4D70"/>
    <w:rsid w:val="00BA516F"/>
    <w:rsid w:val="00BA5884"/>
    <w:rsid w:val="00BA599C"/>
    <w:rsid w:val="00BA673F"/>
    <w:rsid w:val="00BA677C"/>
    <w:rsid w:val="00BA6BD2"/>
    <w:rsid w:val="00BA6CEE"/>
    <w:rsid w:val="00BA6FE5"/>
    <w:rsid w:val="00BA732A"/>
    <w:rsid w:val="00BA7464"/>
    <w:rsid w:val="00BA75E6"/>
    <w:rsid w:val="00BA7C9A"/>
    <w:rsid w:val="00BA7CE2"/>
    <w:rsid w:val="00BA7D2D"/>
    <w:rsid w:val="00BB02EB"/>
    <w:rsid w:val="00BB094E"/>
    <w:rsid w:val="00BB0B29"/>
    <w:rsid w:val="00BB0BED"/>
    <w:rsid w:val="00BB17DD"/>
    <w:rsid w:val="00BB195D"/>
    <w:rsid w:val="00BB1BE1"/>
    <w:rsid w:val="00BB1E86"/>
    <w:rsid w:val="00BB1FF0"/>
    <w:rsid w:val="00BB209C"/>
    <w:rsid w:val="00BB213D"/>
    <w:rsid w:val="00BB2C98"/>
    <w:rsid w:val="00BB31E0"/>
    <w:rsid w:val="00BB3283"/>
    <w:rsid w:val="00BB330E"/>
    <w:rsid w:val="00BB345A"/>
    <w:rsid w:val="00BB361C"/>
    <w:rsid w:val="00BB384D"/>
    <w:rsid w:val="00BB38A7"/>
    <w:rsid w:val="00BB3DB4"/>
    <w:rsid w:val="00BB3E27"/>
    <w:rsid w:val="00BB42D2"/>
    <w:rsid w:val="00BB4C29"/>
    <w:rsid w:val="00BB518B"/>
    <w:rsid w:val="00BB5369"/>
    <w:rsid w:val="00BB57F8"/>
    <w:rsid w:val="00BB670A"/>
    <w:rsid w:val="00BB6823"/>
    <w:rsid w:val="00BB6E97"/>
    <w:rsid w:val="00BB75E4"/>
    <w:rsid w:val="00BB75F1"/>
    <w:rsid w:val="00BB7837"/>
    <w:rsid w:val="00BC039D"/>
    <w:rsid w:val="00BC0CB1"/>
    <w:rsid w:val="00BC1027"/>
    <w:rsid w:val="00BC1207"/>
    <w:rsid w:val="00BC1238"/>
    <w:rsid w:val="00BC1374"/>
    <w:rsid w:val="00BC169B"/>
    <w:rsid w:val="00BC16BC"/>
    <w:rsid w:val="00BC1988"/>
    <w:rsid w:val="00BC27F5"/>
    <w:rsid w:val="00BC2AC2"/>
    <w:rsid w:val="00BC2D98"/>
    <w:rsid w:val="00BC37BB"/>
    <w:rsid w:val="00BC3B82"/>
    <w:rsid w:val="00BC3F42"/>
    <w:rsid w:val="00BC4009"/>
    <w:rsid w:val="00BC4386"/>
    <w:rsid w:val="00BC4B7B"/>
    <w:rsid w:val="00BC5B95"/>
    <w:rsid w:val="00BC5F8A"/>
    <w:rsid w:val="00BC6263"/>
    <w:rsid w:val="00BC6417"/>
    <w:rsid w:val="00BC6426"/>
    <w:rsid w:val="00BC65F3"/>
    <w:rsid w:val="00BC7258"/>
    <w:rsid w:val="00BC74C8"/>
    <w:rsid w:val="00BC7B20"/>
    <w:rsid w:val="00BC7B30"/>
    <w:rsid w:val="00BC7CA4"/>
    <w:rsid w:val="00BD0116"/>
    <w:rsid w:val="00BD026C"/>
    <w:rsid w:val="00BD0F25"/>
    <w:rsid w:val="00BD1024"/>
    <w:rsid w:val="00BD105F"/>
    <w:rsid w:val="00BD10E6"/>
    <w:rsid w:val="00BD128D"/>
    <w:rsid w:val="00BD139D"/>
    <w:rsid w:val="00BD19B7"/>
    <w:rsid w:val="00BD1AB2"/>
    <w:rsid w:val="00BD1B46"/>
    <w:rsid w:val="00BD1B62"/>
    <w:rsid w:val="00BD1DD7"/>
    <w:rsid w:val="00BD1E2B"/>
    <w:rsid w:val="00BD2BA8"/>
    <w:rsid w:val="00BD2BE2"/>
    <w:rsid w:val="00BD30F1"/>
    <w:rsid w:val="00BD318B"/>
    <w:rsid w:val="00BD3468"/>
    <w:rsid w:val="00BD3C32"/>
    <w:rsid w:val="00BD3C83"/>
    <w:rsid w:val="00BD3F2C"/>
    <w:rsid w:val="00BD45FA"/>
    <w:rsid w:val="00BD480E"/>
    <w:rsid w:val="00BD5583"/>
    <w:rsid w:val="00BD5711"/>
    <w:rsid w:val="00BD5713"/>
    <w:rsid w:val="00BD586E"/>
    <w:rsid w:val="00BD5995"/>
    <w:rsid w:val="00BD59D0"/>
    <w:rsid w:val="00BD5A27"/>
    <w:rsid w:val="00BD5C42"/>
    <w:rsid w:val="00BD604F"/>
    <w:rsid w:val="00BD6470"/>
    <w:rsid w:val="00BD6522"/>
    <w:rsid w:val="00BD661A"/>
    <w:rsid w:val="00BD67AE"/>
    <w:rsid w:val="00BD6C68"/>
    <w:rsid w:val="00BD6F9F"/>
    <w:rsid w:val="00BD71CD"/>
    <w:rsid w:val="00BD7461"/>
    <w:rsid w:val="00BD7505"/>
    <w:rsid w:val="00BD78F8"/>
    <w:rsid w:val="00BD792E"/>
    <w:rsid w:val="00BD7DA2"/>
    <w:rsid w:val="00BD7FB3"/>
    <w:rsid w:val="00BE06D4"/>
    <w:rsid w:val="00BE076A"/>
    <w:rsid w:val="00BE0C0F"/>
    <w:rsid w:val="00BE1234"/>
    <w:rsid w:val="00BE1860"/>
    <w:rsid w:val="00BE1C64"/>
    <w:rsid w:val="00BE2409"/>
    <w:rsid w:val="00BE2C6C"/>
    <w:rsid w:val="00BE2EA1"/>
    <w:rsid w:val="00BE36AC"/>
    <w:rsid w:val="00BE3B3F"/>
    <w:rsid w:val="00BE3BCF"/>
    <w:rsid w:val="00BE4048"/>
    <w:rsid w:val="00BE41B1"/>
    <w:rsid w:val="00BE480F"/>
    <w:rsid w:val="00BE50CA"/>
    <w:rsid w:val="00BE55BE"/>
    <w:rsid w:val="00BE60CA"/>
    <w:rsid w:val="00BE6B8E"/>
    <w:rsid w:val="00BE6BDC"/>
    <w:rsid w:val="00BE6C08"/>
    <w:rsid w:val="00BE7142"/>
    <w:rsid w:val="00BE722E"/>
    <w:rsid w:val="00BE7E82"/>
    <w:rsid w:val="00BF0567"/>
    <w:rsid w:val="00BF081F"/>
    <w:rsid w:val="00BF11BC"/>
    <w:rsid w:val="00BF16BB"/>
    <w:rsid w:val="00BF1729"/>
    <w:rsid w:val="00BF19F1"/>
    <w:rsid w:val="00BF1AF8"/>
    <w:rsid w:val="00BF1E9E"/>
    <w:rsid w:val="00BF21BE"/>
    <w:rsid w:val="00BF24C6"/>
    <w:rsid w:val="00BF2520"/>
    <w:rsid w:val="00BF278B"/>
    <w:rsid w:val="00BF27E9"/>
    <w:rsid w:val="00BF31FD"/>
    <w:rsid w:val="00BF34A9"/>
    <w:rsid w:val="00BF36B2"/>
    <w:rsid w:val="00BF376A"/>
    <w:rsid w:val="00BF4023"/>
    <w:rsid w:val="00BF40C2"/>
    <w:rsid w:val="00BF40FF"/>
    <w:rsid w:val="00BF4146"/>
    <w:rsid w:val="00BF4D4C"/>
    <w:rsid w:val="00BF5590"/>
    <w:rsid w:val="00BF56A5"/>
    <w:rsid w:val="00BF5DB7"/>
    <w:rsid w:val="00BF62EC"/>
    <w:rsid w:val="00BF6315"/>
    <w:rsid w:val="00BF6597"/>
    <w:rsid w:val="00BF697A"/>
    <w:rsid w:val="00BF6AB7"/>
    <w:rsid w:val="00BF6B49"/>
    <w:rsid w:val="00BF6D64"/>
    <w:rsid w:val="00BF73E8"/>
    <w:rsid w:val="00BF75E3"/>
    <w:rsid w:val="00BF7788"/>
    <w:rsid w:val="00BF795E"/>
    <w:rsid w:val="00C007A6"/>
    <w:rsid w:val="00C00DD4"/>
    <w:rsid w:val="00C014CF"/>
    <w:rsid w:val="00C01792"/>
    <w:rsid w:val="00C017C5"/>
    <w:rsid w:val="00C01B5B"/>
    <w:rsid w:val="00C020F4"/>
    <w:rsid w:val="00C0235A"/>
    <w:rsid w:val="00C02C5C"/>
    <w:rsid w:val="00C02FCA"/>
    <w:rsid w:val="00C03174"/>
    <w:rsid w:val="00C033C9"/>
    <w:rsid w:val="00C03A44"/>
    <w:rsid w:val="00C03E77"/>
    <w:rsid w:val="00C04044"/>
    <w:rsid w:val="00C04599"/>
    <w:rsid w:val="00C051AE"/>
    <w:rsid w:val="00C0559F"/>
    <w:rsid w:val="00C0570C"/>
    <w:rsid w:val="00C05B36"/>
    <w:rsid w:val="00C06ABE"/>
    <w:rsid w:val="00C06B4F"/>
    <w:rsid w:val="00C06E28"/>
    <w:rsid w:val="00C07015"/>
    <w:rsid w:val="00C076BE"/>
    <w:rsid w:val="00C079C8"/>
    <w:rsid w:val="00C07A99"/>
    <w:rsid w:val="00C10324"/>
    <w:rsid w:val="00C10490"/>
    <w:rsid w:val="00C10844"/>
    <w:rsid w:val="00C10B5C"/>
    <w:rsid w:val="00C1111A"/>
    <w:rsid w:val="00C11F17"/>
    <w:rsid w:val="00C12807"/>
    <w:rsid w:val="00C1296F"/>
    <w:rsid w:val="00C1299C"/>
    <w:rsid w:val="00C12E55"/>
    <w:rsid w:val="00C12ED2"/>
    <w:rsid w:val="00C130E6"/>
    <w:rsid w:val="00C13A51"/>
    <w:rsid w:val="00C14016"/>
    <w:rsid w:val="00C14788"/>
    <w:rsid w:val="00C14A50"/>
    <w:rsid w:val="00C14BAA"/>
    <w:rsid w:val="00C14CCC"/>
    <w:rsid w:val="00C14CF1"/>
    <w:rsid w:val="00C14E33"/>
    <w:rsid w:val="00C15733"/>
    <w:rsid w:val="00C15A54"/>
    <w:rsid w:val="00C15C55"/>
    <w:rsid w:val="00C15E25"/>
    <w:rsid w:val="00C1605F"/>
    <w:rsid w:val="00C16C6F"/>
    <w:rsid w:val="00C179E4"/>
    <w:rsid w:val="00C17F34"/>
    <w:rsid w:val="00C20372"/>
    <w:rsid w:val="00C204A1"/>
    <w:rsid w:val="00C20B41"/>
    <w:rsid w:val="00C20C81"/>
    <w:rsid w:val="00C20DBD"/>
    <w:rsid w:val="00C214E1"/>
    <w:rsid w:val="00C21D8D"/>
    <w:rsid w:val="00C2205E"/>
    <w:rsid w:val="00C22428"/>
    <w:rsid w:val="00C228CE"/>
    <w:rsid w:val="00C22ABD"/>
    <w:rsid w:val="00C22BB7"/>
    <w:rsid w:val="00C22E3E"/>
    <w:rsid w:val="00C23234"/>
    <w:rsid w:val="00C2366A"/>
    <w:rsid w:val="00C238A1"/>
    <w:rsid w:val="00C238D5"/>
    <w:rsid w:val="00C23CFE"/>
    <w:rsid w:val="00C23E66"/>
    <w:rsid w:val="00C23FEE"/>
    <w:rsid w:val="00C24798"/>
    <w:rsid w:val="00C24CAF"/>
    <w:rsid w:val="00C24EBC"/>
    <w:rsid w:val="00C24F5B"/>
    <w:rsid w:val="00C258DF"/>
    <w:rsid w:val="00C25996"/>
    <w:rsid w:val="00C25AA2"/>
    <w:rsid w:val="00C25D76"/>
    <w:rsid w:val="00C26009"/>
    <w:rsid w:val="00C268CA"/>
    <w:rsid w:val="00C26981"/>
    <w:rsid w:val="00C26DD7"/>
    <w:rsid w:val="00C26F5C"/>
    <w:rsid w:val="00C276EF"/>
    <w:rsid w:val="00C2786B"/>
    <w:rsid w:val="00C27BD6"/>
    <w:rsid w:val="00C30318"/>
    <w:rsid w:val="00C306CF"/>
    <w:rsid w:val="00C30C7D"/>
    <w:rsid w:val="00C30CEF"/>
    <w:rsid w:val="00C30EC1"/>
    <w:rsid w:val="00C31308"/>
    <w:rsid w:val="00C31759"/>
    <w:rsid w:val="00C318F3"/>
    <w:rsid w:val="00C31B94"/>
    <w:rsid w:val="00C320AE"/>
    <w:rsid w:val="00C32228"/>
    <w:rsid w:val="00C32476"/>
    <w:rsid w:val="00C32E66"/>
    <w:rsid w:val="00C3383B"/>
    <w:rsid w:val="00C3389D"/>
    <w:rsid w:val="00C33B90"/>
    <w:rsid w:val="00C33D69"/>
    <w:rsid w:val="00C340DF"/>
    <w:rsid w:val="00C345F1"/>
    <w:rsid w:val="00C34D79"/>
    <w:rsid w:val="00C3535F"/>
    <w:rsid w:val="00C35ECC"/>
    <w:rsid w:val="00C35F90"/>
    <w:rsid w:val="00C35FE6"/>
    <w:rsid w:val="00C362F8"/>
    <w:rsid w:val="00C369D2"/>
    <w:rsid w:val="00C36CCB"/>
    <w:rsid w:val="00C36CE4"/>
    <w:rsid w:val="00C36E39"/>
    <w:rsid w:val="00C378B1"/>
    <w:rsid w:val="00C378B2"/>
    <w:rsid w:val="00C401DA"/>
    <w:rsid w:val="00C402E2"/>
    <w:rsid w:val="00C40379"/>
    <w:rsid w:val="00C40412"/>
    <w:rsid w:val="00C40748"/>
    <w:rsid w:val="00C4081C"/>
    <w:rsid w:val="00C40A71"/>
    <w:rsid w:val="00C40C47"/>
    <w:rsid w:val="00C40CEC"/>
    <w:rsid w:val="00C40D06"/>
    <w:rsid w:val="00C41277"/>
    <w:rsid w:val="00C413CB"/>
    <w:rsid w:val="00C41417"/>
    <w:rsid w:val="00C414B7"/>
    <w:rsid w:val="00C41A4D"/>
    <w:rsid w:val="00C41B24"/>
    <w:rsid w:val="00C41E93"/>
    <w:rsid w:val="00C42A22"/>
    <w:rsid w:val="00C42EB9"/>
    <w:rsid w:val="00C42F07"/>
    <w:rsid w:val="00C42FD2"/>
    <w:rsid w:val="00C4383C"/>
    <w:rsid w:val="00C43922"/>
    <w:rsid w:val="00C43A07"/>
    <w:rsid w:val="00C43FCC"/>
    <w:rsid w:val="00C447CF"/>
    <w:rsid w:val="00C44D39"/>
    <w:rsid w:val="00C452C0"/>
    <w:rsid w:val="00C45B95"/>
    <w:rsid w:val="00C45D3A"/>
    <w:rsid w:val="00C46562"/>
    <w:rsid w:val="00C467C4"/>
    <w:rsid w:val="00C46AD9"/>
    <w:rsid w:val="00C46D81"/>
    <w:rsid w:val="00C46E25"/>
    <w:rsid w:val="00C46FCC"/>
    <w:rsid w:val="00C4713B"/>
    <w:rsid w:val="00C4761B"/>
    <w:rsid w:val="00C47749"/>
    <w:rsid w:val="00C47A39"/>
    <w:rsid w:val="00C47E70"/>
    <w:rsid w:val="00C507DF"/>
    <w:rsid w:val="00C50E8C"/>
    <w:rsid w:val="00C50F07"/>
    <w:rsid w:val="00C510A9"/>
    <w:rsid w:val="00C510BB"/>
    <w:rsid w:val="00C51267"/>
    <w:rsid w:val="00C51754"/>
    <w:rsid w:val="00C51813"/>
    <w:rsid w:val="00C51936"/>
    <w:rsid w:val="00C519B9"/>
    <w:rsid w:val="00C51E58"/>
    <w:rsid w:val="00C52CC4"/>
    <w:rsid w:val="00C53186"/>
    <w:rsid w:val="00C53859"/>
    <w:rsid w:val="00C53B69"/>
    <w:rsid w:val="00C54088"/>
    <w:rsid w:val="00C54122"/>
    <w:rsid w:val="00C547A7"/>
    <w:rsid w:val="00C54D58"/>
    <w:rsid w:val="00C54E02"/>
    <w:rsid w:val="00C54E2B"/>
    <w:rsid w:val="00C54FC9"/>
    <w:rsid w:val="00C551AE"/>
    <w:rsid w:val="00C55FDE"/>
    <w:rsid w:val="00C56616"/>
    <w:rsid w:val="00C56686"/>
    <w:rsid w:val="00C569CF"/>
    <w:rsid w:val="00C56D34"/>
    <w:rsid w:val="00C56DB6"/>
    <w:rsid w:val="00C56DE6"/>
    <w:rsid w:val="00C56E9F"/>
    <w:rsid w:val="00C60008"/>
    <w:rsid w:val="00C60D25"/>
    <w:rsid w:val="00C61025"/>
    <w:rsid w:val="00C61911"/>
    <w:rsid w:val="00C62706"/>
    <w:rsid w:val="00C62707"/>
    <w:rsid w:val="00C630DF"/>
    <w:rsid w:val="00C631CA"/>
    <w:rsid w:val="00C631CF"/>
    <w:rsid w:val="00C635FE"/>
    <w:rsid w:val="00C64093"/>
    <w:rsid w:val="00C6484E"/>
    <w:rsid w:val="00C64CDF"/>
    <w:rsid w:val="00C64FFA"/>
    <w:rsid w:val="00C6533E"/>
    <w:rsid w:val="00C655EE"/>
    <w:rsid w:val="00C65847"/>
    <w:rsid w:val="00C65BFE"/>
    <w:rsid w:val="00C65DD1"/>
    <w:rsid w:val="00C65F44"/>
    <w:rsid w:val="00C65F61"/>
    <w:rsid w:val="00C66B58"/>
    <w:rsid w:val="00C66C62"/>
    <w:rsid w:val="00C66E4B"/>
    <w:rsid w:val="00C6756D"/>
    <w:rsid w:val="00C678B2"/>
    <w:rsid w:val="00C67C52"/>
    <w:rsid w:val="00C67C96"/>
    <w:rsid w:val="00C70239"/>
    <w:rsid w:val="00C70666"/>
    <w:rsid w:val="00C70D65"/>
    <w:rsid w:val="00C7111A"/>
    <w:rsid w:val="00C71168"/>
    <w:rsid w:val="00C7198B"/>
    <w:rsid w:val="00C71ECA"/>
    <w:rsid w:val="00C721B3"/>
    <w:rsid w:val="00C726AB"/>
    <w:rsid w:val="00C727ED"/>
    <w:rsid w:val="00C72B2F"/>
    <w:rsid w:val="00C72E6D"/>
    <w:rsid w:val="00C735EA"/>
    <w:rsid w:val="00C73781"/>
    <w:rsid w:val="00C73785"/>
    <w:rsid w:val="00C73D64"/>
    <w:rsid w:val="00C73EDC"/>
    <w:rsid w:val="00C73FA1"/>
    <w:rsid w:val="00C74021"/>
    <w:rsid w:val="00C74126"/>
    <w:rsid w:val="00C744DA"/>
    <w:rsid w:val="00C744E0"/>
    <w:rsid w:val="00C74BEF"/>
    <w:rsid w:val="00C74E86"/>
    <w:rsid w:val="00C74F32"/>
    <w:rsid w:val="00C753C0"/>
    <w:rsid w:val="00C75500"/>
    <w:rsid w:val="00C75552"/>
    <w:rsid w:val="00C75614"/>
    <w:rsid w:val="00C75658"/>
    <w:rsid w:val="00C75893"/>
    <w:rsid w:val="00C75FBF"/>
    <w:rsid w:val="00C763AA"/>
    <w:rsid w:val="00C76585"/>
    <w:rsid w:val="00C76A11"/>
    <w:rsid w:val="00C76EBF"/>
    <w:rsid w:val="00C7739D"/>
    <w:rsid w:val="00C7776E"/>
    <w:rsid w:val="00C778B1"/>
    <w:rsid w:val="00C7797C"/>
    <w:rsid w:val="00C77E89"/>
    <w:rsid w:val="00C80124"/>
    <w:rsid w:val="00C805D9"/>
    <w:rsid w:val="00C80E0A"/>
    <w:rsid w:val="00C80E91"/>
    <w:rsid w:val="00C81908"/>
    <w:rsid w:val="00C81A37"/>
    <w:rsid w:val="00C82145"/>
    <w:rsid w:val="00C821CE"/>
    <w:rsid w:val="00C82228"/>
    <w:rsid w:val="00C82265"/>
    <w:rsid w:val="00C8250A"/>
    <w:rsid w:val="00C82FB0"/>
    <w:rsid w:val="00C85226"/>
    <w:rsid w:val="00C85D1E"/>
    <w:rsid w:val="00C86385"/>
    <w:rsid w:val="00C8639B"/>
    <w:rsid w:val="00C8641B"/>
    <w:rsid w:val="00C8667A"/>
    <w:rsid w:val="00C86824"/>
    <w:rsid w:val="00C86BFD"/>
    <w:rsid w:val="00C870D3"/>
    <w:rsid w:val="00C87B28"/>
    <w:rsid w:val="00C87CF0"/>
    <w:rsid w:val="00C9000C"/>
    <w:rsid w:val="00C90053"/>
    <w:rsid w:val="00C90215"/>
    <w:rsid w:val="00C905F9"/>
    <w:rsid w:val="00C909C5"/>
    <w:rsid w:val="00C90B3A"/>
    <w:rsid w:val="00C90DDB"/>
    <w:rsid w:val="00C90F9F"/>
    <w:rsid w:val="00C91162"/>
    <w:rsid w:val="00C91588"/>
    <w:rsid w:val="00C91DF3"/>
    <w:rsid w:val="00C91FCF"/>
    <w:rsid w:val="00C92047"/>
    <w:rsid w:val="00C9216D"/>
    <w:rsid w:val="00C92363"/>
    <w:rsid w:val="00C9246D"/>
    <w:rsid w:val="00C926FE"/>
    <w:rsid w:val="00C92C9B"/>
    <w:rsid w:val="00C92EEE"/>
    <w:rsid w:val="00C92F87"/>
    <w:rsid w:val="00C93222"/>
    <w:rsid w:val="00C93481"/>
    <w:rsid w:val="00C93571"/>
    <w:rsid w:val="00C9379E"/>
    <w:rsid w:val="00C93DDE"/>
    <w:rsid w:val="00C93E2E"/>
    <w:rsid w:val="00C94BD0"/>
    <w:rsid w:val="00C94C76"/>
    <w:rsid w:val="00C94DC3"/>
    <w:rsid w:val="00C9511B"/>
    <w:rsid w:val="00C9529B"/>
    <w:rsid w:val="00C95533"/>
    <w:rsid w:val="00C95603"/>
    <w:rsid w:val="00C957F2"/>
    <w:rsid w:val="00C9596B"/>
    <w:rsid w:val="00C960CA"/>
    <w:rsid w:val="00C9645F"/>
    <w:rsid w:val="00C96CDA"/>
    <w:rsid w:val="00C97418"/>
    <w:rsid w:val="00C97D7A"/>
    <w:rsid w:val="00CA01D2"/>
    <w:rsid w:val="00CA02B7"/>
    <w:rsid w:val="00CA04F1"/>
    <w:rsid w:val="00CA0849"/>
    <w:rsid w:val="00CA0C0E"/>
    <w:rsid w:val="00CA0F53"/>
    <w:rsid w:val="00CA0FDA"/>
    <w:rsid w:val="00CA10C8"/>
    <w:rsid w:val="00CA173C"/>
    <w:rsid w:val="00CA1CA4"/>
    <w:rsid w:val="00CA2362"/>
    <w:rsid w:val="00CA2EC4"/>
    <w:rsid w:val="00CA396F"/>
    <w:rsid w:val="00CA3CB3"/>
    <w:rsid w:val="00CA44B9"/>
    <w:rsid w:val="00CA479E"/>
    <w:rsid w:val="00CA4903"/>
    <w:rsid w:val="00CA4D45"/>
    <w:rsid w:val="00CA501A"/>
    <w:rsid w:val="00CA5143"/>
    <w:rsid w:val="00CA5243"/>
    <w:rsid w:val="00CA58E2"/>
    <w:rsid w:val="00CA5A1C"/>
    <w:rsid w:val="00CA5CE9"/>
    <w:rsid w:val="00CA5D9E"/>
    <w:rsid w:val="00CA5DFF"/>
    <w:rsid w:val="00CA63E4"/>
    <w:rsid w:val="00CA6A66"/>
    <w:rsid w:val="00CA6BCD"/>
    <w:rsid w:val="00CA6E9D"/>
    <w:rsid w:val="00CA70A2"/>
    <w:rsid w:val="00CA71EB"/>
    <w:rsid w:val="00CA72DA"/>
    <w:rsid w:val="00CA731D"/>
    <w:rsid w:val="00CA77E8"/>
    <w:rsid w:val="00CA79AE"/>
    <w:rsid w:val="00CA7E25"/>
    <w:rsid w:val="00CA7E71"/>
    <w:rsid w:val="00CB011E"/>
    <w:rsid w:val="00CB053B"/>
    <w:rsid w:val="00CB0567"/>
    <w:rsid w:val="00CB0937"/>
    <w:rsid w:val="00CB0AB7"/>
    <w:rsid w:val="00CB0D75"/>
    <w:rsid w:val="00CB0EFA"/>
    <w:rsid w:val="00CB234D"/>
    <w:rsid w:val="00CB2533"/>
    <w:rsid w:val="00CB25BF"/>
    <w:rsid w:val="00CB267B"/>
    <w:rsid w:val="00CB28F1"/>
    <w:rsid w:val="00CB2C8A"/>
    <w:rsid w:val="00CB2D13"/>
    <w:rsid w:val="00CB2E0A"/>
    <w:rsid w:val="00CB32EA"/>
    <w:rsid w:val="00CB3901"/>
    <w:rsid w:val="00CB3DE9"/>
    <w:rsid w:val="00CB4279"/>
    <w:rsid w:val="00CB43EE"/>
    <w:rsid w:val="00CB4884"/>
    <w:rsid w:val="00CB4A82"/>
    <w:rsid w:val="00CB4CA1"/>
    <w:rsid w:val="00CB50B7"/>
    <w:rsid w:val="00CB5266"/>
    <w:rsid w:val="00CB590E"/>
    <w:rsid w:val="00CB676C"/>
    <w:rsid w:val="00CB6A82"/>
    <w:rsid w:val="00CB6B0D"/>
    <w:rsid w:val="00CB7B80"/>
    <w:rsid w:val="00CB7F96"/>
    <w:rsid w:val="00CB7FD6"/>
    <w:rsid w:val="00CC091C"/>
    <w:rsid w:val="00CC09EF"/>
    <w:rsid w:val="00CC0B1A"/>
    <w:rsid w:val="00CC0CB7"/>
    <w:rsid w:val="00CC0DDD"/>
    <w:rsid w:val="00CC0F33"/>
    <w:rsid w:val="00CC1294"/>
    <w:rsid w:val="00CC12E9"/>
    <w:rsid w:val="00CC14B6"/>
    <w:rsid w:val="00CC1522"/>
    <w:rsid w:val="00CC1B67"/>
    <w:rsid w:val="00CC1B74"/>
    <w:rsid w:val="00CC1C8A"/>
    <w:rsid w:val="00CC1EF7"/>
    <w:rsid w:val="00CC2699"/>
    <w:rsid w:val="00CC2C7C"/>
    <w:rsid w:val="00CC2D97"/>
    <w:rsid w:val="00CC3376"/>
    <w:rsid w:val="00CC3A9A"/>
    <w:rsid w:val="00CC3E37"/>
    <w:rsid w:val="00CC4623"/>
    <w:rsid w:val="00CC4791"/>
    <w:rsid w:val="00CC48A6"/>
    <w:rsid w:val="00CC4E8D"/>
    <w:rsid w:val="00CC5096"/>
    <w:rsid w:val="00CC5247"/>
    <w:rsid w:val="00CC5A41"/>
    <w:rsid w:val="00CC5CC8"/>
    <w:rsid w:val="00CC5DB8"/>
    <w:rsid w:val="00CC5E89"/>
    <w:rsid w:val="00CC6195"/>
    <w:rsid w:val="00CC6209"/>
    <w:rsid w:val="00CC65CF"/>
    <w:rsid w:val="00CC6768"/>
    <w:rsid w:val="00CC6807"/>
    <w:rsid w:val="00CC6EC0"/>
    <w:rsid w:val="00CC6F5A"/>
    <w:rsid w:val="00CC7D16"/>
    <w:rsid w:val="00CD0BE1"/>
    <w:rsid w:val="00CD1029"/>
    <w:rsid w:val="00CD1A31"/>
    <w:rsid w:val="00CD1BE3"/>
    <w:rsid w:val="00CD1C26"/>
    <w:rsid w:val="00CD1EF9"/>
    <w:rsid w:val="00CD23E4"/>
    <w:rsid w:val="00CD2466"/>
    <w:rsid w:val="00CD273B"/>
    <w:rsid w:val="00CD2856"/>
    <w:rsid w:val="00CD3575"/>
    <w:rsid w:val="00CD36C0"/>
    <w:rsid w:val="00CD3737"/>
    <w:rsid w:val="00CD3740"/>
    <w:rsid w:val="00CD3901"/>
    <w:rsid w:val="00CD39D1"/>
    <w:rsid w:val="00CD3C18"/>
    <w:rsid w:val="00CD44BA"/>
    <w:rsid w:val="00CD47FD"/>
    <w:rsid w:val="00CD485F"/>
    <w:rsid w:val="00CD4B78"/>
    <w:rsid w:val="00CD4C04"/>
    <w:rsid w:val="00CD59D1"/>
    <w:rsid w:val="00CD61B2"/>
    <w:rsid w:val="00CD6821"/>
    <w:rsid w:val="00CD6E79"/>
    <w:rsid w:val="00CD732B"/>
    <w:rsid w:val="00CD7AB1"/>
    <w:rsid w:val="00CD7CB6"/>
    <w:rsid w:val="00CD7D06"/>
    <w:rsid w:val="00CD7D80"/>
    <w:rsid w:val="00CE070A"/>
    <w:rsid w:val="00CE0A0F"/>
    <w:rsid w:val="00CE0B65"/>
    <w:rsid w:val="00CE0CD0"/>
    <w:rsid w:val="00CE12EA"/>
    <w:rsid w:val="00CE164F"/>
    <w:rsid w:val="00CE1895"/>
    <w:rsid w:val="00CE1A0F"/>
    <w:rsid w:val="00CE1B20"/>
    <w:rsid w:val="00CE1D60"/>
    <w:rsid w:val="00CE217C"/>
    <w:rsid w:val="00CE29CA"/>
    <w:rsid w:val="00CE2A92"/>
    <w:rsid w:val="00CE361C"/>
    <w:rsid w:val="00CE37C1"/>
    <w:rsid w:val="00CE38EB"/>
    <w:rsid w:val="00CE3A53"/>
    <w:rsid w:val="00CE3D30"/>
    <w:rsid w:val="00CE4210"/>
    <w:rsid w:val="00CE4525"/>
    <w:rsid w:val="00CE4AE9"/>
    <w:rsid w:val="00CE4B53"/>
    <w:rsid w:val="00CE579F"/>
    <w:rsid w:val="00CE5BB0"/>
    <w:rsid w:val="00CE657F"/>
    <w:rsid w:val="00CE6A95"/>
    <w:rsid w:val="00CE6D96"/>
    <w:rsid w:val="00CE6F64"/>
    <w:rsid w:val="00CE748F"/>
    <w:rsid w:val="00CE75DA"/>
    <w:rsid w:val="00CE76B2"/>
    <w:rsid w:val="00CE7B2E"/>
    <w:rsid w:val="00CF009B"/>
    <w:rsid w:val="00CF0286"/>
    <w:rsid w:val="00CF040E"/>
    <w:rsid w:val="00CF0450"/>
    <w:rsid w:val="00CF0749"/>
    <w:rsid w:val="00CF0BEA"/>
    <w:rsid w:val="00CF0CFB"/>
    <w:rsid w:val="00CF0DC5"/>
    <w:rsid w:val="00CF103E"/>
    <w:rsid w:val="00CF1179"/>
    <w:rsid w:val="00CF131F"/>
    <w:rsid w:val="00CF1321"/>
    <w:rsid w:val="00CF1459"/>
    <w:rsid w:val="00CF149D"/>
    <w:rsid w:val="00CF1664"/>
    <w:rsid w:val="00CF16FA"/>
    <w:rsid w:val="00CF17ED"/>
    <w:rsid w:val="00CF1A11"/>
    <w:rsid w:val="00CF1CDB"/>
    <w:rsid w:val="00CF2289"/>
    <w:rsid w:val="00CF2290"/>
    <w:rsid w:val="00CF2772"/>
    <w:rsid w:val="00CF2AAD"/>
    <w:rsid w:val="00CF2F79"/>
    <w:rsid w:val="00CF349B"/>
    <w:rsid w:val="00CF378B"/>
    <w:rsid w:val="00CF41B9"/>
    <w:rsid w:val="00CF469C"/>
    <w:rsid w:val="00CF4706"/>
    <w:rsid w:val="00CF4743"/>
    <w:rsid w:val="00CF4D39"/>
    <w:rsid w:val="00CF4F9D"/>
    <w:rsid w:val="00CF53C7"/>
    <w:rsid w:val="00CF54F6"/>
    <w:rsid w:val="00CF5C31"/>
    <w:rsid w:val="00CF61A8"/>
    <w:rsid w:val="00CF65D5"/>
    <w:rsid w:val="00CF6A9A"/>
    <w:rsid w:val="00CF6D89"/>
    <w:rsid w:val="00D007DC"/>
    <w:rsid w:val="00D00CC3"/>
    <w:rsid w:val="00D00EAD"/>
    <w:rsid w:val="00D015AC"/>
    <w:rsid w:val="00D0162E"/>
    <w:rsid w:val="00D017C3"/>
    <w:rsid w:val="00D01948"/>
    <w:rsid w:val="00D019AF"/>
    <w:rsid w:val="00D01A0E"/>
    <w:rsid w:val="00D01AF5"/>
    <w:rsid w:val="00D02144"/>
    <w:rsid w:val="00D02678"/>
    <w:rsid w:val="00D02E5D"/>
    <w:rsid w:val="00D032EE"/>
    <w:rsid w:val="00D033DE"/>
    <w:rsid w:val="00D03519"/>
    <w:rsid w:val="00D03C2C"/>
    <w:rsid w:val="00D03C98"/>
    <w:rsid w:val="00D0403F"/>
    <w:rsid w:val="00D044E2"/>
    <w:rsid w:val="00D04A44"/>
    <w:rsid w:val="00D04D0E"/>
    <w:rsid w:val="00D04EB1"/>
    <w:rsid w:val="00D0535A"/>
    <w:rsid w:val="00D05381"/>
    <w:rsid w:val="00D0564C"/>
    <w:rsid w:val="00D0616D"/>
    <w:rsid w:val="00D06200"/>
    <w:rsid w:val="00D0642B"/>
    <w:rsid w:val="00D06DA0"/>
    <w:rsid w:val="00D0707B"/>
    <w:rsid w:val="00D070AF"/>
    <w:rsid w:val="00D0766F"/>
    <w:rsid w:val="00D078DA"/>
    <w:rsid w:val="00D07BB6"/>
    <w:rsid w:val="00D07F54"/>
    <w:rsid w:val="00D1013B"/>
    <w:rsid w:val="00D1049A"/>
    <w:rsid w:val="00D109FF"/>
    <w:rsid w:val="00D10AE1"/>
    <w:rsid w:val="00D10CB6"/>
    <w:rsid w:val="00D1103C"/>
    <w:rsid w:val="00D112FC"/>
    <w:rsid w:val="00D114BE"/>
    <w:rsid w:val="00D1161E"/>
    <w:rsid w:val="00D11F0A"/>
    <w:rsid w:val="00D12032"/>
    <w:rsid w:val="00D1248A"/>
    <w:rsid w:val="00D12546"/>
    <w:rsid w:val="00D12ACD"/>
    <w:rsid w:val="00D131FE"/>
    <w:rsid w:val="00D1359C"/>
    <w:rsid w:val="00D14107"/>
    <w:rsid w:val="00D14653"/>
    <w:rsid w:val="00D146AC"/>
    <w:rsid w:val="00D14F2B"/>
    <w:rsid w:val="00D15381"/>
    <w:rsid w:val="00D15441"/>
    <w:rsid w:val="00D163D6"/>
    <w:rsid w:val="00D1685A"/>
    <w:rsid w:val="00D16C16"/>
    <w:rsid w:val="00D16D50"/>
    <w:rsid w:val="00D16FB0"/>
    <w:rsid w:val="00D173E8"/>
    <w:rsid w:val="00D17446"/>
    <w:rsid w:val="00D17814"/>
    <w:rsid w:val="00D17B0D"/>
    <w:rsid w:val="00D17C74"/>
    <w:rsid w:val="00D17DB0"/>
    <w:rsid w:val="00D17F07"/>
    <w:rsid w:val="00D20922"/>
    <w:rsid w:val="00D20BDF"/>
    <w:rsid w:val="00D2156F"/>
    <w:rsid w:val="00D21921"/>
    <w:rsid w:val="00D21A9E"/>
    <w:rsid w:val="00D21AE8"/>
    <w:rsid w:val="00D21AF8"/>
    <w:rsid w:val="00D21C9A"/>
    <w:rsid w:val="00D21C9E"/>
    <w:rsid w:val="00D2200E"/>
    <w:rsid w:val="00D2231A"/>
    <w:rsid w:val="00D223FA"/>
    <w:rsid w:val="00D226EC"/>
    <w:rsid w:val="00D2276C"/>
    <w:rsid w:val="00D22A12"/>
    <w:rsid w:val="00D22DA6"/>
    <w:rsid w:val="00D2320E"/>
    <w:rsid w:val="00D243D7"/>
    <w:rsid w:val="00D24958"/>
    <w:rsid w:val="00D24C6F"/>
    <w:rsid w:val="00D24DCD"/>
    <w:rsid w:val="00D2568F"/>
    <w:rsid w:val="00D25D42"/>
    <w:rsid w:val="00D25F82"/>
    <w:rsid w:val="00D2603F"/>
    <w:rsid w:val="00D2612D"/>
    <w:rsid w:val="00D26427"/>
    <w:rsid w:val="00D266A2"/>
    <w:rsid w:val="00D26A32"/>
    <w:rsid w:val="00D26B6B"/>
    <w:rsid w:val="00D26B89"/>
    <w:rsid w:val="00D26D52"/>
    <w:rsid w:val="00D2757A"/>
    <w:rsid w:val="00D275B4"/>
    <w:rsid w:val="00D2775C"/>
    <w:rsid w:val="00D27A0C"/>
    <w:rsid w:val="00D27A9D"/>
    <w:rsid w:val="00D27B1D"/>
    <w:rsid w:val="00D30168"/>
    <w:rsid w:val="00D30785"/>
    <w:rsid w:val="00D311D4"/>
    <w:rsid w:val="00D3127B"/>
    <w:rsid w:val="00D318A5"/>
    <w:rsid w:val="00D31F57"/>
    <w:rsid w:val="00D31F98"/>
    <w:rsid w:val="00D32093"/>
    <w:rsid w:val="00D325C1"/>
    <w:rsid w:val="00D32607"/>
    <w:rsid w:val="00D32782"/>
    <w:rsid w:val="00D32847"/>
    <w:rsid w:val="00D32A54"/>
    <w:rsid w:val="00D32D33"/>
    <w:rsid w:val="00D32D75"/>
    <w:rsid w:val="00D32FD7"/>
    <w:rsid w:val="00D33891"/>
    <w:rsid w:val="00D33F15"/>
    <w:rsid w:val="00D3405A"/>
    <w:rsid w:val="00D34690"/>
    <w:rsid w:val="00D3547F"/>
    <w:rsid w:val="00D35E7B"/>
    <w:rsid w:val="00D35EA5"/>
    <w:rsid w:val="00D3629E"/>
    <w:rsid w:val="00D362C3"/>
    <w:rsid w:val="00D3676B"/>
    <w:rsid w:val="00D36842"/>
    <w:rsid w:val="00D36C51"/>
    <w:rsid w:val="00D36F83"/>
    <w:rsid w:val="00D371DB"/>
    <w:rsid w:val="00D3772B"/>
    <w:rsid w:val="00D37878"/>
    <w:rsid w:val="00D37957"/>
    <w:rsid w:val="00D37B8E"/>
    <w:rsid w:val="00D37BF8"/>
    <w:rsid w:val="00D37C53"/>
    <w:rsid w:val="00D401E2"/>
    <w:rsid w:val="00D4041B"/>
    <w:rsid w:val="00D408F3"/>
    <w:rsid w:val="00D40AA8"/>
    <w:rsid w:val="00D40B8A"/>
    <w:rsid w:val="00D40C24"/>
    <w:rsid w:val="00D41006"/>
    <w:rsid w:val="00D41661"/>
    <w:rsid w:val="00D41A6E"/>
    <w:rsid w:val="00D41D6B"/>
    <w:rsid w:val="00D420BF"/>
    <w:rsid w:val="00D42487"/>
    <w:rsid w:val="00D4250E"/>
    <w:rsid w:val="00D42C64"/>
    <w:rsid w:val="00D42E17"/>
    <w:rsid w:val="00D42E49"/>
    <w:rsid w:val="00D42EDB"/>
    <w:rsid w:val="00D42FAC"/>
    <w:rsid w:val="00D435A2"/>
    <w:rsid w:val="00D4394B"/>
    <w:rsid w:val="00D43BE0"/>
    <w:rsid w:val="00D43E43"/>
    <w:rsid w:val="00D44099"/>
    <w:rsid w:val="00D443A2"/>
    <w:rsid w:val="00D4440A"/>
    <w:rsid w:val="00D44BCE"/>
    <w:rsid w:val="00D458FB"/>
    <w:rsid w:val="00D461B3"/>
    <w:rsid w:val="00D4756C"/>
    <w:rsid w:val="00D47AD7"/>
    <w:rsid w:val="00D47BBB"/>
    <w:rsid w:val="00D500AD"/>
    <w:rsid w:val="00D502D4"/>
    <w:rsid w:val="00D50486"/>
    <w:rsid w:val="00D50620"/>
    <w:rsid w:val="00D50A19"/>
    <w:rsid w:val="00D50A5F"/>
    <w:rsid w:val="00D51402"/>
    <w:rsid w:val="00D515F4"/>
    <w:rsid w:val="00D5178B"/>
    <w:rsid w:val="00D51A9F"/>
    <w:rsid w:val="00D51BEE"/>
    <w:rsid w:val="00D51E4B"/>
    <w:rsid w:val="00D5231A"/>
    <w:rsid w:val="00D52B58"/>
    <w:rsid w:val="00D5339E"/>
    <w:rsid w:val="00D53A2A"/>
    <w:rsid w:val="00D53D03"/>
    <w:rsid w:val="00D53D4E"/>
    <w:rsid w:val="00D53DBE"/>
    <w:rsid w:val="00D53F6A"/>
    <w:rsid w:val="00D5458B"/>
    <w:rsid w:val="00D54974"/>
    <w:rsid w:val="00D55532"/>
    <w:rsid w:val="00D561D0"/>
    <w:rsid w:val="00D56231"/>
    <w:rsid w:val="00D565C4"/>
    <w:rsid w:val="00D56618"/>
    <w:rsid w:val="00D5690C"/>
    <w:rsid w:val="00D56EF0"/>
    <w:rsid w:val="00D56F76"/>
    <w:rsid w:val="00D57C74"/>
    <w:rsid w:val="00D6043D"/>
    <w:rsid w:val="00D60496"/>
    <w:rsid w:val="00D6056F"/>
    <w:rsid w:val="00D60DCD"/>
    <w:rsid w:val="00D61251"/>
    <w:rsid w:val="00D61A94"/>
    <w:rsid w:val="00D6249E"/>
    <w:rsid w:val="00D62801"/>
    <w:rsid w:val="00D62CA3"/>
    <w:rsid w:val="00D62F37"/>
    <w:rsid w:val="00D62F42"/>
    <w:rsid w:val="00D637D7"/>
    <w:rsid w:val="00D63B29"/>
    <w:rsid w:val="00D63BC0"/>
    <w:rsid w:val="00D644C5"/>
    <w:rsid w:val="00D644D1"/>
    <w:rsid w:val="00D64CAC"/>
    <w:rsid w:val="00D650AA"/>
    <w:rsid w:val="00D65164"/>
    <w:rsid w:val="00D654DB"/>
    <w:rsid w:val="00D65562"/>
    <w:rsid w:val="00D656F8"/>
    <w:rsid w:val="00D65A5A"/>
    <w:rsid w:val="00D65CC7"/>
    <w:rsid w:val="00D65CE8"/>
    <w:rsid w:val="00D65DE9"/>
    <w:rsid w:val="00D662A0"/>
    <w:rsid w:val="00D666D5"/>
    <w:rsid w:val="00D669EC"/>
    <w:rsid w:val="00D677DC"/>
    <w:rsid w:val="00D678D1"/>
    <w:rsid w:val="00D67B2B"/>
    <w:rsid w:val="00D67B6C"/>
    <w:rsid w:val="00D70009"/>
    <w:rsid w:val="00D7024A"/>
    <w:rsid w:val="00D70540"/>
    <w:rsid w:val="00D709B4"/>
    <w:rsid w:val="00D70B7C"/>
    <w:rsid w:val="00D70BC9"/>
    <w:rsid w:val="00D70C21"/>
    <w:rsid w:val="00D70D1B"/>
    <w:rsid w:val="00D7195B"/>
    <w:rsid w:val="00D719B7"/>
    <w:rsid w:val="00D721D7"/>
    <w:rsid w:val="00D725D3"/>
    <w:rsid w:val="00D72717"/>
    <w:rsid w:val="00D7291C"/>
    <w:rsid w:val="00D72AAC"/>
    <w:rsid w:val="00D734A1"/>
    <w:rsid w:val="00D73696"/>
    <w:rsid w:val="00D73FA5"/>
    <w:rsid w:val="00D74004"/>
    <w:rsid w:val="00D7401A"/>
    <w:rsid w:val="00D74117"/>
    <w:rsid w:val="00D74A91"/>
    <w:rsid w:val="00D74AE7"/>
    <w:rsid w:val="00D74CA2"/>
    <w:rsid w:val="00D74CC2"/>
    <w:rsid w:val="00D74DC7"/>
    <w:rsid w:val="00D75AA7"/>
    <w:rsid w:val="00D75B1F"/>
    <w:rsid w:val="00D76506"/>
    <w:rsid w:val="00D76B56"/>
    <w:rsid w:val="00D802AC"/>
    <w:rsid w:val="00D80917"/>
    <w:rsid w:val="00D817C8"/>
    <w:rsid w:val="00D82676"/>
    <w:rsid w:val="00D82F53"/>
    <w:rsid w:val="00D83163"/>
    <w:rsid w:val="00D83268"/>
    <w:rsid w:val="00D835B1"/>
    <w:rsid w:val="00D8381B"/>
    <w:rsid w:val="00D83C05"/>
    <w:rsid w:val="00D83D5F"/>
    <w:rsid w:val="00D83E66"/>
    <w:rsid w:val="00D84C1E"/>
    <w:rsid w:val="00D84CF3"/>
    <w:rsid w:val="00D85E2F"/>
    <w:rsid w:val="00D864BC"/>
    <w:rsid w:val="00D8668E"/>
    <w:rsid w:val="00D86A1D"/>
    <w:rsid w:val="00D871C3"/>
    <w:rsid w:val="00D87274"/>
    <w:rsid w:val="00D87B4E"/>
    <w:rsid w:val="00D90A3D"/>
    <w:rsid w:val="00D911FE"/>
    <w:rsid w:val="00D9141B"/>
    <w:rsid w:val="00D914FE"/>
    <w:rsid w:val="00D919E5"/>
    <w:rsid w:val="00D91D82"/>
    <w:rsid w:val="00D91EF6"/>
    <w:rsid w:val="00D92115"/>
    <w:rsid w:val="00D9218B"/>
    <w:rsid w:val="00D9225D"/>
    <w:rsid w:val="00D9285A"/>
    <w:rsid w:val="00D92C6B"/>
    <w:rsid w:val="00D93522"/>
    <w:rsid w:val="00D9371E"/>
    <w:rsid w:val="00D937CC"/>
    <w:rsid w:val="00D93965"/>
    <w:rsid w:val="00D939AC"/>
    <w:rsid w:val="00D93DFA"/>
    <w:rsid w:val="00D93F01"/>
    <w:rsid w:val="00D9408A"/>
    <w:rsid w:val="00D9435D"/>
    <w:rsid w:val="00D943E0"/>
    <w:rsid w:val="00D9490A"/>
    <w:rsid w:val="00D94BD5"/>
    <w:rsid w:val="00D94C29"/>
    <w:rsid w:val="00D95367"/>
    <w:rsid w:val="00D95854"/>
    <w:rsid w:val="00D9595E"/>
    <w:rsid w:val="00D95F1E"/>
    <w:rsid w:val="00D960EB"/>
    <w:rsid w:val="00D96A54"/>
    <w:rsid w:val="00D97018"/>
    <w:rsid w:val="00D97232"/>
    <w:rsid w:val="00D9759E"/>
    <w:rsid w:val="00D9781B"/>
    <w:rsid w:val="00D97D29"/>
    <w:rsid w:val="00DA00BC"/>
    <w:rsid w:val="00DA01CA"/>
    <w:rsid w:val="00DA023E"/>
    <w:rsid w:val="00DA0AFC"/>
    <w:rsid w:val="00DA12D2"/>
    <w:rsid w:val="00DA12E8"/>
    <w:rsid w:val="00DA1A84"/>
    <w:rsid w:val="00DA1BCE"/>
    <w:rsid w:val="00DA21FB"/>
    <w:rsid w:val="00DA2A3D"/>
    <w:rsid w:val="00DA2BDD"/>
    <w:rsid w:val="00DA2D29"/>
    <w:rsid w:val="00DA316B"/>
    <w:rsid w:val="00DA317F"/>
    <w:rsid w:val="00DA38A8"/>
    <w:rsid w:val="00DA40CB"/>
    <w:rsid w:val="00DA430E"/>
    <w:rsid w:val="00DA4621"/>
    <w:rsid w:val="00DA4935"/>
    <w:rsid w:val="00DA62C3"/>
    <w:rsid w:val="00DA6676"/>
    <w:rsid w:val="00DA6C06"/>
    <w:rsid w:val="00DA6CFF"/>
    <w:rsid w:val="00DA6FA8"/>
    <w:rsid w:val="00DA74A3"/>
    <w:rsid w:val="00DA77FA"/>
    <w:rsid w:val="00DA78AA"/>
    <w:rsid w:val="00DA7B90"/>
    <w:rsid w:val="00DA7EB8"/>
    <w:rsid w:val="00DB04A9"/>
    <w:rsid w:val="00DB0C92"/>
    <w:rsid w:val="00DB1007"/>
    <w:rsid w:val="00DB1119"/>
    <w:rsid w:val="00DB163C"/>
    <w:rsid w:val="00DB1764"/>
    <w:rsid w:val="00DB1C0D"/>
    <w:rsid w:val="00DB2100"/>
    <w:rsid w:val="00DB214D"/>
    <w:rsid w:val="00DB21A7"/>
    <w:rsid w:val="00DB21DD"/>
    <w:rsid w:val="00DB2291"/>
    <w:rsid w:val="00DB2360"/>
    <w:rsid w:val="00DB2AFA"/>
    <w:rsid w:val="00DB2E38"/>
    <w:rsid w:val="00DB3150"/>
    <w:rsid w:val="00DB3613"/>
    <w:rsid w:val="00DB379C"/>
    <w:rsid w:val="00DB383A"/>
    <w:rsid w:val="00DB3BCB"/>
    <w:rsid w:val="00DB3C16"/>
    <w:rsid w:val="00DB4397"/>
    <w:rsid w:val="00DB477A"/>
    <w:rsid w:val="00DB48EC"/>
    <w:rsid w:val="00DB4C3C"/>
    <w:rsid w:val="00DB4E9F"/>
    <w:rsid w:val="00DB4EA0"/>
    <w:rsid w:val="00DB4F3F"/>
    <w:rsid w:val="00DB513B"/>
    <w:rsid w:val="00DB5465"/>
    <w:rsid w:val="00DB56CE"/>
    <w:rsid w:val="00DB575C"/>
    <w:rsid w:val="00DB57E6"/>
    <w:rsid w:val="00DB5B4D"/>
    <w:rsid w:val="00DB5E13"/>
    <w:rsid w:val="00DB5E4A"/>
    <w:rsid w:val="00DB5F1A"/>
    <w:rsid w:val="00DB6916"/>
    <w:rsid w:val="00DB6EB4"/>
    <w:rsid w:val="00DB7347"/>
    <w:rsid w:val="00DB7599"/>
    <w:rsid w:val="00DB762F"/>
    <w:rsid w:val="00DB7917"/>
    <w:rsid w:val="00DB798F"/>
    <w:rsid w:val="00DB79F1"/>
    <w:rsid w:val="00DB7AD5"/>
    <w:rsid w:val="00DC0303"/>
    <w:rsid w:val="00DC0777"/>
    <w:rsid w:val="00DC0909"/>
    <w:rsid w:val="00DC0A09"/>
    <w:rsid w:val="00DC0DC9"/>
    <w:rsid w:val="00DC1258"/>
    <w:rsid w:val="00DC1E02"/>
    <w:rsid w:val="00DC1F76"/>
    <w:rsid w:val="00DC2057"/>
    <w:rsid w:val="00DC2A8D"/>
    <w:rsid w:val="00DC2F3D"/>
    <w:rsid w:val="00DC3599"/>
    <w:rsid w:val="00DC3B74"/>
    <w:rsid w:val="00DC3C94"/>
    <w:rsid w:val="00DC4022"/>
    <w:rsid w:val="00DC41CB"/>
    <w:rsid w:val="00DC464C"/>
    <w:rsid w:val="00DC47EA"/>
    <w:rsid w:val="00DC4B1C"/>
    <w:rsid w:val="00DC4BCA"/>
    <w:rsid w:val="00DC4C29"/>
    <w:rsid w:val="00DC4EC1"/>
    <w:rsid w:val="00DC500F"/>
    <w:rsid w:val="00DC51CD"/>
    <w:rsid w:val="00DC5A0C"/>
    <w:rsid w:val="00DC6418"/>
    <w:rsid w:val="00DC6963"/>
    <w:rsid w:val="00DC73A1"/>
    <w:rsid w:val="00DC740C"/>
    <w:rsid w:val="00DC7E5D"/>
    <w:rsid w:val="00DD0209"/>
    <w:rsid w:val="00DD027D"/>
    <w:rsid w:val="00DD03BC"/>
    <w:rsid w:val="00DD052B"/>
    <w:rsid w:val="00DD060C"/>
    <w:rsid w:val="00DD0675"/>
    <w:rsid w:val="00DD0E7D"/>
    <w:rsid w:val="00DD111F"/>
    <w:rsid w:val="00DD1372"/>
    <w:rsid w:val="00DD2002"/>
    <w:rsid w:val="00DD26E5"/>
    <w:rsid w:val="00DD2743"/>
    <w:rsid w:val="00DD2759"/>
    <w:rsid w:val="00DD2B01"/>
    <w:rsid w:val="00DD2CE9"/>
    <w:rsid w:val="00DD2FB6"/>
    <w:rsid w:val="00DD3154"/>
    <w:rsid w:val="00DD373F"/>
    <w:rsid w:val="00DD39AB"/>
    <w:rsid w:val="00DD3EFF"/>
    <w:rsid w:val="00DD4014"/>
    <w:rsid w:val="00DD40C9"/>
    <w:rsid w:val="00DD4313"/>
    <w:rsid w:val="00DD49C1"/>
    <w:rsid w:val="00DD4AD8"/>
    <w:rsid w:val="00DD4E36"/>
    <w:rsid w:val="00DD4F7F"/>
    <w:rsid w:val="00DD4FF8"/>
    <w:rsid w:val="00DD5152"/>
    <w:rsid w:val="00DD5F38"/>
    <w:rsid w:val="00DD5FB7"/>
    <w:rsid w:val="00DD5FFB"/>
    <w:rsid w:val="00DD6014"/>
    <w:rsid w:val="00DD62BB"/>
    <w:rsid w:val="00DD662F"/>
    <w:rsid w:val="00DD6CC9"/>
    <w:rsid w:val="00DD6E3B"/>
    <w:rsid w:val="00DD7805"/>
    <w:rsid w:val="00DE07BC"/>
    <w:rsid w:val="00DE09E3"/>
    <w:rsid w:val="00DE0F57"/>
    <w:rsid w:val="00DE101C"/>
    <w:rsid w:val="00DE11FA"/>
    <w:rsid w:val="00DE12CF"/>
    <w:rsid w:val="00DE1598"/>
    <w:rsid w:val="00DE1EBA"/>
    <w:rsid w:val="00DE1F65"/>
    <w:rsid w:val="00DE2278"/>
    <w:rsid w:val="00DE238B"/>
    <w:rsid w:val="00DE25A9"/>
    <w:rsid w:val="00DE3703"/>
    <w:rsid w:val="00DE38F6"/>
    <w:rsid w:val="00DE3B12"/>
    <w:rsid w:val="00DE3E53"/>
    <w:rsid w:val="00DE407A"/>
    <w:rsid w:val="00DE4393"/>
    <w:rsid w:val="00DE49C3"/>
    <w:rsid w:val="00DE4A00"/>
    <w:rsid w:val="00DE5265"/>
    <w:rsid w:val="00DE5544"/>
    <w:rsid w:val="00DE55A9"/>
    <w:rsid w:val="00DE58FC"/>
    <w:rsid w:val="00DE5A13"/>
    <w:rsid w:val="00DE5AAB"/>
    <w:rsid w:val="00DE5C0E"/>
    <w:rsid w:val="00DE5CA1"/>
    <w:rsid w:val="00DE5DCC"/>
    <w:rsid w:val="00DE5F1E"/>
    <w:rsid w:val="00DE6128"/>
    <w:rsid w:val="00DE6370"/>
    <w:rsid w:val="00DE6558"/>
    <w:rsid w:val="00DE692A"/>
    <w:rsid w:val="00DE709D"/>
    <w:rsid w:val="00DE7318"/>
    <w:rsid w:val="00DE7804"/>
    <w:rsid w:val="00DE7841"/>
    <w:rsid w:val="00DE7CA2"/>
    <w:rsid w:val="00DE7D0D"/>
    <w:rsid w:val="00DF040B"/>
    <w:rsid w:val="00DF04CD"/>
    <w:rsid w:val="00DF0738"/>
    <w:rsid w:val="00DF0A3A"/>
    <w:rsid w:val="00DF0C8B"/>
    <w:rsid w:val="00DF0D7F"/>
    <w:rsid w:val="00DF1688"/>
    <w:rsid w:val="00DF199A"/>
    <w:rsid w:val="00DF1A5D"/>
    <w:rsid w:val="00DF1E54"/>
    <w:rsid w:val="00DF1FD9"/>
    <w:rsid w:val="00DF2115"/>
    <w:rsid w:val="00DF2FCF"/>
    <w:rsid w:val="00DF37BA"/>
    <w:rsid w:val="00DF38B4"/>
    <w:rsid w:val="00DF4B5D"/>
    <w:rsid w:val="00DF500A"/>
    <w:rsid w:val="00DF531B"/>
    <w:rsid w:val="00DF534E"/>
    <w:rsid w:val="00DF5A38"/>
    <w:rsid w:val="00DF5B7D"/>
    <w:rsid w:val="00DF5BE1"/>
    <w:rsid w:val="00DF62DB"/>
    <w:rsid w:val="00DF63D9"/>
    <w:rsid w:val="00DF732D"/>
    <w:rsid w:val="00DF73BC"/>
    <w:rsid w:val="00DF756F"/>
    <w:rsid w:val="00DF77D5"/>
    <w:rsid w:val="00DF7C66"/>
    <w:rsid w:val="00DF7CC6"/>
    <w:rsid w:val="00E001BF"/>
    <w:rsid w:val="00E008FF"/>
    <w:rsid w:val="00E00C2C"/>
    <w:rsid w:val="00E00C89"/>
    <w:rsid w:val="00E00F0B"/>
    <w:rsid w:val="00E012CB"/>
    <w:rsid w:val="00E01539"/>
    <w:rsid w:val="00E01962"/>
    <w:rsid w:val="00E02B42"/>
    <w:rsid w:val="00E032FB"/>
    <w:rsid w:val="00E035DB"/>
    <w:rsid w:val="00E03F2B"/>
    <w:rsid w:val="00E03FE7"/>
    <w:rsid w:val="00E0414F"/>
    <w:rsid w:val="00E04959"/>
    <w:rsid w:val="00E04BA3"/>
    <w:rsid w:val="00E04D3A"/>
    <w:rsid w:val="00E05111"/>
    <w:rsid w:val="00E059F6"/>
    <w:rsid w:val="00E05BF2"/>
    <w:rsid w:val="00E06A8D"/>
    <w:rsid w:val="00E06C94"/>
    <w:rsid w:val="00E070E0"/>
    <w:rsid w:val="00E07102"/>
    <w:rsid w:val="00E0712A"/>
    <w:rsid w:val="00E072AB"/>
    <w:rsid w:val="00E07925"/>
    <w:rsid w:val="00E07BA9"/>
    <w:rsid w:val="00E07BDB"/>
    <w:rsid w:val="00E10155"/>
    <w:rsid w:val="00E104E3"/>
    <w:rsid w:val="00E10601"/>
    <w:rsid w:val="00E1062A"/>
    <w:rsid w:val="00E10930"/>
    <w:rsid w:val="00E10B44"/>
    <w:rsid w:val="00E11227"/>
    <w:rsid w:val="00E113D3"/>
    <w:rsid w:val="00E117FF"/>
    <w:rsid w:val="00E1197F"/>
    <w:rsid w:val="00E12220"/>
    <w:rsid w:val="00E127E9"/>
    <w:rsid w:val="00E12F6A"/>
    <w:rsid w:val="00E132CD"/>
    <w:rsid w:val="00E133A4"/>
    <w:rsid w:val="00E133E4"/>
    <w:rsid w:val="00E135D1"/>
    <w:rsid w:val="00E13C68"/>
    <w:rsid w:val="00E13C83"/>
    <w:rsid w:val="00E146E6"/>
    <w:rsid w:val="00E14A8B"/>
    <w:rsid w:val="00E14B3A"/>
    <w:rsid w:val="00E14D8D"/>
    <w:rsid w:val="00E15648"/>
    <w:rsid w:val="00E156FD"/>
    <w:rsid w:val="00E15C45"/>
    <w:rsid w:val="00E15DA0"/>
    <w:rsid w:val="00E15F52"/>
    <w:rsid w:val="00E16D64"/>
    <w:rsid w:val="00E17034"/>
    <w:rsid w:val="00E172B3"/>
    <w:rsid w:val="00E1741F"/>
    <w:rsid w:val="00E175C0"/>
    <w:rsid w:val="00E179FF"/>
    <w:rsid w:val="00E17AFC"/>
    <w:rsid w:val="00E17B98"/>
    <w:rsid w:val="00E17F5B"/>
    <w:rsid w:val="00E17F9E"/>
    <w:rsid w:val="00E2047F"/>
    <w:rsid w:val="00E205D6"/>
    <w:rsid w:val="00E20A82"/>
    <w:rsid w:val="00E20AE1"/>
    <w:rsid w:val="00E20C53"/>
    <w:rsid w:val="00E20C73"/>
    <w:rsid w:val="00E20DFB"/>
    <w:rsid w:val="00E20F0B"/>
    <w:rsid w:val="00E21172"/>
    <w:rsid w:val="00E2166F"/>
    <w:rsid w:val="00E21673"/>
    <w:rsid w:val="00E2184E"/>
    <w:rsid w:val="00E218BB"/>
    <w:rsid w:val="00E2194A"/>
    <w:rsid w:val="00E21BF7"/>
    <w:rsid w:val="00E21CCD"/>
    <w:rsid w:val="00E21D37"/>
    <w:rsid w:val="00E21D68"/>
    <w:rsid w:val="00E21E25"/>
    <w:rsid w:val="00E22A03"/>
    <w:rsid w:val="00E22AB1"/>
    <w:rsid w:val="00E22AC9"/>
    <w:rsid w:val="00E23738"/>
    <w:rsid w:val="00E23CA1"/>
    <w:rsid w:val="00E23FC2"/>
    <w:rsid w:val="00E240C9"/>
    <w:rsid w:val="00E248F3"/>
    <w:rsid w:val="00E249FD"/>
    <w:rsid w:val="00E24D16"/>
    <w:rsid w:val="00E24DEE"/>
    <w:rsid w:val="00E261DA"/>
    <w:rsid w:val="00E2627E"/>
    <w:rsid w:val="00E2644C"/>
    <w:rsid w:val="00E269CF"/>
    <w:rsid w:val="00E27104"/>
    <w:rsid w:val="00E27774"/>
    <w:rsid w:val="00E27A77"/>
    <w:rsid w:val="00E27AFC"/>
    <w:rsid w:val="00E27B26"/>
    <w:rsid w:val="00E27D37"/>
    <w:rsid w:val="00E27D71"/>
    <w:rsid w:val="00E302EF"/>
    <w:rsid w:val="00E303B3"/>
    <w:rsid w:val="00E30496"/>
    <w:rsid w:val="00E30684"/>
    <w:rsid w:val="00E30CF4"/>
    <w:rsid w:val="00E30DEE"/>
    <w:rsid w:val="00E31460"/>
    <w:rsid w:val="00E31AE3"/>
    <w:rsid w:val="00E31AF8"/>
    <w:rsid w:val="00E31D60"/>
    <w:rsid w:val="00E31F8E"/>
    <w:rsid w:val="00E32126"/>
    <w:rsid w:val="00E32923"/>
    <w:rsid w:val="00E32ECF"/>
    <w:rsid w:val="00E3334B"/>
    <w:rsid w:val="00E3347B"/>
    <w:rsid w:val="00E33566"/>
    <w:rsid w:val="00E33947"/>
    <w:rsid w:val="00E33AEF"/>
    <w:rsid w:val="00E34258"/>
    <w:rsid w:val="00E34911"/>
    <w:rsid w:val="00E353A1"/>
    <w:rsid w:val="00E35753"/>
    <w:rsid w:val="00E35F9B"/>
    <w:rsid w:val="00E35FAF"/>
    <w:rsid w:val="00E36186"/>
    <w:rsid w:val="00E36520"/>
    <w:rsid w:val="00E36ABE"/>
    <w:rsid w:val="00E3714E"/>
    <w:rsid w:val="00E375CF"/>
    <w:rsid w:val="00E37672"/>
    <w:rsid w:val="00E37680"/>
    <w:rsid w:val="00E376A3"/>
    <w:rsid w:val="00E379DE"/>
    <w:rsid w:val="00E37B75"/>
    <w:rsid w:val="00E37BFF"/>
    <w:rsid w:val="00E37EEB"/>
    <w:rsid w:val="00E401A8"/>
    <w:rsid w:val="00E40311"/>
    <w:rsid w:val="00E40407"/>
    <w:rsid w:val="00E404FF"/>
    <w:rsid w:val="00E408B9"/>
    <w:rsid w:val="00E4095A"/>
    <w:rsid w:val="00E40C28"/>
    <w:rsid w:val="00E40E0B"/>
    <w:rsid w:val="00E40EC1"/>
    <w:rsid w:val="00E40FC4"/>
    <w:rsid w:val="00E411E6"/>
    <w:rsid w:val="00E4182A"/>
    <w:rsid w:val="00E41ABF"/>
    <w:rsid w:val="00E41B71"/>
    <w:rsid w:val="00E41CBA"/>
    <w:rsid w:val="00E41F12"/>
    <w:rsid w:val="00E423BC"/>
    <w:rsid w:val="00E42A84"/>
    <w:rsid w:val="00E42D9D"/>
    <w:rsid w:val="00E42F4B"/>
    <w:rsid w:val="00E4327B"/>
    <w:rsid w:val="00E436E4"/>
    <w:rsid w:val="00E43744"/>
    <w:rsid w:val="00E43E14"/>
    <w:rsid w:val="00E44D61"/>
    <w:rsid w:val="00E44E6C"/>
    <w:rsid w:val="00E45207"/>
    <w:rsid w:val="00E45292"/>
    <w:rsid w:val="00E45431"/>
    <w:rsid w:val="00E45542"/>
    <w:rsid w:val="00E4594B"/>
    <w:rsid w:val="00E467E4"/>
    <w:rsid w:val="00E4683D"/>
    <w:rsid w:val="00E46B1E"/>
    <w:rsid w:val="00E46F74"/>
    <w:rsid w:val="00E472F7"/>
    <w:rsid w:val="00E474A7"/>
    <w:rsid w:val="00E47A69"/>
    <w:rsid w:val="00E50236"/>
    <w:rsid w:val="00E5029D"/>
    <w:rsid w:val="00E504DA"/>
    <w:rsid w:val="00E5054F"/>
    <w:rsid w:val="00E50768"/>
    <w:rsid w:val="00E50A23"/>
    <w:rsid w:val="00E50A8C"/>
    <w:rsid w:val="00E510B3"/>
    <w:rsid w:val="00E510D0"/>
    <w:rsid w:val="00E513D6"/>
    <w:rsid w:val="00E51C25"/>
    <w:rsid w:val="00E51F1C"/>
    <w:rsid w:val="00E51FB1"/>
    <w:rsid w:val="00E521AA"/>
    <w:rsid w:val="00E52604"/>
    <w:rsid w:val="00E52A26"/>
    <w:rsid w:val="00E52A42"/>
    <w:rsid w:val="00E52C00"/>
    <w:rsid w:val="00E5379A"/>
    <w:rsid w:val="00E53BAA"/>
    <w:rsid w:val="00E53DC2"/>
    <w:rsid w:val="00E53EAB"/>
    <w:rsid w:val="00E546C8"/>
    <w:rsid w:val="00E54989"/>
    <w:rsid w:val="00E549C0"/>
    <w:rsid w:val="00E54CDB"/>
    <w:rsid w:val="00E551BC"/>
    <w:rsid w:val="00E5538B"/>
    <w:rsid w:val="00E55764"/>
    <w:rsid w:val="00E55B3A"/>
    <w:rsid w:val="00E55CA3"/>
    <w:rsid w:val="00E55D50"/>
    <w:rsid w:val="00E55F54"/>
    <w:rsid w:val="00E56184"/>
    <w:rsid w:val="00E56272"/>
    <w:rsid w:val="00E5629A"/>
    <w:rsid w:val="00E562B4"/>
    <w:rsid w:val="00E562C7"/>
    <w:rsid w:val="00E56629"/>
    <w:rsid w:val="00E56AC2"/>
    <w:rsid w:val="00E570A6"/>
    <w:rsid w:val="00E575C2"/>
    <w:rsid w:val="00E576DF"/>
    <w:rsid w:val="00E578A5"/>
    <w:rsid w:val="00E57AAD"/>
    <w:rsid w:val="00E57CFA"/>
    <w:rsid w:val="00E57F56"/>
    <w:rsid w:val="00E60649"/>
    <w:rsid w:val="00E60F14"/>
    <w:rsid w:val="00E60FA9"/>
    <w:rsid w:val="00E616D2"/>
    <w:rsid w:val="00E61C10"/>
    <w:rsid w:val="00E62497"/>
    <w:rsid w:val="00E624A0"/>
    <w:rsid w:val="00E62FC8"/>
    <w:rsid w:val="00E631ED"/>
    <w:rsid w:val="00E633A4"/>
    <w:rsid w:val="00E6354C"/>
    <w:rsid w:val="00E63869"/>
    <w:rsid w:val="00E63BDC"/>
    <w:rsid w:val="00E63FBD"/>
    <w:rsid w:val="00E642F4"/>
    <w:rsid w:val="00E647CE"/>
    <w:rsid w:val="00E64C2D"/>
    <w:rsid w:val="00E65062"/>
    <w:rsid w:val="00E65552"/>
    <w:rsid w:val="00E660A1"/>
    <w:rsid w:val="00E66182"/>
    <w:rsid w:val="00E66A88"/>
    <w:rsid w:val="00E66AB1"/>
    <w:rsid w:val="00E66DEB"/>
    <w:rsid w:val="00E66F45"/>
    <w:rsid w:val="00E66F46"/>
    <w:rsid w:val="00E66F8E"/>
    <w:rsid w:val="00E66FA0"/>
    <w:rsid w:val="00E6765B"/>
    <w:rsid w:val="00E679A4"/>
    <w:rsid w:val="00E67D6B"/>
    <w:rsid w:val="00E67DD9"/>
    <w:rsid w:val="00E7018C"/>
    <w:rsid w:val="00E704C3"/>
    <w:rsid w:val="00E70559"/>
    <w:rsid w:val="00E705EC"/>
    <w:rsid w:val="00E70730"/>
    <w:rsid w:val="00E7088F"/>
    <w:rsid w:val="00E70B4F"/>
    <w:rsid w:val="00E70BB6"/>
    <w:rsid w:val="00E70C5D"/>
    <w:rsid w:val="00E71561"/>
    <w:rsid w:val="00E71BE4"/>
    <w:rsid w:val="00E7208C"/>
    <w:rsid w:val="00E722AB"/>
    <w:rsid w:val="00E72ACD"/>
    <w:rsid w:val="00E73826"/>
    <w:rsid w:val="00E73993"/>
    <w:rsid w:val="00E741B7"/>
    <w:rsid w:val="00E74805"/>
    <w:rsid w:val="00E7486E"/>
    <w:rsid w:val="00E74899"/>
    <w:rsid w:val="00E749A7"/>
    <w:rsid w:val="00E750C7"/>
    <w:rsid w:val="00E753A3"/>
    <w:rsid w:val="00E75922"/>
    <w:rsid w:val="00E75B43"/>
    <w:rsid w:val="00E75CD8"/>
    <w:rsid w:val="00E7617C"/>
    <w:rsid w:val="00E76215"/>
    <w:rsid w:val="00E7720E"/>
    <w:rsid w:val="00E8038F"/>
    <w:rsid w:val="00E80C24"/>
    <w:rsid w:val="00E81041"/>
    <w:rsid w:val="00E810EA"/>
    <w:rsid w:val="00E814E2"/>
    <w:rsid w:val="00E81820"/>
    <w:rsid w:val="00E82878"/>
    <w:rsid w:val="00E82AF7"/>
    <w:rsid w:val="00E82FD3"/>
    <w:rsid w:val="00E83267"/>
    <w:rsid w:val="00E8348F"/>
    <w:rsid w:val="00E8351D"/>
    <w:rsid w:val="00E83713"/>
    <w:rsid w:val="00E837BA"/>
    <w:rsid w:val="00E83EAE"/>
    <w:rsid w:val="00E84100"/>
    <w:rsid w:val="00E842B8"/>
    <w:rsid w:val="00E8533E"/>
    <w:rsid w:val="00E85430"/>
    <w:rsid w:val="00E85EB0"/>
    <w:rsid w:val="00E86AEE"/>
    <w:rsid w:val="00E86B78"/>
    <w:rsid w:val="00E86D3B"/>
    <w:rsid w:val="00E87354"/>
    <w:rsid w:val="00E8781B"/>
    <w:rsid w:val="00E87FB0"/>
    <w:rsid w:val="00E902C6"/>
    <w:rsid w:val="00E908AE"/>
    <w:rsid w:val="00E90990"/>
    <w:rsid w:val="00E915C3"/>
    <w:rsid w:val="00E91660"/>
    <w:rsid w:val="00E919E2"/>
    <w:rsid w:val="00E91C6C"/>
    <w:rsid w:val="00E924FA"/>
    <w:rsid w:val="00E9282F"/>
    <w:rsid w:val="00E9296E"/>
    <w:rsid w:val="00E930A1"/>
    <w:rsid w:val="00E935BE"/>
    <w:rsid w:val="00E935C8"/>
    <w:rsid w:val="00E93D00"/>
    <w:rsid w:val="00E93F9C"/>
    <w:rsid w:val="00E9450C"/>
    <w:rsid w:val="00E945B6"/>
    <w:rsid w:val="00E94648"/>
    <w:rsid w:val="00E951F7"/>
    <w:rsid w:val="00E9521F"/>
    <w:rsid w:val="00E952F2"/>
    <w:rsid w:val="00E95D21"/>
    <w:rsid w:val="00E95D73"/>
    <w:rsid w:val="00E95E74"/>
    <w:rsid w:val="00E95E86"/>
    <w:rsid w:val="00E9631A"/>
    <w:rsid w:val="00E96475"/>
    <w:rsid w:val="00E96E6D"/>
    <w:rsid w:val="00E96F7C"/>
    <w:rsid w:val="00E97114"/>
    <w:rsid w:val="00E97270"/>
    <w:rsid w:val="00E97F88"/>
    <w:rsid w:val="00EA015E"/>
    <w:rsid w:val="00EA110C"/>
    <w:rsid w:val="00EA12D7"/>
    <w:rsid w:val="00EA1413"/>
    <w:rsid w:val="00EA141D"/>
    <w:rsid w:val="00EA2344"/>
    <w:rsid w:val="00EA240C"/>
    <w:rsid w:val="00EA285C"/>
    <w:rsid w:val="00EA29A6"/>
    <w:rsid w:val="00EA2C55"/>
    <w:rsid w:val="00EA2E09"/>
    <w:rsid w:val="00EA3AE6"/>
    <w:rsid w:val="00EA3B9C"/>
    <w:rsid w:val="00EA3BFF"/>
    <w:rsid w:val="00EA4240"/>
    <w:rsid w:val="00EA48A2"/>
    <w:rsid w:val="00EA4E53"/>
    <w:rsid w:val="00EA5164"/>
    <w:rsid w:val="00EA56CD"/>
    <w:rsid w:val="00EA56D2"/>
    <w:rsid w:val="00EA5853"/>
    <w:rsid w:val="00EA5A16"/>
    <w:rsid w:val="00EA5D10"/>
    <w:rsid w:val="00EA5FC0"/>
    <w:rsid w:val="00EA660B"/>
    <w:rsid w:val="00EA662B"/>
    <w:rsid w:val="00EA6EAA"/>
    <w:rsid w:val="00EA70AC"/>
    <w:rsid w:val="00EA72C4"/>
    <w:rsid w:val="00EA755B"/>
    <w:rsid w:val="00EA759A"/>
    <w:rsid w:val="00EA78EF"/>
    <w:rsid w:val="00EA7D3E"/>
    <w:rsid w:val="00EB0009"/>
    <w:rsid w:val="00EB04C5"/>
    <w:rsid w:val="00EB04DF"/>
    <w:rsid w:val="00EB0ADF"/>
    <w:rsid w:val="00EB0C80"/>
    <w:rsid w:val="00EB1023"/>
    <w:rsid w:val="00EB15F3"/>
    <w:rsid w:val="00EB1B37"/>
    <w:rsid w:val="00EB2290"/>
    <w:rsid w:val="00EB2331"/>
    <w:rsid w:val="00EB2E0D"/>
    <w:rsid w:val="00EB2FF3"/>
    <w:rsid w:val="00EB390D"/>
    <w:rsid w:val="00EB3CD0"/>
    <w:rsid w:val="00EB3D5F"/>
    <w:rsid w:val="00EB3D67"/>
    <w:rsid w:val="00EB429D"/>
    <w:rsid w:val="00EB42DD"/>
    <w:rsid w:val="00EB4427"/>
    <w:rsid w:val="00EB4511"/>
    <w:rsid w:val="00EB4CE0"/>
    <w:rsid w:val="00EB525C"/>
    <w:rsid w:val="00EB5586"/>
    <w:rsid w:val="00EB5AE0"/>
    <w:rsid w:val="00EB5CFB"/>
    <w:rsid w:val="00EB5D75"/>
    <w:rsid w:val="00EB5E43"/>
    <w:rsid w:val="00EB64A9"/>
    <w:rsid w:val="00EB64EE"/>
    <w:rsid w:val="00EB65F6"/>
    <w:rsid w:val="00EB6911"/>
    <w:rsid w:val="00EB6A3A"/>
    <w:rsid w:val="00EB6B47"/>
    <w:rsid w:val="00EB6BC3"/>
    <w:rsid w:val="00EB6EAF"/>
    <w:rsid w:val="00EB71CC"/>
    <w:rsid w:val="00EB7724"/>
    <w:rsid w:val="00EC00C4"/>
    <w:rsid w:val="00EC09B4"/>
    <w:rsid w:val="00EC0C9F"/>
    <w:rsid w:val="00EC0DB6"/>
    <w:rsid w:val="00EC1345"/>
    <w:rsid w:val="00EC1941"/>
    <w:rsid w:val="00EC1A21"/>
    <w:rsid w:val="00EC1F1A"/>
    <w:rsid w:val="00EC200D"/>
    <w:rsid w:val="00EC27EC"/>
    <w:rsid w:val="00EC320B"/>
    <w:rsid w:val="00EC3444"/>
    <w:rsid w:val="00EC3625"/>
    <w:rsid w:val="00EC36CF"/>
    <w:rsid w:val="00EC385F"/>
    <w:rsid w:val="00EC393D"/>
    <w:rsid w:val="00EC3CE1"/>
    <w:rsid w:val="00EC4282"/>
    <w:rsid w:val="00EC452A"/>
    <w:rsid w:val="00EC47EF"/>
    <w:rsid w:val="00EC4D32"/>
    <w:rsid w:val="00EC4E6C"/>
    <w:rsid w:val="00EC4EE0"/>
    <w:rsid w:val="00EC6119"/>
    <w:rsid w:val="00EC6129"/>
    <w:rsid w:val="00EC68C8"/>
    <w:rsid w:val="00EC6A4E"/>
    <w:rsid w:val="00EC740F"/>
    <w:rsid w:val="00EC74D0"/>
    <w:rsid w:val="00EC7765"/>
    <w:rsid w:val="00EC77E8"/>
    <w:rsid w:val="00EC7876"/>
    <w:rsid w:val="00EC7E39"/>
    <w:rsid w:val="00ED05AF"/>
    <w:rsid w:val="00ED076C"/>
    <w:rsid w:val="00ED0D4B"/>
    <w:rsid w:val="00ED0DC2"/>
    <w:rsid w:val="00ED0DC8"/>
    <w:rsid w:val="00ED0DCC"/>
    <w:rsid w:val="00ED131F"/>
    <w:rsid w:val="00ED13B1"/>
    <w:rsid w:val="00ED17CA"/>
    <w:rsid w:val="00ED1831"/>
    <w:rsid w:val="00ED19EB"/>
    <w:rsid w:val="00ED1A02"/>
    <w:rsid w:val="00ED1AB9"/>
    <w:rsid w:val="00ED1CBC"/>
    <w:rsid w:val="00ED1E91"/>
    <w:rsid w:val="00ED1EFE"/>
    <w:rsid w:val="00ED2E68"/>
    <w:rsid w:val="00ED301D"/>
    <w:rsid w:val="00ED44CB"/>
    <w:rsid w:val="00ED4568"/>
    <w:rsid w:val="00ED47D4"/>
    <w:rsid w:val="00ED4A8A"/>
    <w:rsid w:val="00ED4DAF"/>
    <w:rsid w:val="00ED53C5"/>
    <w:rsid w:val="00ED5779"/>
    <w:rsid w:val="00ED6064"/>
    <w:rsid w:val="00ED6434"/>
    <w:rsid w:val="00ED650E"/>
    <w:rsid w:val="00ED6B80"/>
    <w:rsid w:val="00ED6F0D"/>
    <w:rsid w:val="00ED6F52"/>
    <w:rsid w:val="00ED752C"/>
    <w:rsid w:val="00ED767E"/>
    <w:rsid w:val="00ED76B3"/>
    <w:rsid w:val="00ED78C2"/>
    <w:rsid w:val="00ED7B76"/>
    <w:rsid w:val="00ED7CD0"/>
    <w:rsid w:val="00ED7D23"/>
    <w:rsid w:val="00EE0591"/>
    <w:rsid w:val="00EE07D0"/>
    <w:rsid w:val="00EE0805"/>
    <w:rsid w:val="00EE08B4"/>
    <w:rsid w:val="00EE0B0D"/>
    <w:rsid w:val="00EE115F"/>
    <w:rsid w:val="00EE12B1"/>
    <w:rsid w:val="00EE141A"/>
    <w:rsid w:val="00EE16E8"/>
    <w:rsid w:val="00EE1F5D"/>
    <w:rsid w:val="00EE2036"/>
    <w:rsid w:val="00EE2EAA"/>
    <w:rsid w:val="00EE4154"/>
    <w:rsid w:val="00EE43B5"/>
    <w:rsid w:val="00EE46BE"/>
    <w:rsid w:val="00EE4B8E"/>
    <w:rsid w:val="00EE4CB6"/>
    <w:rsid w:val="00EE4DEA"/>
    <w:rsid w:val="00EE51EB"/>
    <w:rsid w:val="00EE5245"/>
    <w:rsid w:val="00EE53AB"/>
    <w:rsid w:val="00EE58FB"/>
    <w:rsid w:val="00EE5F40"/>
    <w:rsid w:val="00EE65A2"/>
    <w:rsid w:val="00EE6B9E"/>
    <w:rsid w:val="00EE7954"/>
    <w:rsid w:val="00EE7CA5"/>
    <w:rsid w:val="00EE7D36"/>
    <w:rsid w:val="00EF02E1"/>
    <w:rsid w:val="00EF036A"/>
    <w:rsid w:val="00EF06A7"/>
    <w:rsid w:val="00EF08E8"/>
    <w:rsid w:val="00EF0FA9"/>
    <w:rsid w:val="00EF0FB3"/>
    <w:rsid w:val="00EF0FBD"/>
    <w:rsid w:val="00EF129E"/>
    <w:rsid w:val="00EF167F"/>
    <w:rsid w:val="00EF191B"/>
    <w:rsid w:val="00EF1E90"/>
    <w:rsid w:val="00EF1FA2"/>
    <w:rsid w:val="00EF209E"/>
    <w:rsid w:val="00EF262F"/>
    <w:rsid w:val="00EF2696"/>
    <w:rsid w:val="00EF2875"/>
    <w:rsid w:val="00EF29B3"/>
    <w:rsid w:val="00EF2B14"/>
    <w:rsid w:val="00EF2C29"/>
    <w:rsid w:val="00EF315D"/>
    <w:rsid w:val="00EF328D"/>
    <w:rsid w:val="00EF39DC"/>
    <w:rsid w:val="00EF3BC0"/>
    <w:rsid w:val="00EF44DF"/>
    <w:rsid w:val="00EF4643"/>
    <w:rsid w:val="00EF48A0"/>
    <w:rsid w:val="00EF4DA4"/>
    <w:rsid w:val="00EF4FEF"/>
    <w:rsid w:val="00EF50AC"/>
    <w:rsid w:val="00EF56FE"/>
    <w:rsid w:val="00EF5E5C"/>
    <w:rsid w:val="00EF61B9"/>
    <w:rsid w:val="00EF64FB"/>
    <w:rsid w:val="00EF66CA"/>
    <w:rsid w:val="00EF6791"/>
    <w:rsid w:val="00EF68FE"/>
    <w:rsid w:val="00EF70D0"/>
    <w:rsid w:val="00EF74B2"/>
    <w:rsid w:val="00EF75B4"/>
    <w:rsid w:val="00EF79FE"/>
    <w:rsid w:val="00EF7D5B"/>
    <w:rsid w:val="00F001F0"/>
    <w:rsid w:val="00F002BF"/>
    <w:rsid w:val="00F00385"/>
    <w:rsid w:val="00F00885"/>
    <w:rsid w:val="00F00E1F"/>
    <w:rsid w:val="00F010E3"/>
    <w:rsid w:val="00F019AA"/>
    <w:rsid w:val="00F01CC1"/>
    <w:rsid w:val="00F0246C"/>
    <w:rsid w:val="00F0251E"/>
    <w:rsid w:val="00F0268B"/>
    <w:rsid w:val="00F0268C"/>
    <w:rsid w:val="00F02E7E"/>
    <w:rsid w:val="00F02EA1"/>
    <w:rsid w:val="00F0300B"/>
    <w:rsid w:val="00F03186"/>
    <w:rsid w:val="00F0395C"/>
    <w:rsid w:val="00F041BC"/>
    <w:rsid w:val="00F042EA"/>
    <w:rsid w:val="00F047AF"/>
    <w:rsid w:val="00F04848"/>
    <w:rsid w:val="00F04D9C"/>
    <w:rsid w:val="00F04F6E"/>
    <w:rsid w:val="00F05008"/>
    <w:rsid w:val="00F05211"/>
    <w:rsid w:val="00F058D2"/>
    <w:rsid w:val="00F0594A"/>
    <w:rsid w:val="00F05BE3"/>
    <w:rsid w:val="00F05C81"/>
    <w:rsid w:val="00F05E76"/>
    <w:rsid w:val="00F0601F"/>
    <w:rsid w:val="00F067A5"/>
    <w:rsid w:val="00F067FD"/>
    <w:rsid w:val="00F06967"/>
    <w:rsid w:val="00F073A5"/>
    <w:rsid w:val="00F07DCC"/>
    <w:rsid w:val="00F10011"/>
    <w:rsid w:val="00F10077"/>
    <w:rsid w:val="00F1018F"/>
    <w:rsid w:val="00F101AE"/>
    <w:rsid w:val="00F101B9"/>
    <w:rsid w:val="00F103EA"/>
    <w:rsid w:val="00F103FA"/>
    <w:rsid w:val="00F10699"/>
    <w:rsid w:val="00F1071E"/>
    <w:rsid w:val="00F10C39"/>
    <w:rsid w:val="00F10D1D"/>
    <w:rsid w:val="00F10F6E"/>
    <w:rsid w:val="00F10FAC"/>
    <w:rsid w:val="00F11353"/>
    <w:rsid w:val="00F11461"/>
    <w:rsid w:val="00F11605"/>
    <w:rsid w:val="00F11773"/>
    <w:rsid w:val="00F11FCE"/>
    <w:rsid w:val="00F1265C"/>
    <w:rsid w:val="00F12B3A"/>
    <w:rsid w:val="00F131EF"/>
    <w:rsid w:val="00F13259"/>
    <w:rsid w:val="00F13F10"/>
    <w:rsid w:val="00F14138"/>
    <w:rsid w:val="00F14495"/>
    <w:rsid w:val="00F14DFC"/>
    <w:rsid w:val="00F15014"/>
    <w:rsid w:val="00F15211"/>
    <w:rsid w:val="00F1521B"/>
    <w:rsid w:val="00F154FE"/>
    <w:rsid w:val="00F157DB"/>
    <w:rsid w:val="00F15B3B"/>
    <w:rsid w:val="00F15BA4"/>
    <w:rsid w:val="00F1616C"/>
    <w:rsid w:val="00F167DB"/>
    <w:rsid w:val="00F16CD6"/>
    <w:rsid w:val="00F16F61"/>
    <w:rsid w:val="00F1707E"/>
    <w:rsid w:val="00F17142"/>
    <w:rsid w:val="00F17828"/>
    <w:rsid w:val="00F201EB"/>
    <w:rsid w:val="00F2075C"/>
    <w:rsid w:val="00F2087B"/>
    <w:rsid w:val="00F20C81"/>
    <w:rsid w:val="00F20DEC"/>
    <w:rsid w:val="00F21189"/>
    <w:rsid w:val="00F21193"/>
    <w:rsid w:val="00F21361"/>
    <w:rsid w:val="00F21A9A"/>
    <w:rsid w:val="00F21F07"/>
    <w:rsid w:val="00F220E8"/>
    <w:rsid w:val="00F22448"/>
    <w:rsid w:val="00F22754"/>
    <w:rsid w:val="00F22CC7"/>
    <w:rsid w:val="00F238AB"/>
    <w:rsid w:val="00F23B6D"/>
    <w:rsid w:val="00F23D7C"/>
    <w:rsid w:val="00F23FE9"/>
    <w:rsid w:val="00F2446B"/>
    <w:rsid w:val="00F244B2"/>
    <w:rsid w:val="00F24554"/>
    <w:rsid w:val="00F24563"/>
    <w:rsid w:val="00F247AF"/>
    <w:rsid w:val="00F2480A"/>
    <w:rsid w:val="00F24BBB"/>
    <w:rsid w:val="00F24DAD"/>
    <w:rsid w:val="00F254C4"/>
    <w:rsid w:val="00F254D4"/>
    <w:rsid w:val="00F256C5"/>
    <w:rsid w:val="00F259A8"/>
    <w:rsid w:val="00F25BD6"/>
    <w:rsid w:val="00F25DE1"/>
    <w:rsid w:val="00F25F66"/>
    <w:rsid w:val="00F26171"/>
    <w:rsid w:val="00F262FA"/>
    <w:rsid w:val="00F26486"/>
    <w:rsid w:val="00F265DB"/>
    <w:rsid w:val="00F26650"/>
    <w:rsid w:val="00F26BBB"/>
    <w:rsid w:val="00F2702E"/>
    <w:rsid w:val="00F2716E"/>
    <w:rsid w:val="00F2728E"/>
    <w:rsid w:val="00F2760D"/>
    <w:rsid w:val="00F2783D"/>
    <w:rsid w:val="00F2791F"/>
    <w:rsid w:val="00F279ED"/>
    <w:rsid w:val="00F27CD0"/>
    <w:rsid w:val="00F27E73"/>
    <w:rsid w:val="00F3001A"/>
    <w:rsid w:val="00F30062"/>
    <w:rsid w:val="00F3012C"/>
    <w:rsid w:val="00F30C29"/>
    <w:rsid w:val="00F30EEB"/>
    <w:rsid w:val="00F313ED"/>
    <w:rsid w:val="00F319B3"/>
    <w:rsid w:val="00F31B3E"/>
    <w:rsid w:val="00F31CF9"/>
    <w:rsid w:val="00F31D6C"/>
    <w:rsid w:val="00F32161"/>
    <w:rsid w:val="00F3216C"/>
    <w:rsid w:val="00F32742"/>
    <w:rsid w:val="00F327BF"/>
    <w:rsid w:val="00F32A9D"/>
    <w:rsid w:val="00F32E7E"/>
    <w:rsid w:val="00F331CA"/>
    <w:rsid w:val="00F3344D"/>
    <w:rsid w:val="00F337F9"/>
    <w:rsid w:val="00F33EAE"/>
    <w:rsid w:val="00F33F80"/>
    <w:rsid w:val="00F33FB0"/>
    <w:rsid w:val="00F340E5"/>
    <w:rsid w:val="00F34597"/>
    <w:rsid w:val="00F3463C"/>
    <w:rsid w:val="00F347C0"/>
    <w:rsid w:val="00F34E6D"/>
    <w:rsid w:val="00F34F5C"/>
    <w:rsid w:val="00F35035"/>
    <w:rsid w:val="00F35528"/>
    <w:rsid w:val="00F3558E"/>
    <w:rsid w:val="00F35715"/>
    <w:rsid w:val="00F359BE"/>
    <w:rsid w:val="00F36017"/>
    <w:rsid w:val="00F36970"/>
    <w:rsid w:val="00F36B69"/>
    <w:rsid w:val="00F36E1C"/>
    <w:rsid w:val="00F36E5A"/>
    <w:rsid w:val="00F3704D"/>
    <w:rsid w:val="00F3764C"/>
    <w:rsid w:val="00F37CF3"/>
    <w:rsid w:val="00F37FF9"/>
    <w:rsid w:val="00F4000C"/>
    <w:rsid w:val="00F40790"/>
    <w:rsid w:val="00F40DC2"/>
    <w:rsid w:val="00F40F23"/>
    <w:rsid w:val="00F40FA3"/>
    <w:rsid w:val="00F41257"/>
    <w:rsid w:val="00F41621"/>
    <w:rsid w:val="00F41651"/>
    <w:rsid w:val="00F41BF6"/>
    <w:rsid w:val="00F41E7F"/>
    <w:rsid w:val="00F42F77"/>
    <w:rsid w:val="00F430C2"/>
    <w:rsid w:val="00F43165"/>
    <w:rsid w:val="00F43433"/>
    <w:rsid w:val="00F43490"/>
    <w:rsid w:val="00F43A52"/>
    <w:rsid w:val="00F43C9D"/>
    <w:rsid w:val="00F43F1B"/>
    <w:rsid w:val="00F43FD6"/>
    <w:rsid w:val="00F4420D"/>
    <w:rsid w:val="00F44462"/>
    <w:rsid w:val="00F44A90"/>
    <w:rsid w:val="00F44D1C"/>
    <w:rsid w:val="00F45284"/>
    <w:rsid w:val="00F45A4B"/>
    <w:rsid w:val="00F45FA4"/>
    <w:rsid w:val="00F45FDE"/>
    <w:rsid w:val="00F460C4"/>
    <w:rsid w:val="00F46C1B"/>
    <w:rsid w:val="00F471F3"/>
    <w:rsid w:val="00F47312"/>
    <w:rsid w:val="00F474E7"/>
    <w:rsid w:val="00F47761"/>
    <w:rsid w:val="00F47FF2"/>
    <w:rsid w:val="00F50250"/>
    <w:rsid w:val="00F50529"/>
    <w:rsid w:val="00F506FD"/>
    <w:rsid w:val="00F50A0F"/>
    <w:rsid w:val="00F50F2A"/>
    <w:rsid w:val="00F511CB"/>
    <w:rsid w:val="00F513D0"/>
    <w:rsid w:val="00F5178E"/>
    <w:rsid w:val="00F51B90"/>
    <w:rsid w:val="00F523F2"/>
    <w:rsid w:val="00F52420"/>
    <w:rsid w:val="00F5247C"/>
    <w:rsid w:val="00F52648"/>
    <w:rsid w:val="00F52E3B"/>
    <w:rsid w:val="00F52F1C"/>
    <w:rsid w:val="00F536D6"/>
    <w:rsid w:val="00F53B9F"/>
    <w:rsid w:val="00F53F17"/>
    <w:rsid w:val="00F541FF"/>
    <w:rsid w:val="00F54396"/>
    <w:rsid w:val="00F54F78"/>
    <w:rsid w:val="00F5508F"/>
    <w:rsid w:val="00F5531F"/>
    <w:rsid w:val="00F553EA"/>
    <w:rsid w:val="00F556D5"/>
    <w:rsid w:val="00F557C5"/>
    <w:rsid w:val="00F55833"/>
    <w:rsid w:val="00F55ADC"/>
    <w:rsid w:val="00F564A5"/>
    <w:rsid w:val="00F56BEC"/>
    <w:rsid w:val="00F56E3D"/>
    <w:rsid w:val="00F60907"/>
    <w:rsid w:val="00F60D3C"/>
    <w:rsid w:val="00F6155E"/>
    <w:rsid w:val="00F615C9"/>
    <w:rsid w:val="00F61C23"/>
    <w:rsid w:val="00F62241"/>
    <w:rsid w:val="00F622E3"/>
    <w:rsid w:val="00F6262F"/>
    <w:rsid w:val="00F62D0A"/>
    <w:rsid w:val="00F62FE4"/>
    <w:rsid w:val="00F63323"/>
    <w:rsid w:val="00F642EC"/>
    <w:rsid w:val="00F6433C"/>
    <w:rsid w:val="00F644DC"/>
    <w:rsid w:val="00F64578"/>
    <w:rsid w:val="00F64928"/>
    <w:rsid w:val="00F64A2A"/>
    <w:rsid w:val="00F64D4B"/>
    <w:rsid w:val="00F64EC2"/>
    <w:rsid w:val="00F656D2"/>
    <w:rsid w:val="00F656D8"/>
    <w:rsid w:val="00F657B1"/>
    <w:rsid w:val="00F65CA5"/>
    <w:rsid w:val="00F66183"/>
    <w:rsid w:val="00F66223"/>
    <w:rsid w:val="00F664CA"/>
    <w:rsid w:val="00F67134"/>
    <w:rsid w:val="00F671BE"/>
    <w:rsid w:val="00F6751D"/>
    <w:rsid w:val="00F675F4"/>
    <w:rsid w:val="00F67843"/>
    <w:rsid w:val="00F67BC2"/>
    <w:rsid w:val="00F67C54"/>
    <w:rsid w:val="00F67CAF"/>
    <w:rsid w:val="00F67E20"/>
    <w:rsid w:val="00F67FD4"/>
    <w:rsid w:val="00F70BB3"/>
    <w:rsid w:val="00F711D6"/>
    <w:rsid w:val="00F714DE"/>
    <w:rsid w:val="00F71754"/>
    <w:rsid w:val="00F71A83"/>
    <w:rsid w:val="00F71AC9"/>
    <w:rsid w:val="00F71D27"/>
    <w:rsid w:val="00F7271C"/>
    <w:rsid w:val="00F7310D"/>
    <w:rsid w:val="00F7399F"/>
    <w:rsid w:val="00F739AC"/>
    <w:rsid w:val="00F73B1D"/>
    <w:rsid w:val="00F73B47"/>
    <w:rsid w:val="00F7430D"/>
    <w:rsid w:val="00F74427"/>
    <w:rsid w:val="00F74677"/>
    <w:rsid w:val="00F746D0"/>
    <w:rsid w:val="00F74701"/>
    <w:rsid w:val="00F74A81"/>
    <w:rsid w:val="00F74B5B"/>
    <w:rsid w:val="00F74E26"/>
    <w:rsid w:val="00F75410"/>
    <w:rsid w:val="00F75741"/>
    <w:rsid w:val="00F75A2F"/>
    <w:rsid w:val="00F75C4D"/>
    <w:rsid w:val="00F75E4C"/>
    <w:rsid w:val="00F76E1D"/>
    <w:rsid w:val="00F76F4D"/>
    <w:rsid w:val="00F77149"/>
    <w:rsid w:val="00F7738A"/>
    <w:rsid w:val="00F77B75"/>
    <w:rsid w:val="00F77BD9"/>
    <w:rsid w:val="00F8010E"/>
    <w:rsid w:val="00F809B6"/>
    <w:rsid w:val="00F809EE"/>
    <w:rsid w:val="00F80A94"/>
    <w:rsid w:val="00F80C33"/>
    <w:rsid w:val="00F80DD6"/>
    <w:rsid w:val="00F8168B"/>
    <w:rsid w:val="00F817B7"/>
    <w:rsid w:val="00F819E9"/>
    <w:rsid w:val="00F81A23"/>
    <w:rsid w:val="00F81EF7"/>
    <w:rsid w:val="00F82A6E"/>
    <w:rsid w:val="00F82B49"/>
    <w:rsid w:val="00F82B5E"/>
    <w:rsid w:val="00F82C49"/>
    <w:rsid w:val="00F82E2A"/>
    <w:rsid w:val="00F831AA"/>
    <w:rsid w:val="00F8329A"/>
    <w:rsid w:val="00F834D6"/>
    <w:rsid w:val="00F8371F"/>
    <w:rsid w:val="00F83BF1"/>
    <w:rsid w:val="00F83D65"/>
    <w:rsid w:val="00F84614"/>
    <w:rsid w:val="00F8483E"/>
    <w:rsid w:val="00F85A20"/>
    <w:rsid w:val="00F85B5D"/>
    <w:rsid w:val="00F85BE5"/>
    <w:rsid w:val="00F85CA4"/>
    <w:rsid w:val="00F85EE8"/>
    <w:rsid w:val="00F86098"/>
    <w:rsid w:val="00F86339"/>
    <w:rsid w:val="00F8647A"/>
    <w:rsid w:val="00F8647D"/>
    <w:rsid w:val="00F86481"/>
    <w:rsid w:val="00F864AE"/>
    <w:rsid w:val="00F86534"/>
    <w:rsid w:val="00F8672E"/>
    <w:rsid w:val="00F86CF9"/>
    <w:rsid w:val="00F87082"/>
    <w:rsid w:val="00F872A3"/>
    <w:rsid w:val="00F87D72"/>
    <w:rsid w:val="00F905E6"/>
    <w:rsid w:val="00F90C05"/>
    <w:rsid w:val="00F91245"/>
    <w:rsid w:val="00F91475"/>
    <w:rsid w:val="00F915CF"/>
    <w:rsid w:val="00F9181F"/>
    <w:rsid w:val="00F91963"/>
    <w:rsid w:val="00F91C30"/>
    <w:rsid w:val="00F925FE"/>
    <w:rsid w:val="00F92A03"/>
    <w:rsid w:val="00F92BEB"/>
    <w:rsid w:val="00F9311D"/>
    <w:rsid w:val="00F9371C"/>
    <w:rsid w:val="00F9393F"/>
    <w:rsid w:val="00F9397B"/>
    <w:rsid w:val="00F9398E"/>
    <w:rsid w:val="00F93AED"/>
    <w:rsid w:val="00F93CF3"/>
    <w:rsid w:val="00F93DC8"/>
    <w:rsid w:val="00F9429E"/>
    <w:rsid w:val="00F9448D"/>
    <w:rsid w:val="00F94573"/>
    <w:rsid w:val="00F946D8"/>
    <w:rsid w:val="00F948CA"/>
    <w:rsid w:val="00F95A31"/>
    <w:rsid w:val="00F95AEA"/>
    <w:rsid w:val="00F95DF8"/>
    <w:rsid w:val="00F96501"/>
    <w:rsid w:val="00F96AE3"/>
    <w:rsid w:val="00F96CFE"/>
    <w:rsid w:val="00F9740C"/>
    <w:rsid w:val="00F97465"/>
    <w:rsid w:val="00F974B1"/>
    <w:rsid w:val="00F97664"/>
    <w:rsid w:val="00F97698"/>
    <w:rsid w:val="00F97908"/>
    <w:rsid w:val="00F9791F"/>
    <w:rsid w:val="00F97E85"/>
    <w:rsid w:val="00F97F4D"/>
    <w:rsid w:val="00FA000B"/>
    <w:rsid w:val="00FA101D"/>
    <w:rsid w:val="00FA101F"/>
    <w:rsid w:val="00FA1CBD"/>
    <w:rsid w:val="00FA2739"/>
    <w:rsid w:val="00FA29DA"/>
    <w:rsid w:val="00FA2CD7"/>
    <w:rsid w:val="00FA2CE7"/>
    <w:rsid w:val="00FA2E9E"/>
    <w:rsid w:val="00FA2EC3"/>
    <w:rsid w:val="00FA325B"/>
    <w:rsid w:val="00FA34AE"/>
    <w:rsid w:val="00FA35E3"/>
    <w:rsid w:val="00FA3653"/>
    <w:rsid w:val="00FA3997"/>
    <w:rsid w:val="00FA3DA5"/>
    <w:rsid w:val="00FA4A43"/>
    <w:rsid w:val="00FA4B03"/>
    <w:rsid w:val="00FA54DC"/>
    <w:rsid w:val="00FA59DD"/>
    <w:rsid w:val="00FA5F69"/>
    <w:rsid w:val="00FA62EC"/>
    <w:rsid w:val="00FA6705"/>
    <w:rsid w:val="00FA6BAC"/>
    <w:rsid w:val="00FA6F6B"/>
    <w:rsid w:val="00FA7361"/>
    <w:rsid w:val="00FA7BB5"/>
    <w:rsid w:val="00FA7E08"/>
    <w:rsid w:val="00FB00C7"/>
    <w:rsid w:val="00FB01E6"/>
    <w:rsid w:val="00FB0795"/>
    <w:rsid w:val="00FB0D36"/>
    <w:rsid w:val="00FB1906"/>
    <w:rsid w:val="00FB1B92"/>
    <w:rsid w:val="00FB2075"/>
    <w:rsid w:val="00FB2131"/>
    <w:rsid w:val="00FB2A31"/>
    <w:rsid w:val="00FB2E84"/>
    <w:rsid w:val="00FB2FFD"/>
    <w:rsid w:val="00FB333A"/>
    <w:rsid w:val="00FB3486"/>
    <w:rsid w:val="00FB3E28"/>
    <w:rsid w:val="00FB3ECD"/>
    <w:rsid w:val="00FB3F03"/>
    <w:rsid w:val="00FB3F92"/>
    <w:rsid w:val="00FB41DE"/>
    <w:rsid w:val="00FB471F"/>
    <w:rsid w:val="00FB48C3"/>
    <w:rsid w:val="00FB4AC5"/>
    <w:rsid w:val="00FB4CBF"/>
    <w:rsid w:val="00FB4E78"/>
    <w:rsid w:val="00FB4F3F"/>
    <w:rsid w:val="00FB54EE"/>
    <w:rsid w:val="00FB5AF1"/>
    <w:rsid w:val="00FB5AF7"/>
    <w:rsid w:val="00FB5B08"/>
    <w:rsid w:val="00FB5CF0"/>
    <w:rsid w:val="00FB5E92"/>
    <w:rsid w:val="00FB6217"/>
    <w:rsid w:val="00FB652B"/>
    <w:rsid w:val="00FB6722"/>
    <w:rsid w:val="00FB6B78"/>
    <w:rsid w:val="00FB7634"/>
    <w:rsid w:val="00FB778B"/>
    <w:rsid w:val="00FB7D50"/>
    <w:rsid w:val="00FB7FD5"/>
    <w:rsid w:val="00FC0170"/>
    <w:rsid w:val="00FC01D0"/>
    <w:rsid w:val="00FC04E5"/>
    <w:rsid w:val="00FC0DCE"/>
    <w:rsid w:val="00FC1106"/>
    <w:rsid w:val="00FC13BC"/>
    <w:rsid w:val="00FC1520"/>
    <w:rsid w:val="00FC196B"/>
    <w:rsid w:val="00FC20DF"/>
    <w:rsid w:val="00FC2617"/>
    <w:rsid w:val="00FC26E8"/>
    <w:rsid w:val="00FC3179"/>
    <w:rsid w:val="00FC3212"/>
    <w:rsid w:val="00FC3D24"/>
    <w:rsid w:val="00FC3D27"/>
    <w:rsid w:val="00FC3E29"/>
    <w:rsid w:val="00FC3EFF"/>
    <w:rsid w:val="00FC4117"/>
    <w:rsid w:val="00FC43BB"/>
    <w:rsid w:val="00FC4549"/>
    <w:rsid w:val="00FC455F"/>
    <w:rsid w:val="00FC47E2"/>
    <w:rsid w:val="00FC4C40"/>
    <w:rsid w:val="00FC5CA6"/>
    <w:rsid w:val="00FC5E9E"/>
    <w:rsid w:val="00FC63D0"/>
    <w:rsid w:val="00FC64D8"/>
    <w:rsid w:val="00FC70A1"/>
    <w:rsid w:val="00FC7659"/>
    <w:rsid w:val="00FC7E16"/>
    <w:rsid w:val="00FC7FED"/>
    <w:rsid w:val="00FD163D"/>
    <w:rsid w:val="00FD1E2B"/>
    <w:rsid w:val="00FD1E5F"/>
    <w:rsid w:val="00FD1F0F"/>
    <w:rsid w:val="00FD2A38"/>
    <w:rsid w:val="00FD2E78"/>
    <w:rsid w:val="00FD3184"/>
    <w:rsid w:val="00FD324C"/>
    <w:rsid w:val="00FD3549"/>
    <w:rsid w:val="00FD35CE"/>
    <w:rsid w:val="00FD37B6"/>
    <w:rsid w:val="00FD3D92"/>
    <w:rsid w:val="00FD450E"/>
    <w:rsid w:val="00FD46E2"/>
    <w:rsid w:val="00FD579A"/>
    <w:rsid w:val="00FD58B7"/>
    <w:rsid w:val="00FD58BD"/>
    <w:rsid w:val="00FD58D9"/>
    <w:rsid w:val="00FD5BB8"/>
    <w:rsid w:val="00FD5F53"/>
    <w:rsid w:val="00FD5F72"/>
    <w:rsid w:val="00FD60A1"/>
    <w:rsid w:val="00FD664F"/>
    <w:rsid w:val="00FD6762"/>
    <w:rsid w:val="00FD6C58"/>
    <w:rsid w:val="00FD7063"/>
    <w:rsid w:val="00FD754A"/>
    <w:rsid w:val="00FD769E"/>
    <w:rsid w:val="00FD7A85"/>
    <w:rsid w:val="00FD7AB4"/>
    <w:rsid w:val="00FD7D22"/>
    <w:rsid w:val="00FE009D"/>
    <w:rsid w:val="00FE08D5"/>
    <w:rsid w:val="00FE0A52"/>
    <w:rsid w:val="00FE0F20"/>
    <w:rsid w:val="00FE14DA"/>
    <w:rsid w:val="00FE16A3"/>
    <w:rsid w:val="00FE17AB"/>
    <w:rsid w:val="00FE17BE"/>
    <w:rsid w:val="00FE1824"/>
    <w:rsid w:val="00FE1CA1"/>
    <w:rsid w:val="00FE1EB2"/>
    <w:rsid w:val="00FE2126"/>
    <w:rsid w:val="00FE2156"/>
    <w:rsid w:val="00FE2425"/>
    <w:rsid w:val="00FE24A0"/>
    <w:rsid w:val="00FE2703"/>
    <w:rsid w:val="00FE2F6E"/>
    <w:rsid w:val="00FE365F"/>
    <w:rsid w:val="00FE39F0"/>
    <w:rsid w:val="00FE3AA5"/>
    <w:rsid w:val="00FE3BC9"/>
    <w:rsid w:val="00FE4361"/>
    <w:rsid w:val="00FE49D7"/>
    <w:rsid w:val="00FE4EF2"/>
    <w:rsid w:val="00FE5062"/>
    <w:rsid w:val="00FE53E3"/>
    <w:rsid w:val="00FE53E6"/>
    <w:rsid w:val="00FE5804"/>
    <w:rsid w:val="00FE6C58"/>
    <w:rsid w:val="00FE6CFE"/>
    <w:rsid w:val="00FE6D5B"/>
    <w:rsid w:val="00FE7013"/>
    <w:rsid w:val="00FE74D1"/>
    <w:rsid w:val="00FE7A31"/>
    <w:rsid w:val="00FE7A79"/>
    <w:rsid w:val="00FF00F0"/>
    <w:rsid w:val="00FF0308"/>
    <w:rsid w:val="00FF0653"/>
    <w:rsid w:val="00FF0D5A"/>
    <w:rsid w:val="00FF0DEC"/>
    <w:rsid w:val="00FF0F8A"/>
    <w:rsid w:val="00FF1212"/>
    <w:rsid w:val="00FF1433"/>
    <w:rsid w:val="00FF1EA2"/>
    <w:rsid w:val="00FF20A5"/>
    <w:rsid w:val="00FF22C7"/>
    <w:rsid w:val="00FF23B0"/>
    <w:rsid w:val="00FF2647"/>
    <w:rsid w:val="00FF2928"/>
    <w:rsid w:val="00FF2C08"/>
    <w:rsid w:val="00FF3170"/>
    <w:rsid w:val="00FF3595"/>
    <w:rsid w:val="00FF37B6"/>
    <w:rsid w:val="00FF37BB"/>
    <w:rsid w:val="00FF3AB4"/>
    <w:rsid w:val="00FF3DFC"/>
    <w:rsid w:val="00FF3E9A"/>
    <w:rsid w:val="00FF46C9"/>
    <w:rsid w:val="00FF4871"/>
    <w:rsid w:val="00FF4EB7"/>
    <w:rsid w:val="00FF4F54"/>
    <w:rsid w:val="00FF4FD3"/>
    <w:rsid w:val="00FF5219"/>
    <w:rsid w:val="00FF53DF"/>
    <w:rsid w:val="00FF53EF"/>
    <w:rsid w:val="00FF5A74"/>
    <w:rsid w:val="00FF5AB1"/>
    <w:rsid w:val="00FF5B42"/>
    <w:rsid w:val="00FF5BC9"/>
    <w:rsid w:val="00FF6007"/>
    <w:rsid w:val="00FF6476"/>
    <w:rsid w:val="00FF6500"/>
    <w:rsid w:val="00FF6633"/>
    <w:rsid w:val="00FF6E72"/>
    <w:rsid w:val="00FF715E"/>
    <w:rsid w:val="00FF7472"/>
    <w:rsid w:val="0884C18B"/>
    <w:rsid w:val="08EF54F1"/>
    <w:rsid w:val="0FE1949C"/>
    <w:rsid w:val="14BDBDDB"/>
    <w:rsid w:val="14D54AA7"/>
    <w:rsid w:val="15105361"/>
    <w:rsid w:val="1613DC73"/>
    <w:rsid w:val="185077BB"/>
    <w:rsid w:val="1A0BAF93"/>
    <w:rsid w:val="1B97CB81"/>
    <w:rsid w:val="1E77D902"/>
    <w:rsid w:val="21B0791B"/>
    <w:rsid w:val="25C469EE"/>
    <w:rsid w:val="25F68BB1"/>
    <w:rsid w:val="27747315"/>
    <w:rsid w:val="29158656"/>
    <w:rsid w:val="3097D46A"/>
    <w:rsid w:val="358AC807"/>
    <w:rsid w:val="375AAA3C"/>
    <w:rsid w:val="39DEF2D9"/>
    <w:rsid w:val="3DAAA3E9"/>
    <w:rsid w:val="3FBD1B0B"/>
    <w:rsid w:val="42FC71A8"/>
    <w:rsid w:val="44EEB6C7"/>
    <w:rsid w:val="48971F5C"/>
    <w:rsid w:val="4A7BB68F"/>
    <w:rsid w:val="4E31CCD3"/>
    <w:rsid w:val="4F2982C3"/>
    <w:rsid w:val="4FD57C28"/>
    <w:rsid w:val="4FEBF9DC"/>
    <w:rsid w:val="54E1B3EF"/>
    <w:rsid w:val="5789FDA1"/>
    <w:rsid w:val="591266BA"/>
    <w:rsid w:val="5998638E"/>
    <w:rsid w:val="5ADA8CEF"/>
    <w:rsid w:val="5C8C4E7C"/>
    <w:rsid w:val="5D0DC49B"/>
    <w:rsid w:val="5E057562"/>
    <w:rsid w:val="602CA2CB"/>
    <w:rsid w:val="608F9A2F"/>
    <w:rsid w:val="66BA69E2"/>
    <w:rsid w:val="6EE880DE"/>
    <w:rsid w:val="70F399D2"/>
    <w:rsid w:val="718FFD6D"/>
    <w:rsid w:val="73C61BB2"/>
    <w:rsid w:val="74754265"/>
    <w:rsid w:val="76897592"/>
    <w:rsid w:val="7C1EEDFB"/>
    <w:rsid w:val="7CA37E5F"/>
    <w:rsid w:val="7FF46C5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206CA5"/>
  <w15:docId w15:val="{2A6A9B0D-58DF-4616-A513-7138601F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rsid w:val="005A4DFD"/>
    <w:pPr>
      <w:spacing w:before="200" w:after="200" w:line="300" w:lineRule="atLeast"/>
    </w:pPr>
    <w:rPr>
      <w:sz w:val="20"/>
      <w:szCs w:val="20"/>
    </w:rPr>
  </w:style>
  <w:style w:type="paragraph" w:styleId="Heading1">
    <w:name w:val="heading 1"/>
    <w:aliases w:val="Heading level 1"/>
    <w:basedOn w:val="Normal"/>
    <w:next w:val="Normal"/>
    <w:link w:val="Heading1Char"/>
    <w:uiPriority w:val="9"/>
    <w:rsid w:val="00C2786B"/>
    <w:pPr>
      <w:spacing w:after="480"/>
      <w:outlineLvl w:val="0"/>
    </w:pPr>
    <w:rPr>
      <w:color w:val="00694B" w:themeColor="accent3"/>
      <w:sz w:val="48"/>
      <w:szCs w:val="48"/>
    </w:rPr>
  </w:style>
  <w:style w:type="paragraph" w:styleId="Heading2">
    <w:name w:val="heading 2"/>
    <w:aliases w:val="Heading level 3"/>
    <w:basedOn w:val="Normal"/>
    <w:next w:val="Normal"/>
    <w:link w:val="Heading2Char"/>
    <w:uiPriority w:val="9"/>
    <w:unhideWhenUsed/>
    <w:rsid w:val="00FF0DEC"/>
    <w:pPr>
      <w:spacing w:before="360" w:after="240"/>
      <w:outlineLvl w:val="1"/>
    </w:pPr>
    <w:rPr>
      <w:rFonts w:ascii="Verdana" w:hAnsi="Verdana"/>
      <w:b/>
      <w:bCs/>
      <w:color w:val="00694B" w:themeColor="accent3"/>
      <w:szCs w:val="22"/>
    </w:rPr>
  </w:style>
  <w:style w:type="paragraph" w:styleId="Heading3">
    <w:name w:val="heading 3"/>
    <w:basedOn w:val="Normal"/>
    <w:next w:val="Normal"/>
    <w:link w:val="Heading3Char"/>
    <w:uiPriority w:val="9"/>
    <w:unhideWhenUsed/>
    <w:rsid w:val="003D5558"/>
    <w:pPr>
      <w:keepNext/>
      <w:keepLines/>
      <w:spacing w:before="40" w:after="0"/>
      <w:outlineLvl w:val="2"/>
    </w:pPr>
    <w:rPr>
      <w:rFonts w:asciiTheme="majorHAnsi" w:eastAsiaTheme="majorEastAsia" w:hAnsiTheme="majorHAnsi" w:cstheme="majorBidi"/>
      <w:color w:val="0B1F19" w:themeColor="accent1" w:themeShade="7F"/>
      <w:sz w:val="24"/>
      <w:szCs w:val="24"/>
    </w:rPr>
  </w:style>
  <w:style w:type="paragraph" w:styleId="Heading4">
    <w:name w:val="heading 4"/>
    <w:basedOn w:val="Normal"/>
    <w:next w:val="Normal"/>
    <w:link w:val="Heading4Char"/>
    <w:uiPriority w:val="9"/>
    <w:semiHidden/>
    <w:unhideWhenUsed/>
    <w:rsid w:val="00921460"/>
    <w:pPr>
      <w:keepNext/>
      <w:keepLines/>
      <w:spacing w:before="40" w:after="0"/>
      <w:outlineLvl w:val="3"/>
    </w:pPr>
    <w:rPr>
      <w:rFonts w:asciiTheme="majorHAnsi" w:eastAsiaTheme="majorEastAsia" w:hAnsiTheme="majorHAnsi" w:cstheme="majorBidi"/>
      <w:i/>
      <w:iCs/>
      <w:color w:val="112F26" w:themeColor="accent1" w:themeShade="BF"/>
    </w:rPr>
  </w:style>
  <w:style w:type="paragraph" w:styleId="Heading5">
    <w:name w:val="heading 5"/>
    <w:basedOn w:val="Normal"/>
    <w:next w:val="Normal"/>
    <w:link w:val="Heading5Char"/>
    <w:uiPriority w:val="9"/>
    <w:semiHidden/>
    <w:unhideWhenUsed/>
    <w:qFormat/>
    <w:rsid w:val="004D1BBB"/>
    <w:pPr>
      <w:keepNext/>
      <w:keepLines/>
      <w:spacing w:before="40" w:after="0"/>
      <w:outlineLvl w:val="4"/>
    </w:pPr>
    <w:rPr>
      <w:rFonts w:asciiTheme="majorHAnsi" w:eastAsiaTheme="majorEastAsia" w:hAnsiTheme="majorHAnsi" w:cstheme="majorBidi"/>
      <w:color w:val="112F26" w:themeColor="accent1" w:themeShade="BF"/>
    </w:rPr>
  </w:style>
  <w:style w:type="paragraph" w:styleId="Heading6">
    <w:name w:val="heading 6"/>
    <w:basedOn w:val="Normal"/>
    <w:next w:val="Normal"/>
    <w:link w:val="Heading6Char"/>
    <w:uiPriority w:val="9"/>
    <w:semiHidden/>
    <w:unhideWhenUsed/>
    <w:qFormat/>
    <w:rsid w:val="004D1BBB"/>
    <w:pPr>
      <w:keepNext/>
      <w:keepLines/>
      <w:spacing w:before="40" w:after="0"/>
      <w:outlineLvl w:val="5"/>
    </w:pPr>
    <w:rPr>
      <w:rFonts w:asciiTheme="majorHAnsi" w:eastAsiaTheme="majorEastAsia" w:hAnsiTheme="majorHAnsi" w:cstheme="majorBidi"/>
      <w:color w:val="0B1F19" w:themeColor="accent1" w:themeShade="7F"/>
    </w:rPr>
  </w:style>
  <w:style w:type="paragraph" w:styleId="Heading7">
    <w:name w:val="heading 7"/>
    <w:basedOn w:val="Normal"/>
    <w:next w:val="Normal"/>
    <w:link w:val="Heading7Char"/>
    <w:uiPriority w:val="9"/>
    <w:semiHidden/>
    <w:unhideWhenUsed/>
    <w:qFormat/>
    <w:rsid w:val="004D1BBB"/>
    <w:pPr>
      <w:keepNext/>
      <w:keepLines/>
      <w:spacing w:before="40" w:after="0"/>
      <w:outlineLvl w:val="6"/>
    </w:pPr>
    <w:rPr>
      <w:rFonts w:asciiTheme="majorHAnsi" w:eastAsiaTheme="majorEastAsia" w:hAnsiTheme="majorHAnsi" w:cstheme="majorBidi"/>
      <w:i/>
      <w:iCs/>
      <w:color w:val="0B1F19" w:themeColor="accent1" w:themeShade="7F"/>
    </w:rPr>
  </w:style>
  <w:style w:type="paragraph" w:styleId="Heading8">
    <w:name w:val="heading 8"/>
    <w:basedOn w:val="Normal"/>
    <w:next w:val="Normal"/>
    <w:link w:val="Heading8Char"/>
    <w:uiPriority w:val="9"/>
    <w:semiHidden/>
    <w:unhideWhenUsed/>
    <w:qFormat/>
    <w:rsid w:val="004D1BB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1B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42487"/>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6660E3"/>
    <w:pPr>
      <w:tabs>
        <w:tab w:val="right" w:pos="10546"/>
      </w:tabs>
    </w:pPr>
    <w:rPr>
      <w:color w:val="00694B" w:themeColor="accent3"/>
      <w:sz w:val="16"/>
    </w:rPr>
  </w:style>
  <w:style w:type="character" w:customStyle="1" w:styleId="FooterChar">
    <w:name w:val="Footer Char"/>
    <w:basedOn w:val="DefaultParagraphFont"/>
    <w:link w:val="Footer"/>
    <w:uiPriority w:val="99"/>
    <w:rsid w:val="006660E3"/>
    <w:rPr>
      <w:rFonts w:ascii="Verdana" w:hAnsi="Verdana"/>
      <w:color w:val="00694B" w:themeColor="accent3"/>
      <w:sz w:val="16"/>
      <w:szCs w:val="20"/>
    </w:rPr>
  </w:style>
  <w:style w:type="character" w:customStyle="1" w:styleId="Heading1Char">
    <w:name w:val="Heading 1 Char"/>
    <w:aliases w:val="Heading level 1 Char"/>
    <w:basedOn w:val="DefaultParagraphFont"/>
    <w:link w:val="Heading1"/>
    <w:uiPriority w:val="9"/>
    <w:rsid w:val="00C2786B"/>
    <w:rPr>
      <w:color w:val="00694B" w:themeColor="accent3"/>
      <w:sz w:val="48"/>
      <w:szCs w:val="48"/>
    </w:rPr>
  </w:style>
  <w:style w:type="character" w:styleId="Strong">
    <w:name w:val="Strong"/>
    <w:aliases w:val="IntroCopy"/>
    <w:uiPriority w:val="22"/>
    <w:rsid w:val="00571BDC"/>
    <w:rPr>
      <w:color w:val="173F34" w:themeColor="accent1"/>
      <w:sz w:val="32"/>
      <w:szCs w:val="32"/>
      <w:lang w:val="pt-PT"/>
    </w:rPr>
  </w:style>
  <w:style w:type="paragraph" w:styleId="Title">
    <w:name w:val="Title"/>
    <w:aliases w:val="Heading level 2"/>
    <w:basedOn w:val="Normal"/>
    <w:next w:val="Normal"/>
    <w:link w:val="TitleChar"/>
    <w:uiPriority w:val="10"/>
    <w:rsid w:val="00C2786B"/>
    <w:pPr>
      <w:spacing w:before="480" w:after="360" w:line="420" w:lineRule="exact"/>
    </w:pPr>
    <w:rPr>
      <w:color w:val="00694B" w:themeColor="accent3"/>
      <w:sz w:val="32"/>
      <w:szCs w:val="32"/>
    </w:rPr>
  </w:style>
  <w:style w:type="character" w:customStyle="1" w:styleId="TitleChar">
    <w:name w:val="Title Char"/>
    <w:aliases w:val="Heading level 2 Char"/>
    <w:basedOn w:val="DefaultParagraphFont"/>
    <w:link w:val="Title"/>
    <w:uiPriority w:val="10"/>
    <w:rsid w:val="00C2786B"/>
    <w:rPr>
      <w:color w:val="00694B" w:themeColor="accent3"/>
      <w:sz w:val="32"/>
      <w:szCs w:val="32"/>
    </w:rPr>
  </w:style>
  <w:style w:type="character" w:customStyle="1" w:styleId="Heading2Char">
    <w:name w:val="Heading 2 Char"/>
    <w:aliases w:val="Heading level 3 Char"/>
    <w:basedOn w:val="DefaultParagraphFont"/>
    <w:link w:val="Heading2"/>
    <w:uiPriority w:val="9"/>
    <w:rsid w:val="00FF0DEC"/>
    <w:rPr>
      <w:rFonts w:ascii="Verdana" w:hAnsi="Verdana"/>
      <w:b/>
      <w:bCs/>
      <w:color w:val="00694B" w:themeColor="accent3"/>
      <w:sz w:val="20"/>
    </w:rPr>
  </w:style>
  <w:style w:type="paragraph" w:styleId="ListParagraph">
    <w:name w:val="List Paragraph"/>
    <w:basedOn w:val="Normal"/>
    <w:link w:val="ListParagraphChar"/>
    <w:uiPriority w:val="34"/>
    <w:rsid w:val="00460A41"/>
    <w:pPr>
      <w:ind w:left="720"/>
      <w:contextualSpacing/>
    </w:pPr>
  </w:style>
  <w:style w:type="paragraph" w:customStyle="1" w:styleId="BulletList">
    <w:name w:val="BulletList"/>
    <w:basedOn w:val="Normal"/>
    <w:link w:val="BulletListChar"/>
    <w:rsid w:val="00FF2647"/>
    <w:pPr>
      <w:numPr>
        <w:numId w:val="1"/>
      </w:numPr>
      <w:spacing w:before="0" w:after="120" w:line="300" w:lineRule="exact"/>
      <w:ind w:left="357" w:right="-85" w:hanging="357"/>
    </w:pPr>
    <w:rPr>
      <w:lang w:val="pt-PT"/>
    </w:rPr>
  </w:style>
  <w:style w:type="paragraph" w:customStyle="1" w:styleId="NumberedList">
    <w:name w:val="NumberedList"/>
    <w:basedOn w:val="ListParagraph"/>
    <w:link w:val="NumberedListChar"/>
    <w:rsid w:val="00F74A81"/>
    <w:pPr>
      <w:numPr>
        <w:numId w:val="2"/>
      </w:numPr>
      <w:spacing w:before="0"/>
      <w:ind w:left="284" w:hanging="284"/>
      <w:contextualSpacing w:val="0"/>
    </w:pPr>
  </w:style>
  <w:style w:type="paragraph" w:styleId="Quote">
    <w:name w:val="Quote"/>
    <w:aliases w:val="LargeQuote"/>
    <w:basedOn w:val="Normal"/>
    <w:next w:val="Normal"/>
    <w:link w:val="QuoteChar"/>
    <w:uiPriority w:val="29"/>
    <w:qFormat/>
    <w:rsid w:val="00E1062A"/>
    <w:rPr>
      <w:rFonts w:cs="Times New Roman (Body CS)"/>
      <w:color w:val="00694B" w:themeColor="accent3"/>
      <w:sz w:val="28"/>
      <w:szCs w:val="28"/>
    </w:rPr>
  </w:style>
  <w:style w:type="character" w:customStyle="1" w:styleId="QuoteChar">
    <w:name w:val="Quote Char"/>
    <w:aliases w:val="LargeQuote Char"/>
    <w:basedOn w:val="DefaultParagraphFont"/>
    <w:link w:val="Quote"/>
    <w:uiPriority w:val="29"/>
    <w:rsid w:val="00E1062A"/>
    <w:rPr>
      <w:rFonts w:ascii="Verdana" w:hAnsi="Verdana" w:cs="Times New Roman (Body CS)"/>
      <w:color w:val="00694B" w:themeColor="accent3"/>
      <w:sz w:val="28"/>
      <w:szCs w:val="28"/>
    </w:rPr>
  </w:style>
  <w:style w:type="paragraph" w:customStyle="1" w:styleId="QuoteSource">
    <w:name w:val="QuoteSource"/>
    <w:basedOn w:val="Normal"/>
    <w:qFormat/>
    <w:rsid w:val="000F6044"/>
    <w:pPr>
      <w:spacing w:before="40" w:after="40" w:line="240" w:lineRule="auto"/>
    </w:pPr>
    <w:rPr>
      <w:sz w:val="18"/>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qFormat/>
    <w:rsid w:val="00C926FE"/>
    <w:pPr>
      <w:spacing w:after="240" w:line="320" w:lineRule="atLeast"/>
    </w:pPr>
    <w:rPr>
      <w:bCs/>
      <w:color w:val="00694B" w:themeColor="accent3"/>
      <w:sz w:val="24"/>
      <w:szCs w:val="22"/>
    </w:rPr>
  </w:style>
  <w:style w:type="paragraph" w:customStyle="1" w:styleId="LargeBox">
    <w:name w:val="LargeBox"/>
    <w:basedOn w:val="Normal"/>
    <w:rsid w:val="00DB21A7"/>
    <w:pPr>
      <w:framePr w:w="10206" w:hSpace="284" w:vSpace="284" w:wrap="around" w:vAnchor="text" w:hAnchor="text" w:y="1"/>
      <w:shd w:val="clear" w:color="auto" w:fill="173F3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EB888" w:themeFill="accent4"/>
    </w:pPr>
    <w:rPr>
      <w:b/>
      <w:sz w:val="22"/>
    </w:rPr>
  </w:style>
  <w:style w:type="paragraph" w:customStyle="1" w:styleId="IntroCopy">
    <w:name w:val="Intro Copy"/>
    <w:basedOn w:val="Normal"/>
    <w:link w:val="IntroCopyChar"/>
    <w:qFormat/>
    <w:rsid w:val="00E1062A"/>
    <w:pPr>
      <w:spacing w:after="560" w:line="420" w:lineRule="exact"/>
    </w:pPr>
    <w:rPr>
      <w:color w:val="173F34" w:themeColor="accent1"/>
      <w:sz w:val="32"/>
      <w:szCs w:val="32"/>
    </w:rPr>
  </w:style>
  <w:style w:type="character" w:customStyle="1" w:styleId="IntroCopyChar">
    <w:name w:val="Intro Copy Char"/>
    <w:basedOn w:val="DefaultParagraphFont"/>
    <w:link w:val="IntroCopy"/>
    <w:rsid w:val="00E1062A"/>
    <w:rPr>
      <w:rFonts w:ascii="Verdana" w:hAnsi="Verdana"/>
      <w:color w:val="173F34" w:themeColor="accent1"/>
      <w:sz w:val="32"/>
      <w:szCs w:val="32"/>
    </w:rPr>
  </w:style>
  <w:style w:type="paragraph" w:customStyle="1" w:styleId="CoverPageHeader">
    <w:name w:val="CoverPage Header"/>
    <w:basedOn w:val="Title"/>
    <w:link w:val="CoverPageHeaderChar"/>
    <w:rsid w:val="00C2786B"/>
    <w:pPr>
      <w:spacing w:after="480" w:line="240" w:lineRule="auto"/>
      <w:jc w:val="center"/>
    </w:pPr>
    <w:rPr>
      <w:rFonts w:ascii="Verdana" w:hAnsi="Verdana"/>
      <w:bCs/>
      <w:color w:val="FFFFFF" w:themeColor="background1"/>
      <w:sz w:val="72"/>
      <w:szCs w:val="72"/>
      <w:lang w:val="en-US"/>
    </w:rPr>
  </w:style>
  <w:style w:type="paragraph" w:customStyle="1" w:styleId="CoverPageSubtitle">
    <w:name w:val="CoverPage Subtitle"/>
    <w:basedOn w:val="Subtitle"/>
    <w:link w:val="CoverPageSubtitleChar"/>
    <w:rsid w:val="005902B8"/>
  </w:style>
  <w:style w:type="paragraph" w:styleId="Date">
    <w:name w:val="Date"/>
    <w:basedOn w:val="Normal"/>
    <w:next w:val="Normal"/>
    <w:link w:val="DateChar"/>
    <w:uiPriority w:val="99"/>
    <w:unhideWhenUsed/>
    <w:rsid w:val="00EB71CC"/>
    <w:pPr>
      <w:jc w:val="center"/>
    </w:pPr>
    <w:rPr>
      <w:color w:val="FFFFFF" w:themeColor="background1"/>
    </w:rPr>
  </w:style>
  <w:style w:type="character" w:customStyle="1" w:styleId="DateChar">
    <w:name w:val="Date Char"/>
    <w:basedOn w:val="DefaultParagraphFont"/>
    <w:link w:val="Date"/>
    <w:uiPriority w:val="99"/>
    <w:rsid w:val="00EB71CC"/>
    <w:rPr>
      <w:rFonts w:ascii="Verdana" w:hAnsi="Verdana"/>
      <w:color w:val="FFFFFF" w:themeColor="background1"/>
      <w:sz w:val="20"/>
      <w:szCs w:val="20"/>
    </w:rPr>
  </w:style>
  <w:style w:type="paragraph" w:styleId="Subtitle">
    <w:name w:val="Subtitle"/>
    <w:basedOn w:val="Normal"/>
    <w:next w:val="Normal"/>
    <w:link w:val="SubtitleChar"/>
    <w:uiPriority w:val="11"/>
    <w:rsid w:val="005902B8"/>
    <w:pPr>
      <w:spacing w:before="0" w:after="60" w:line="252" w:lineRule="auto"/>
      <w:ind w:right="55"/>
      <w:jc w:val="center"/>
    </w:pPr>
    <w:rPr>
      <w:rFonts w:eastAsiaTheme="minorEastAsia"/>
      <w:color w:val="FFFFFF" w:themeColor="background1"/>
      <w:sz w:val="40"/>
      <w:szCs w:val="40"/>
      <w:lang w:eastAsia="zh-CN"/>
    </w:rPr>
  </w:style>
  <w:style w:type="character" w:customStyle="1" w:styleId="SubtitleChar">
    <w:name w:val="Subtitle Char"/>
    <w:basedOn w:val="DefaultParagraphFont"/>
    <w:link w:val="Subtitle"/>
    <w:uiPriority w:val="11"/>
    <w:rsid w:val="005902B8"/>
    <w:rPr>
      <w:rFonts w:eastAsiaTheme="minorEastAsia"/>
      <w:color w:val="FFFFFF" w:themeColor="background1"/>
      <w:sz w:val="40"/>
      <w:szCs w:val="40"/>
      <w:lang w:eastAsia="zh-CN"/>
    </w:rPr>
  </w:style>
  <w:style w:type="paragraph" w:customStyle="1" w:styleId="TableText">
    <w:name w:val="Table Text"/>
    <w:basedOn w:val="Normal"/>
    <w:uiPriority w:val="4"/>
    <w:rsid w:val="003D2DB3"/>
    <w:pPr>
      <w:spacing w:before="40" w:after="60" w:line="240" w:lineRule="atLeast"/>
      <w:jc w:val="both"/>
    </w:pPr>
    <w:rPr>
      <w:rFonts w:ascii="Arial" w:eastAsia="Times New Roman" w:hAnsi="Arial" w:cs="Times New Roman"/>
      <w:lang w:eastAsia="en-AU"/>
    </w:rPr>
  </w:style>
  <w:style w:type="character" w:customStyle="1" w:styleId="Heading3Char">
    <w:name w:val="Heading 3 Char"/>
    <w:basedOn w:val="DefaultParagraphFont"/>
    <w:link w:val="Heading3"/>
    <w:uiPriority w:val="9"/>
    <w:rsid w:val="003D5558"/>
    <w:rPr>
      <w:rFonts w:asciiTheme="majorHAnsi" w:eastAsiaTheme="majorEastAsia" w:hAnsiTheme="majorHAnsi" w:cstheme="majorBidi"/>
      <w:color w:val="0B1F19" w:themeColor="accent1" w:themeShade="7F"/>
      <w:sz w:val="24"/>
      <w:szCs w:val="24"/>
    </w:rPr>
  </w:style>
  <w:style w:type="paragraph" w:styleId="ListBullet">
    <w:name w:val="List Bullet"/>
    <w:basedOn w:val="Normal"/>
    <w:uiPriority w:val="99"/>
    <w:unhideWhenUsed/>
    <w:rsid w:val="0018174D"/>
    <w:pPr>
      <w:numPr>
        <w:numId w:val="17"/>
      </w:numPr>
      <w:snapToGrid w:val="0"/>
      <w:spacing w:before="0" w:after="40" w:line="252" w:lineRule="auto"/>
      <w:jc w:val="both"/>
    </w:pPr>
    <w:rPr>
      <w:rFonts w:eastAsiaTheme="minorEastAsia"/>
      <w:lang w:eastAsia="zh-CN"/>
    </w:rPr>
  </w:style>
  <w:style w:type="paragraph" w:styleId="ListBullet2">
    <w:name w:val="List Bullet 2"/>
    <w:basedOn w:val="Normal"/>
    <w:uiPriority w:val="99"/>
    <w:unhideWhenUsed/>
    <w:rsid w:val="0018174D"/>
    <w:pPr>
      <w:numPr>
        <w:ilvl w:val="1"/>
        <w:numId w:val="17"/>
      </w:numPr>
      <w:snapToGrid w:val="0"/>
      <w:spacing w:before="0" w:after="40" w:line="252" w:lineRule="auto"/>
      <w:jc w:val="both"/>
    </w:pPr>
    <w:rPr>
      <w:rFonts w:eastAsiaTheme="minorEastAsia"/>
      <w:lang w:eastAsia="zh-CN"/>
    </w:rPr>
  </w:style>
  <w:style w:type="paragraph" w:styleId="ListBullet3">
    <w:name w:val="List Bullet 3"/>
    <w:basedOn w:val="Normal"/>
    <w:uiPriority w:val="99"/>
    <w:unhideWhenUsed/>
    <w:rsid w:val="0018174D"/>
    <w:pPr>
      <w:numPr>
        <w:ilvl w:val="2"/>
        <w:numId w:val="17"/>
      </w:numPr>
      <w:snapToGrid w:val="0"/>
      <w:spacing w:before="0" w:after="40" w:line="252" w:lineRule="auto"/>
      <w:jc w:val="both"/>
    </w:pPr>
    <w:rPr>
      <w:rFonts w:eastAsiaTheme="minorEastAsia"/>
      <w:lang w:eastAsia="zh-CN"/>
    </w:rPr>
  </w:style>
  <w:style w:type="character" w:styleId="Hyperlink">
    <w:name w:val="Hyperlink"/>
    <w:basedOn w:val="DefaultParagraphFont"/>
    <w:uiPriority w:val="99"/>
    <w:unhideWhenUsed/>
    <w:rsid w:val="002E5078"/>
    <w:rPr>
      <w:color w:val="0563C1" w:themeColor="hyperlink"/>
      <w:u w:val="single"/>
    </w:rPr>
  </w:style>
  <w:style w:type="character" w:customStyle="1" w:styleId="ColourText">
    <w:name w:val="Colour Text"/>
    <w:uiPriority w:val="1"/>
    <w:rsid w:val="00823558"/>
    <w:rPr>
      <w:rFonts w:ascii="Arial" w:hAnsi="Arial" w:cs="Arial" w:hint="default"/>
      <w:b/>
      <w:bCs w:val="0"/>
      <w:color w:val="00694B" w:themeColor="accent3"/>
    </w:rPr>
  </w:style>
  <w:style w:type="table" w:styleId="GridTable1Light-Accent1">
    <w:name w:val="Grid Table 1 Light Accent 1"/>
    <w:basedOn w:val="TableNormal"/>
    <w:uiPriority w:val="46"/>
    <w:rsid w:val="00560EBD"/>
    <w:pPr>
      <w:spacing w:after="0" w:line="240" w:lineRule="auto"/>
    </w:pPr>
    <w:rPr>
      <w:rFonts w:eastAsiaTheme="minorEastAsia"/>
      <w:sz w:val="20"/>
      <w:szCs w:val="20"/>
      <w:lang w:eastAsia="zh-CN"/>
    </w:rPr>
    <w:tblPr>
      <w:tblStyleRowBandSize w:val="1"/>
      <w:tblStyleColBandSize w:val="1"/>
      <w:tblBorders>
        <w:top w:val="single" w:sz="4" w:space="0" w:color="82D1BB" w:themeColor="accent1" w:themeTint="66"/>
        <w:left w:val="single" w:sz="4" w:space="0" w:color="82D1BB" w:themeColor="accent1" w:themeTint="66"/>
        <w:bottom w:val="single" w:sz="4" w:space="0" w:color="82D1BB" w:themeColor="accent1" w:themeTint="66"/>
        <w:right w:val="single" w:sz="4" w:space="0" w:color="82D1BB" w:themeColor="accent1" w:themeTint="66"/>
        <w:insideH w:val="single" w:sz="4" w:space="0" w:color="82D1BB" w:themeColor="accent1" w:themeTint="66"/>
        <w:insideV w:val="single" w:sz="4" w:space="0" w:color="82D1BB" w:themeColor="accent1" w:themeTint="66"/>
      </w:tblBorders>
    </w:tblPr>
    <w:tblStylePr w:type="firstRow">
      <w:rPr>
        <w:b/>
        <w:bCs/>
      </w:rPr>
      <w:tblPr/>
      <w:tcPr>
        <w:tcBorders>
          <w:bottom w:val="single" w:sz="12" w:space="0" w:color="44BB99" w:themeColor="accent1" w:themeTint="99"/>
        </w:tcBorders>
      </w:tcPr>
    </w:tblStylePr>
    <w:tblStylePr w:type="lastRow">
      <w:rPr>
        <w:b/>
        <w:bCs/>
      </w:rPr>
      <w:tblPr/>
      <w:tcPr>
        <w:tcBorders>
          <w:top w:val="double" w:sz="2" w:space="0" w:color="44BB99" w:themeColor="accent1" w:themeTint="99"/>
        </w:tcBorders>
      </w:tcPr>
    </w:tblStylePr>
    <w:tblStylePr w:type="firstCol">
      <w:rPr>
        <w:b/>
        <w:bCs/>
      </w:rPr>
    </w:tblStylePr>
    <w:tblStylePr w:type="lastCol">
      <w:rPr>
        <w:b/>
        <w:bCs/>
      </w:rPr>
    </w:tblStylePr>
  </w:style>
  <w:style w:type="paragraph" w:customStyle="1" w:styleId="SingleSpace">
    <w:name w:val="Single Space"/>
    <w:basedOn w:val="Normal"/>
    <w:rsid w:val="0018174D"/>
    <w:pPr>
      <w:spacing w:before="0" w:after="0" w:line="240" w:lineRule="auto"/>
      <w:jc w:val="both"/>
    </w:pPr>
    <w:rPr>
      <w:rFonts w:eastAsia="Times New Roman" w:cs="Times New Roman"/>
      <w:lang w:eastAsia="en-AU"/>
    </w:rPr>
  </w:style>
  <w:style w:type="paragraph" w:styleId="Revision">
    <w:name w:val="Revision"/>
    <w:hidden/>
    <w:uiPriority w:val="99"/>
    <w:semiHidden/>
    <w:rsid w:val="00FD754A"/>
    <w:pPr>
      <w:spacing w:after="0" w:line="240" w:lineRule="auto"/>
    </w:pPr>
    <w:rPr>
      <w:rFonts w:ascii="Verdana" w:hAnsi="Verdana"/>
      <w:color w:val="000000" w:themeColor="text1"/>
      <w:sz w:val="20"/>
      <w:szCs w:val="20"/>
    </w:rPr>
  </w:style>
  <w:style w:type="character" w:styleId="FollowedHyperlink">
    <w:name w:val="FollowedHyperlink"/>
    <w:basedOn w:val="DefaultParagraphFont"/>
    <w:uiPriority w:val="99"/>
    <w:semiHidden/>
    <w:unhideWhenUsed/>
    <w:rsid w:val="004152A3"/>
    <w:rPr>
      <w:color w:val="954F72" w:themeColor="followedHyperlink"/>
      <w:u w:val="single"/>
    </w:rPr>
  </w:style>
  <w:style w:type="character" w:styleId="CommentReference">
    <w:name w:val="annotation reference"/>
    <w:basedOn w:val="DefaultParagraphFont"/>
    <w:uiPriority w:val="99"/>
    <w:semiHidden/>
    <w:unhideWhenUsed/>
    <w:rsid w:val="00A41BF5"/>
    <w:rPr>
      <w:sz w:val="16"/>
      <w:szCs w:val="16"/>
    </w:rPr>
  </w:style>
  <w:style w:type="paragraph" w:styleId="CommentText">
    <w:name w:val="annotation text"/>
    <w:basedOn w:val="Normal"/>
    <w:link w:val="CommentTextChar"/>
    <w:uiPriority w:val="99"/>
    <w:unhideWhenUsed/>
    <w:rsid w:val="00A41BF5"/>
    <w:pPr>
      <w:spacing w:line="240" w:lineRule="auto"/>
    </w:pPr>
  </w:style>
  <w:style w:type="character" w:customStyle="1" w:styleId="CommentTextChar">
    <w:name w:val="Comment Text Char"/>
    <w:basedOn w:val="DefaultParagraphFont"/>
    <w:link w:val="CommentText"/>
    <w:uiPriority w:val="99"/>
    <w:rsid w:val="00A41BF5"/>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41BF5"/>
    <w:rPr>
      <w:b/>
      <w:bCs/>
    </w:rPr>
  </w:style>
  <w:style w:type="character" w:customStyle="1" w:styleId="CommentSubjectChar">
    <w:name w:val="Comment Subject Char"/>
    <w:basedOn w:val="CommentTextChar"/>
    <w:link w:val="CommentSubject"/>
    <w:uiPriority w:val="99"/>
    <w:semiHidden/>
    <w:rsid w:val="00A41BF5"/>
    <w:rPr>
      <w:rFonts w:ascii="Verdana" w:hAnsi="Verdana"/>
      <w:b/>
      <w:bCs/>
      <w:color w:val="000000" w:themeColor="text1"/>
      <w:sz w:val="20"/>
      <w:szCs w:val="20"/>
    </w:rPr>
  </w:style>
  <w:style w:type="paragraph" w:customStyle="1" w:styleId="Tableheading">
    <w:name w:val="Table heading"/>
    <w:basedOn w:val="NoSpacing"/>
    <w:rsid w:val="00C2786B"/>
    <w:pPr>
      <w:framePr w:hSpace="180" w:wrap="around" w:vAnchor="text" w:hAnchor="margin" w:y="189"/>
    </w:pPr>
    <w:rPr>
      <w:rFonts w:ascii="Verdana" w:hAnsi="Verdana"/>
      <w:b/>
      <w:sz w:val="18"/>
      <w:szCs w:val="20"/>
    </w:rPr>
  </w:style>
  <w:style w:type="paragraph" w:customStyle="1" w:styleId="TableBody">
    <w:name w:val="Table Body"/>
    <w:basedOn w:val="NoSpacing"/>
    <w:rsid w:val="00C2786B"/>
    <w:pPr>
      <w:framePr w:hSpace="180" w:wrap="around" w:vAnchor="text" w:hAnchor="margin" w:y="189"/>
      <w:spacing w:line="280" w:lineRule="atLeast"/>
    </w:pPr>
    <w:rPr>
      <w:rFonts w:ascii="Verdana" w:hAnsi="Verdana"/>
      <w:sz w:val="18"/>
      <w:szCs w:val="20"/>
    </w:rPr>
  </w:style>
  <w:style w:type="paragraph" w:customStyle="1" w:styleId="Tableheading2">
    <w:name w:val="Table heading 2"/>
    <w:basedOn w:val="NoSpacing"/>
    <w:rsid w:val="00C2786B"/>
    <w:pPr>
      <w:framePr w:hSpace="180" w:wrap="around" w:vAnchor="text" w:hAnchor="margin" w:y="189"/>
    </w:pPr>
    <w:rPr>
      <w:rFonts w:ascii="Verdana" w:hAnsi="Verdana"/>
      <w:b/>
      <w:color w:val="173F34" w:themeColor="accent1"/>
      <w:sz w:val="18"/>
      <w:szCs w:val="20"/>
    </w:rPr>
  </w:style>
  <w:style w:type="table" w:styleId="ListTable3-Accent3">
    <w:name w:val="List Table 3 Accent 3"/>
    <w:basedOn w:val="TableNormal"/>
    <w:uiPriority w:val="48"/>
    <w:rsid w:val="00346891"/>
    <w:pPr>
      <w:spacing w:after="0" w:line="240" w:lineRule="auto"/>
    </w:pPr>
    <w:rPr>
      <w:sz w:val="18"/>
    </w:rPr>
    <w:tblPr>
      <w:tblStyleRowBandSize w:val="1"/>
      <w:tblStyleColBandSize w:val="1"/>
      <w:tblBorders>
        <w:top w:val="single" w:sz="4" w:space="0" w:color="00694B" w:themeColor="accent3"/>
        <w:left w:val="single" w:sz="4" w:space="0" w:color="00694B" w:themeColor="accent3"/>
        <w:bottom w:val="single" w:sz="4" w:space="0" w:color="00694B" w:themeColor="accent3"/>
        <w:right w:val="single" w:sz="4" w:space="0" w:color="00694B" w:themeColor="accent3"/>
      </w:tblBorders>
    </w:tblPr>
    <w:tblStylePr w:type="firstRow">
      <w:rPr>
        <w:b/>
        <w:bCs/>
        <w:color w:val="FFFFFF" w:themeColor="background1"/>
      </w:rPr>
      <w:tblPr/>
      <w:tcPr>
        <w:shd w:val="clear" w:color="auto" w:fill="00694B" w:themeFill="accent3"/>
      </w:tcPr>
    </w:tblStylePr>
    <w:tblStylePr w:type="lastRow">
      <w:rPr>
        <w:b/>
        <w:bCs/>
      </w:rPr>
      <w:tblPr/>
      <w:tcPr>
        <w:tcBorders>
          <w:top w:val="double" w:sz="4" w:space="0" w:color="006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94B" w:themeColor="accent3"/>
          <w:right w:val="single" w:sz="4" w:space="0" w:color="00694B" w:themeColor="accent3"/>
        </w:tcBorders>
      </w:tcPr>
    </w:tblStylePr>
    <w:tblStylePr w:type="band1Horz">
      <w:tblPr/>
      <w:tcPr>
        <w:tcBorders>
          <w:top w:val="single" w:sz="4" w:space="0" w:color="00694B" w:themeColor="accent3"/>
          <w:bottom w:val="single" w:sz="4" w:space="0" w:color="006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94B" w:themeColor="accent3"/>
          <w:left w:val="nil"/>
        </w:tcBorders>
      </w:tcPr>
    </w:tblStylePr>
    <w:tblStylePr w:type="swCell">
      <w:tblPr/>
      <w:tcPr>
        <w:tcBorders>
          <w:top w:val="double" w:sz="4" w:space="0" w:color="00694B" w:themeColor="accent3"/>
          <w:right w:val="nil"/>
        </w:tcBorders>
      </w:tcPr>
    </w:tblStylePr>
  </w:style>
  <w:style w:type="paragraph" w:customStyle="1" w:styleId="Tableheadermain">
    <w:name w:val="Table header (main)"/>
    <w:basedOn w:val="Normal"/>
    <w:link w:val="TableheadermainChar"/>
    <w:autoRedefine/>
    <w:rsid w:val="000E3EA0"/>
    <w:pPr>
      <w:spacing w:before="120"/>
    </w:pPr>
    <w:rPr>
      <w:bCs/>
      <w:color w:val="FFFFFF" w:themeColor="background1"/>
      <w:szCs w:val="18"/>
      <w:lang w:val="pt-PT"/>
    </w:rPr>
  </w:style>
  <w:style w:type="character" w:customStyle="1" w:styleId="TableheadermainChar">
    <w:name w:val="Table header (main) Char"/>
    <w:basedOn w:val="DefaultParagraphFont"/>
    <w:link w:val="Tableheadermain"/>
    <w:rsid w:val="000E3EA0"/>
    <w:rPr>
      <w:bCs/>
      <w:color w:val="FFFFFF" w:themeColor="background1"/>
      <w:sz w:val="20"/>
      <w:szCs w:val="18"/>
      <w:lang w:val="pt-PT"/>
    </w:rPr>
  </w:style>
  <w:style w:type="paragraph" w:customStyle="1" w:styleId="Table-copy">
    <w:name w:val="Table - copy"/>
    <w:basedOn w:val="Normal"/>
    <w:link w:val="Table-copyChar"/>
    <w:qFormat/>
    <w:rsid w:val="00EE2EAA"/>
    <w:rPr>
      <w:rFonts w:ascii="Verdana" w:hAnsi="Verdana"/>
      <w:sz w:val="18"/>
    </w:rPr>
  </w:style>
  <w:style w:type="character" w:customStyle="1" w:styleId="Table-copyChar">
    <w:name w:val="Table - copy Char"/>
    <w:basedOn w:val="DefaultParagraphFont"/>
    <w:link w:val="Table-copy"/>
    <w:rsid w:val="00EE2EAA"/>
    <w:rPr>
      <w:rFonts w:ascii="Verdana" w:hAnsi="Verdana"/>
      <w:color w:val="000000" w:themeColor="text1"/>
      <w:sz w:val="18"/>
      <w:szCs w:val="20"/>
    </w:rPr>
  </w:style>
  <w:style w:type="numbering" w:customStyle="1" w:styleId="ListBullets">
    <w:name w:val="List Bullets"/>
    <w:uiPriority w:val="99"/>
    <w:rsid w:val="00174636"/>
    <w:pPr>
      <w:numPr>
        <w:numId w:val="21"/>
      </w:numPr>
    </w:pPr>
  </w:style>
  <w:style w:type="paragraph" w:customStyle="1" w:styleId="TableBullet">
    <w:name w:val="Table Bullet"/>
    <w:basedOn w:val="ListBullet"/>
    <w:rsid w:val="00174636"/>
    <w:pPr>
      <w:numPr>
        <w:numId w:val="0"/>
      </w:numPr>
      <w:tabs>
        <w:tab w:val="num" w:pos="227"/>
      </w:tabs>
      <w:adjustRightInd w:val="0"/>
      <w:spacing w:before="120" w:after="120" w:line="300" w:lineRule="exact"/>
      <w:ind w:left="227" w:right="170" w:hanging="227"/>
      <w:jc w:val="left"/>
    </w:pPr>
    <w:rPr>
      <w:rFonts w:eastAsiaTheme="minorHAnsi"/>
      <w:sz w:val="18"/>
      <w:szCs w:val="18"/>
      <w:lang w:val="pt-PT" w:eastAsia="en-US"/>
    </w:rPr>
  </w:style>
  <w:style w:type="character" w:styleId="Mention">
    <w:name w:val="Mention"/>
    <w:basedOn w:val="DefaultParagraphFont"/>
    <w:uiPriority w:val="99"/>
    <w:unhideWhenUsed/>
    <w:rsid w:val="001C55BF"/>
    <w:rPr>
      <w:color w:val="2B579A"/>
      <w:shd w:val="clear" w:color="auto" w:fill="E1DFDD"/>
    </w:rPr>
  </w:style>
  <w:style w:type="paragraph" w:customStyle="1" w:styleId="Heading-level2">
    <w:name w:val="Heading - level 2"/>
    <w:basedOn w:val="Title"/>
    <w:link w:val="Heading-level2Char"/>
    <w:qFormat/>
    <w:rsid w:val="00141D33"/>
    <w:pPr>
      <w:pageBreakBefore/>
    </w:pPr>
  </w:style>
  <w:style w:type="character" w:customStyle="1" w:styleId="Heading-level2Char">
    <w:name w:val="Heading - level 2 Char"/>
    <w:basedOn w:val="TitleChar"/>
    <w:link w:val="Heading-level2"/>
    <w:rsid w:val="00141D33"/>
    <w:rPr>
      <w:color w:val="00694B" w:themeColor="accent3"/>
      <w:sz w:val="32"/>
      <w:szCs w:val="32"/>
    </w:rPr>
  </w:style>
  <w:style w:type="paragraph" w:customStyle="1" w:styleId="Heading-level1">
    <w:name w:val="Heading - level 1"/>
    <w:basedOn w:val="Heading1"/>
    <w:link w:val="Heading-level1Char"/>
    <w:qFormat/>
    <w:rsid w:val="002A367D"/>
    <w:pPr>
      <w:pageBreakBefore/>
    </w:pPr>
  </w:style>
  <w:style w:type="character" w:customStyle="1" w:styleId="Heading-level1Char">
    <w:name w:val="Heading - level 1 Char"/>
    <w:basedOn w:val="Heading1Char"/>
    <w:link w:val="Heading-level1"/>
    <w:rsid w:val="002A367D"/>
    <w:rPr>
      <w:color w:val="00694B" w:themeColor="accent3"/>
      <w:sz w:val="48"/>
      <w:szCs w:val="48"/>
    </w:rPr>
  </w:style>
  <w:style w:type="paragraph" w:customStyle="1" w:styleId="Heading-level3">
    <w:name w:val="Heading - level 3"/>
    <w:basedOn w:val="Heading2"/>
    <w:link w:val="Heading-level3Char"/>
    <w:qFormat/>
    <w:rsid w:val="00236D36"/>
  </w:style>
  <w:style w:type="character" w:customStyle="1" w:styleId="Heading-level3Char">
    <w:name w:val="Heading - level 3 Char"/>
    <w:basedOn w:val="Heading2Char"/>
    <w:link w:val="Heading-level3"/>
    <w:rsid w:val="00236D36"/>
    <w:rPr>
      <w:rFonts w:ascii="Verdana" w:hAnsi="Verdana"/>
      <w:b/>
      <w:bCs/>
      <w:color w:val="00694B" w:themeColor="accent3"/>
      <w:sz w:val="20"/>
    </w:rPr>
  </w:style>
  <w:style w:type="paragraph" w:customStyle="1" w:styleId="Table-heading1">
    <w:name w:val="Table - heading 1"/>
    <w:basedOn w:val="Tableheadermain"/>
    <w:link w:val="Table-heading1Char"/>
    <w:qFormat/>
    <w:rsid w:val="006C2B39"/>
    <w:rPr>
      <w:b/>
      <w:bCs w:val="0"/>
    </w:rPr>
  </w:style>
  <w:style w:type="character" w:customStyle="1" w:styleId="Table-heading1Char">
    <w:name w:val="Table - heading 1 Char"/>
    <w:basedOn w:val="TableheadermainChar"/>
    <w:link w:val="Table-heading1"/>
    <w:rsid w:val="006C2B39"/>
    <w:rPr>
      <w:b/>
      <w:bCs w:val="0"/>
      <w:color w:val="FFFFFF" w:themeColor="background1"/>
      <w:sz w:val="20"/>
      <w:szCs w:val="18"/>
      <w:lang w:val="pt-PT"/>
    </w:rPr>
  </w:style>
  <w:style w:type="paragraph" w:customStyle="1" w:styleId="Table-heading2">
    <w:name w:val="Table - heading 2"/>
    <w:basedOn w:val="Table-copy"/>
    <w:link w:val="Table-heading2Char"/>
    <w:qFormat/>
    <w:rsid w:val="00A36A8E"/>
    <w:rPr>
      <w:b/>
      <w:bCs/>
    </w:rPr>
  </w:style>
  <w:style w:type="character" w:customStyle="1" w:styleId="Table-heading2Char">
    <w:name w:val="Table - heading 2 Char"/>
    <w:basedOn w:val="Table-copyChar"/>
    <w:link w:val="Table-heading2"/>
    <w:rsid w:val="00A36A8E"/>
    <w:rPr>
      <w:rFonts w:ascii="Verdana" w:hAnsi="Verdana"/>
      <w:b/>
      <w:bCs/>
      <w:color w:val="000000" w:themeColor="text1"/>
      <w:sz w:val="18"/>
      <w:szCs w:val="20"/>
    </w:rPr>
  </w:style>
  <w:style w:type="paragraph" w:customStyle="1" w:styleId="Table-bullets">
    <w:name w:val="Table - bullets"/>
    <w:basedOn w:val="Table-copy"/>
    <w:link w:val="Table-bulletsChar"/>
    <w:qFormat/>
    <w:rsid w:val="00C66E4B"/>
    <w:pPr>
      <w:numPr>
        <w:numId w:val="25"/>
      </w:numPr>
      <w:ind w:left="227" w:hanging="227"/>
    </w:pPr>
  </w:style>
  <w:style w:type="character" w:customStyle="1" w:styleId="Table-bulletsChar">
    <w:name w:val="Table - bullets Char"/>
    <w:basedOn w:val="Table-copyChar"/>
    <w:link w:val="Table-bullets"/>
    <w:rsid w:val="00C66E4B"/>
    <w:rPr>
      <w:rFonts w:ascii="Verdana" w:hAnsi="Verdana"/>
      <w:color w:val="000000" w:themeColor="text1"/>
      <w:sz w:val="18"/>
      <w:szCs w:val="20"/>
    </w:rPr>
  </w:style>
  <w:style w:type="table" w:styleId="ListTable3">
    <w:name w:val="List Table 3"/>
    <w:basedOn w:val="TableNormal"/>
    <w:uiPriority w:val="48"/>
    <w:rsid w:val="00B42CF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overpage-header">
    <w:name w:val="Cover page - header"/>
    <w:basedOn w:val="CoverPageHeader"/>
    <w:link w:val="Coverpage-headerChar"/>
    <w:qFormat/>
    <w:rsid w:val="00AD03CF"/>
  </w:style>
  <w:style w:type="character" w:customStyle="1" w:styleId="CoverPageHeaderChar">
    <w:name w:val="CoverPage Header Char"/>
    <w:basedOn w:val="TitleChar"/>
    <w:link w:val="CoverPageHeader"/>
    <w:rsid w:val="00AD03CF"/>
    <w:rPr>
      <w:rFonts w:ascii="Verdana" w:hAnsi="Verdana"/>
      <w:bCs/>
      <w:color w:val="FFFFFF" w:themeColor="background1"/>
      <w:sz w:val="72"/>
      <w:szCs w:val="72"/>
      <w:lang w:val="en-US"/>
    </w:rPr>
  </w:style>
  <w:style w:type="character" w:customStyle="1" w:styleId="Coverpage-headerChar">
    <w:name w:val="Cover page - header Char"/>
    <w:basedOn w:val="CoverPageHeaderChar"/>
    <w:link w:val="Coverpage-header"/>
    <w:rsid w:val="00AD03CF"/>
    <w:rPr>
      <w:rFonts w:ascii="Verdana" w:hAnsi="Verdana"/>
      <w:bCs/>
      <w:color w:val="FFFFFF" w:themeColor="background1"/>
      <w:sz w:val="72"/>
      <w:szCs w:val="72"/>
      <w:lang w:val="en-US"/>
    </w:rPr>
  </w:style>
  <w:style w:type="paragraph" w:customStyle="1" w:styleId="Coverpage-subtitleanddate">
    <w:name w:val="Cover page - subtitle and date"/>
    <w:basedOn w:val="CoverPageSubtitle"/>
    <w:link w:val="Coverpage-subtitleanddateChar"/>
    <w:qFormat/>
    <w:rsid w:val="00647B95"/>
  </w:style>
  <w:style w:type="character" w:customStyle="1" w:styleId="CoverPageSubtitleChar">
    <w:name w:val="CoverPage Subtitle Char"/>
    <w:basedOn w:val="SubtitleChar"/>
    <w:link w:val="CoverPageSubtitle"/>
    <w:rsid w:val="00647B95"/>
    <w:rPr>
      <w:rFonts w:eastAsiaTheme="minorEastAsia"/>
      <w:color w:val="FFFFFF" w:themeColor="background1"/>
      <w:sz w:val="40"/>
      <w:szCs w:val="40"/>
      <w:lang w:eastAsia="zh-CN"/>
    </w:rPr>
  </w:style>
  <w:style w:type="character" w:customStyle="1" w:styleId="Coverpage-subtitleanddateChar">
    <w:name w:val="Cover page - subtitle and date Char"/>
    <w:basedOn w:val="CoverPageSubtitleChar"/>
    <w:link w:val="Coverpage-subtitleanddate"/>
    <w:rsid w:val="00647B95"/>
    <w:rPr>
      <w:rFonts w:eastAsiaTheme="minorEastAsia"/>
      <w:color w:val="FFFFFF" w:themeColor="background1"/>
      <w:sz w:val="40"/>
      <w:szCs w:val="40"/>
      <w:lang w:eastAsia="zh-CN"/>
    </w:rPr>
  </w:style>
  <w:style w:type="paragraph" w:customStyle="1" w:styleId="Body-copy">
    <w:name w:val="Body - copy"/>
    <w:basedOn w:val="Normal"/>
    <w:link w:val="Body-copyChar"/>
    <w:qFormat/>
    <w:rsid w:val="00752DEA"/>
    <w:rPr>
      <w:lang w:val="pt-PT"/>
    </w:rPr>
  </w:style>
  <w:style w:type="character" w:customStyle="1" w:styleId="Body-copyChar">
    <w:name w:val="Body - copy Char"/>
    <w:basedOn w:val="DefaultParagraphFont"/>
    <w:link w:val="Body-copy"/>
    <w:rsid w:val="00752DEA"/>
    <w:rPr>
      <w:color w:val="000000" w:themeColor="text1"/>
      <w:sz w:val="20"/>
      <w:szCs w:val="20"/>
      <w:lang w:val="pt-PT"/>
    </w:rPr>
  </w:style>
  <w:style w:type="paragraph" w:customStyle="1" w:styleId="Bulletlist0">
    <w:name w:val="Bullet list"/>
    <w:basedOn w:val="BulletList"/>
    <w:link w:val="BulletlistChar0"/>
    <w:qFormat/>
    <w:rsid w:val="005D25CB"/>
    <w:pPr>
      <w:spacing w:after="200" w:line="300" w:lineRule="atLeast"/>
      <w:ind w:left="511" w:right="0" w:hanging="284"/>
      <w:contextualSpacing/>
    </w:pPr>
  </w:style>
  <w:style w:type="character" w:customStyle="1" w:styleId="BulletListChar">
    <w:name w:val="BulletList Char"/>
    <w:basedOn w:val="DefaultParagraphFont"/>
    <w:link w:val="BulletList"/>
    <w:rsid w:val="00AB46F8"/>
    <w:rPr>
      <w:color w:val="000000" w:themeColor="text1"/>
      <w:sz w:val="20"/>
      <w:szCs w:val="20"/>
      <w:lang w:val="pt-PT"/>
    </w:rPr>
  </w:style>
  <w:style w:type="character" w:customStyle="1" w:styleId="BulletlistChar0">
    <w:name w:val="Bullet list Char"/>
    <w:basedOn w:val="BulletListChar"/>
    <w:link w:val="Bulletlist0"/>
    <w:rsid w:val="005D25CB"/>
    <w:rPr>
      <w:color w:val="000000" w:themeColor="text1"/>
      <w:sz w:val="20"/>
      <w:szCs w:val="20"/>
      <w:lang w:val="pt-PT"/>
    </w:rPr>
  </w:style>
  <w:style w:type="paragraph" w:customStyle="1" w:styleId="Body-numberlist">
    <w:name w:val="Body - number list"/>
    <w:basedOn w:val="NumberedList"/>
    <w:link w:val="Body-numberlistChar"/>
    <w:qFormat/>
    <w:rsid w:val="005D25CB"/>
    <w:pPr>
      <w:ind w:left="511"/>
      <w:contextualSpacing/>
    </w:pPr>
  </w:style>
  <w:style w:type="character" w:customStyle="1" w:styleId="ListParagraphChar">
    <w:name w:val="List Paragraph Char"/>
    <w:basedOn w:val="DefaultParagraphFont"/>
    <w:link w:val="ListParagraph"/>
    <w:uiPriority w:val="34"/>
    <w:rsid w:val="00AB46F8"/>
    <w:rPr>
      <w:color w:val="000000" w:themeColor="text1"/>
      <w:sz w:val="20"/>
      <w:szCs w:val="20"/>
    </w:rPr>
  </w:style>
  <w:style w:type="character" w:customStyle="1" w:styleId="NumberedListChar">
    <w:name w:val="NumberedList Char"/>
    <w:basedOn w:val="ListParagraphChar"/>
    <w:link w:val="NumberedList"/>
    <w:rsid w:val="00AB46F8"/>
    <w:rPr>
      <w:color w:val="000000" w:themeColor="text1"/>
      <w:sz w:val="20"/>
      <w:szCs w:val="20"/>
    </w:rPr>
  </w:style>
  <w:style w:type="character" w:customStyle="1" w:styleId="Body-numberlistChar">
    <w:name w:val="Body - number list Char"/>
    <w:basedOn w:val="NumberedListChar"/>
    <w:link w:val="Body-numberlist"/>
    <w:rsid w:val="005D25CB"/>
    <w:rPr>
      <w:color w:val="000000" w:themeColor="text1"/>
      <w:sz w:val="20"/>
      <w:szCs w:val="20"/>
    </w:rPr>
  </w:style>
  <w:style w:type="table" w:styleId="ListTable3-Accent4">
    <w:name w:val="List Table 3 Accent 4"/>
    <w:basedOn w:val="TableNormal"/>
    <w:uiPriority w:val="48"/>
    <w:rsid w:val="005D25CB"/>
    <w:pPr>
      <w:spacing w:after="0" w:line="240" w:lineRule="auto"/>
    </w:pPr>
    <w:tblPr>
      <w:tblStyleRowBandSize w:val="1"/>
      <w:tblStyleColBandSize w:val="1"/>
      <w:tblBorders>
        <w:top w:val="single" w:sz="4" w:space="0" w:color="CEB888" w:themeColor="accent4"/>
        <w:left w:val="single" w:sz="4" w:space="0" w:color="CEB888" w:themeColor="accent4"/>
        <w:bottom w:val="single" w:sz="4" w:space="0" w:color="CEB888" w:themeColor="accent4"/>
        <w:right w:val="single" w:sz="4" w:space="0" w:color="CEB888" w:themeColor="accent4"/>
      </w:tblBorders>
    </w:tblPr>
    <w:tblStylePr w:type="firstRow">
      <w:rPr>
        <w:b/>
        <w:bCs/>
        <w:color w:val="auto"/>
      </w:rPr>
      <w:tblPr/>
      <w:tcPr>
        <w:shd w:val="clear" w:color="auto" w:fill="CEB888" w:themeFill="accent4"/>
      </w:tcPr>
    </w:tblStylePr>
    <w:tblStylePr w:type="lastRow">
      <w:rPr>
        <w:b/>
        <w:bCs/>
      </w:rPr>
      <w:tblPr/>
      <w:tcPr>
        <w:tcBorders>
          <w:top w:val="double" w:sz="4" w:space="0" w:color="CEB88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B888" w:themeColor="accent4"/>
          <w:right w:val="single" w:sz="4" w:space="0" w:color="CEB888" w:themeColor="accent4"/>
        </w:tcBorders>
      </w:tcPr>
    </w:tblStylePr>
    <w:tblStylePr w:type="band1Horz">
      <w:tblPr/>
      <w:tcPr>
        <w:tcBorders>
          <w:top w:val="single" w:sz="4" w:space="0" w:color="CEB888" w:themeColor="accent4"/>
          <w:bottom w:val="single" w:sz="4" w:space="0" w:color="CEB88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B888" w:themeColor="accent4"/>
          <w:left w:val="nil"/>
        </w:tcBorders>
      </w:tcPr>
    </w:tblStylePr>
    <w:tblStylePr w:type="swCell">
      <w:tblPr/>
      <w:tcPr>
        <w:tcBorders>
          <w:top w:val="double" w:sz="4" w:space="0" w:color="CEB888" w:themeColor="accent4"/>
          <w:right w:val="nil"/>
        </w:tcBorders>
      </w:tcPr>
    </w:tblStylePr>
  </w:style>
  <w:style w:type="table" w:styleId="ListTable7Colorful-Accent6">
    <w:name w:val="List Table 7 Colorful Accent 6"/>
    <w:basedOn w:val="TableNormal"/>
    <w:uiPriority w:val="52"/>
    <w:rsid w:val="005D25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F0E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F0E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F0E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F0E6" w:themeColor="accent6"/>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D25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AC2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AC2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AC2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AC2C" w:themeColor="accent5"/>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D25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B88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B88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B88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B888" w:themeColor="accent4"/>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D25CB"/>
    <w:pPr>
      <w:spacing w:after="0" w:line="240" w:lineRule="auto"/>
    </w:pPr>
    <w:rPr>
      <w:color w:val="004E3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94B" w:themeColor="accent3"/>
        </w:tcBorders>
        <w:shd w:val="clear" w:color="auto" w:fill="FFFFFF" w:themeFill="background1"/>
      </w:tcPr>
    </w:tblStylePr>
    <w:tblStylePr w:type="band1Vert">
      <w:tblPr/>
      <w:tcPr>
        <w:shd w:val="clear" w:color="auto" w:fill="AEFFE7" w:themeFill="accent3" w:themeFillTint="33"/>
      </w:tcPr>
    </w:tblStylePr>
    <w:tblStylePr w:type="band1Horz">
      <w:tblPr/>
      <w:tcPr>
        <w:shd w:val="clear" w:color="auto" w:fill="AEFFE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5D25CB"/>
    <w:pPr>
      <w:spacing w:after="0" w:line="240" w:lineRule="auto"/>
    </w:pPr>
    <w:tblPr>
      <w:tblStyleRowBandSize w:val="1"/>
      <w:tblStyleColBandSize w:val="1"/>
      <w:tblBorders>
        <w:top w:val="single" w:sz="4" w:space="0" w:color="F2F0E6" w:themeColor="accent6"/>
        <w:bottom w:val="single" w:sz="4" w:space="0" w:color="F2F0E6" w:themeColor="accent6"/>
      </w:tblBorders>
    </w:tblPr>
    <w:tblStylePr w:type="firstRow">
      <w:rPr>
        <w:b/>
        <w:bCs/>
      </w:rPr>
      <w:tblPr/>
      <w:tcPr>
        <w:tcBorders>
          <w:bottom w:val="single" w:sz="4" w:space="0" w:color="F2F0E6" w:themeColor="accent6"/>
        </w:tcBorders>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6Colorful-Accent5">
    <w:name w:val="List Table 6 Colorful Accent 5"/>
    <w:basedOn w:val="TableNormal"/>
    <w:uiPriority w:val="51"/>
    <w:rsid w:val="005D25CB"/>
    <w:pPr>
      <w:spacing w:after="0" w:line="240" w:lineRule="auto"/>
    </w:pPr>
    <w:tblPr>
      <w:tblStyleRowBandSize w:val="1"/>
      <w:tblStyleColBandSize w:val="1"/>
      <w:tblBorders>
        <w:top w:val="single" w:sz="4" w:space="0" w:color="DEAC2C" w:themeColor="accent5"/>
        <w:bottom w:val="single" w:sz="4" w:space="0" w:color="DEAC2C" w:themeColor="accent5"/>
      </w:tblBorders>
    </w:tblPr>
    <w:tblStylePr w:type="firstRow">
      <w:rPr>
        <w:b/>
        <w:bCs/>
      </w:rPr>
      <w:tblPr/>
      <w:tcPr>
        <w:tcBorders>
          <w:bottom w:val="single" w:sz="4" w:space="0" w:color="DEAC2C" w:themeColor="accent5"/>
        </w:tcBorders>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6Colorful-Accent4">
    <w:name w:val="List Table 6 Colorful Accent 4"/>
    <w:basedOn w:val="TableNormal"/>
    <w:uiPriority w:val="51"/>
    <w:rsid w:val="005D25CB"/>
    <w:pPr>
      <w:spacing w:after="0" w:line="240" w:lineRule="auto"/>
    </w:pPr>
    <w:tblPr>
      <w:tblStyleRowBandSize w:val="1"/>
      <w:tblStyleColBandSize w:val="1"/>
      <w:tblBorders>
        <w:top w:val="single" w:sz="4" w:space="0" w:color="CEB888" w:themeColor="accent4"/>
        <w:bottom w:val="single" w:sz="4" w:space="0" w:color="CEB888" w:themeColor="accent4"/>
      </w:tblBorders>
    </w:tblPr>
    <w:tblStylePr w:type="firstRow">
      <w:rPr>
        <w:b/>
        <w:bCs/>
      </w:rPr>
      <w:tblPr/>
      <w:tcPr>
        <w:tcBorders>
          <w:bottom w:val="single" w:sz="4" w:space="0" w:color="CEB888" w:themeColor="accent4"/>
        </w:tcBorders>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5Dark-Accent6">
    <w:name w:val="List Table 5 Dark Accent 6"/>
    <w:basedOn w:val="TableNormal"/>
    <w:uiPriority w:val="50"/>
    <w:rsid w:val="005D25CB"/>
    <w:pPr>
      <w:spacing w:after="0" w:line="240" w:lineRule="auto"/>
    </w:pPr>
    <w:tblPr>
      <w:tblStyleRowBandSize w:val="1"/>
      <w:tblStyleColBandSize w:val="1"/>
      <w:tblBorders>
        <w:top w:val="single" w:sz="24" w:space="0" w:color="F2F0E6" w:themeColor="accent6"/>
        <w:left w:val="single" w:sz="24" w:space="0" w:color="F2F0E6" w:themeColor="accent6"/>
        <w:bottom w:val="single" w:sz="24" w:space="0" w:color="F2F0E6" w:themeColor="accent6"/>
        <w:right w:val="single" w:sz="24" w:space="0" w:color="F2F0E6" w:themeColor="accent6"/>
      </w:tblBorders>
    </w:tblPr>
    <w:tcPr>
      <w:shd w:val="clear" w:color="auto" w:fill="F2F0E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D25CB"/>
    <w:pPr>
      <w:spacing w:after="0" w:line="240" w:lineRule="auto"/>
    </w:pPr>
    <w:tblPr>
      <w:tblStyleRowBandSize w:val="1"/>
      <w:tblStyleColBandSize w:val="1"/>
      <w:tblBorders>
        <w:top w:val="single" w:sz="24" w:space="0" w:color="DEAC2C" w:themeColor="accent5"/>
        <w:left w:val="single" w:sz="24" w:space="0" w:color="DEAC2C" w:themeColor="accent5"/>
        <w:bottom w:val="single" w:sz="24" w:space="0" w:color="DEAC2C" w:themeColor="accent5"/>
        <w:right w:val="single" w:sz="24" w:space="0" w:color="DEAC2C" w:themeColor="accent5"/>
      </w:tblBorders>
    </w:tblPr>
    <w:tcPr>
      <w:shd w:val="clear" w:color="auto" w:fill="DEAC2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D25CB"/>
    <w:pPr>
      <w:spacing w:after="0" w:line="240" w:lineRule="auto"/>
    </w:pPr>
    <w:tblPr>
      <w:tblStyleRowBandSize w:val="1"/>
      <w:tblStyleColBandSize w:val="1"/>
      <w:tblBorders>
        <w:top w:val="single" w:sz="24" w:space="0" w:color="CEB888" w:themeColor="accent4"/>
        <w:left w:val="single" w:sz="24" w:space="0" w:color="CEB888" w:themeColor="accent4"/>
        <w:bottom w:val="single" w:sz="24" w:space="0" w:color="CEB888" w:themeColor="accent4"/>
        <w:right w:val="single" w:sz="24" w:space="0" w:color="CEB888" w:themeColor="accent4"/>
      </w:tblBorders>
    </w:tblPr>
    <w:tcPr>
      <w:shd w:val="clear" w:color="auto" w:fill="CEB88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5D25CB"/>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tblBorders>
    </w:tblPr>
    <w:tblStylePr w:type="firstRow">
      <w:rPr>
        <w:rFonts w:ascii="Verdana" w:hAnsi="Verdana"/>
        <w:b/>
        <w:bCs/>
        <w:i w:val="0"/>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tcBorders>
        <w:shd w:val="clear" w:color="auto" w:fill="F2F0E6" w:themeFill="accent6"/>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4-Accent5">
    <w:name w:val="List Table 4 Accent 5"/>
    <w:basedOn w:val="TableNormal"/>
    <w:uiPriority w:val="49"/>
    <w:rsid w:val="005D25CB"/>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tcBorders>
        <w:shd w:val="clear" w:color="auto" w:fill="DEAC2C" w:themeFill="accent5"/>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4-Accent4">
    <w:name w:val="List Table 4 Accent 4"/>
    <w:basedOn w:val="TableNormal"/>
    <w:uiPriority w:val="49"/>
    <w:rsid w:val="005D25CB"/>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tcBorders>
        <w:shd w:val="clear" w:color="auto" w:fill="CEB888" w:themeFill="accent4"/>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3-Accent6">
    <w:name w:val="List Table 3 Accent 6"/>
    <w:basedOn w:val="TableNormal"/>
    <w:uiPriority w:val="48"/>
    <w:rsid w:val="005D25CB"/>
    <w:pPr>
      <w:spacing w:after="0" w:line="240" w:lineRule="auto"/>
    </w:pPr>
    <w:tblPr>
      <w:tblStyleRowBandSize w:val="1"/>
      <w:tblStyleColBandSize w:val="1"/>
      <w:tblBorders>
        <w:top w:val="single" w:sz="4" w:space="0" w:color="F2F0E6" w:themeColor="accent6"/>
        <w:left w:val="single" w:sz="4" w:space="0" w:color="F2F0E6" w:themeColor="accent6"/>
        <w:bottom w:val="single" w:sz="4" w:space="0" w:color="F2F0E6" w:themeColor="accent6"/>
        <w:right w:val="single" w:sz="4" w:space="0" w:color="F2F0E6" w:themeColor="accent6"/>
      </w:tblBorders>
    </w:tblPr>
    <w:tblStylePr w:type="firstRow">
      <w:rPr>
        <w:rFonts w:ascii="Verdana" w:hAnsi="Verdana"/>
        <w:b/>
        <w:bCs/>
        <w:i w:val="0"/>
        <w:color w:val="auto"/>
      </w:rPr>
      <w:tblPr/>
      <w:tcPr>
        <w:shd w:val="clear" w:color="auto" w:fill="F2F0E6" w:themeFill="accent6"/>
      </w:tcPr>
    </w:tblStylePr>
    <w:tblStylePr w:type="lastRow">
      <w:rPr>
        <w:b/>
        <w:bCs/>
      </w:rPr>
      <w:tblPr/>
      <w:tcPr>
        <w:tcBorders>
          <w:top w:val="double" w:sz="4" w:space="0" w:color="F2F0E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0E6" w:themeColor="accent6"/>
          <w:right w:val="single" w:sz="4" w:space="0" w:color="F2F0E6" w:themeColor="accent6"/>
        </w:tcBorders>
      </w:tcPr>
    </w:tblStylePr>
    <w:tblStylePr w:type="band1Horz">
      <w:tblPr/>
      <w:tcPr>
        <w:tcBorders>
          <w:top w:val="single" w:sz="4" w:space="0" w:color="F2F0E6" w:themeColor="accent6"/>
          <w:bottom w:val="single" w:sz="4" w:space="0" w:color="F2F0E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0E6" w:themeColor="accent6"/>
          <w:left w:val="nil"/>
        </w:tcBorders>
      </w:tcPr>
    </w:tblStylePr>
    <w:tblStylePr w:type="swCell">
      <w:tblPr/>
      <w:tcPr>
        <w:tcBorders>
          <w:top w:val="double" w:sz="4" w:space="0" w:color="F2F0E6" w:themeColor="accent6"/>
          <w:right w:val="nil"/>
        </w:tcBorders>
      </w:tcPr>
    </w:tblStylePr>
  </w:style>
  <w:style w:type="table" w:styleId="ListTable3-Accent5">
    <w:name w:val="List Table 3 Accent 5"/>
    <w:basedOn w:val="TableNormal"/>
    <w:uiPriority w:val="48"/>
    <w:rsid w:val="005D25CB"/>
    <w:pPr>
      <w:spacing w:after="0" w:line="240" w:lineRule="auto"/>
    </w:pPr>
    <w:tblPr>
      <w:tblStyleRowBandSize w:val="1"/>
      <w:tblStyleColBandSize w:val="1"/>
      <w:tblBorders>
        <w:top w:val="single" w:sz="4" w:space="0" w:color="DEAC2C" w:themeColor="accent5"/>
        <w:left w:val="single" w:sz="4" w:space="0" w:color="DEAC2C" w:themeColor="accent5"/>
        <w:bottom w:val="single" w:sz="4" w:space="0" w:color="DEAC2C" w:themeColor="accent5"/>
        <w:right w:val="single" w:sz="4" w:space="0" w:color="DEAC2C" w:themeColor="accent5"/>
      </w:tblBorders>
    </w:tblPr>
    <w:tblStylePr w:type="firstRow">
      <w:rPr>
        <w:b/>
        <w:bCs/>
        <w:color w:val="auto"/>
      </w:rPr>
      <w:tblPr/>
      <w:tcPr>
        <w:shd w:val="clear" w:color="auto" w:fill="DEAC2C" w:themeFill="accent5"/>
      </w:tcPr>
    </w:tblStylePr>
    <w:tblStylePr w:type="lastRow">
      <w:rPr>
        <w:b/>
        <w:bCs/>
      </w:rPr>
      <w:tblPr/>
      <w:tcPr>
        <w:tcBorders>
          <w:top w:val="double" w:sz="4" w:space="0" w:color="DEAC2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AC2C" w:themeColor="accent5"/>
          <w:right w:val="single" w:sz="4" w:space="0" w:color="DEAC2C" w:themeColor="accent5"/>
        </w:tcBorders>
      </w:tcPr>
    </w:tblStylePr>
    <w:tblStylePr w:type="band1Horz">
      <w:tblPr/>
      <w:tcPr>
        <w:tcBorders>
          <w:top w:val="single" w:sz="4" w:space="0" w:color="DEAC2C" w:themeColor="accent5"/>
          <w:bottom w:val="single" w:sz="4" w:space="0" w:color="DEAC2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AC2C" w:themeColor="accent5"/>
          <w:left w:val="nil"/>
        </w:tcBorders>
      </w:tcPr>
    </w:tblStylePr>
    <w:tblStylePr w:type="swCell">
      <w:tblPr/>
      <w:tcPr>
        <w:tcBorders>
          <w:top w:val="double" w:sz="4" w:space="0" w:color="DEAC2C" w:themeColor="accent5"/>
          <w:right w:val="nil"/>
        </w:tcBorders>
      </w:tcPr>
    </w:tblStylePr>
  </w:style>
  <w:style w:type="table" w:styleId="ListTable2-Accent6">
    <w:name w:val="List Table 2 Accent 6"/>
    <w:basedOn w:val="TableNormal"/>
    <w:uiPriority w:val="47"/>
    <w:rsid w:val="005D25CB"/>
    <w:pPr>
      <w:spacing w:after="0" w:line="240" w:lineRule="auto"/>
    </w:pPr>
    <w:tblPr>
      <w:tblStyleRowBandSize w:val="1"/>
      <w:tblStyleColBandSize w:val="1"/>
      <w:tblBorders>
        <w:top w:val="single" w:sz="4" w:space="0" w:color="F7F5EF" w:themeColor="accent6" w:themeTint="99"/>
        <w:bottom w:val="single" w:sz="4" w:space="0" w:color="F7F5EF" w:themeColor="accent6" w:themeTint="99"/>
        <w:insideH w:val="single" w:sz="4" w:space="0" w:color="F7F5E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2-Accent5">
    <w:name w:val="List Table 2 Accent 5"/>
    <w:basedOn w:val="TableNormal"/>
    <w:uiPriority w:val="47"/>
    <w:rsid w:val="005D25CB"/>
    <w:pPr>
      <w:spacing w:after="0" w:line="240" w:lineRule="auto"/>
    </w:pPr>
    <w:tblPr>
      <w:tblStyleRowBandSize w:val="1"/>
      <w:tblStyleColBandSize w:val="1"/>
      <w:tblBorders>
        <w:top w:val="single" w:sz="4" w:space="0" w:color="EBCC80" w:themeColor="accent5" w:themeTint="99"/>
        <w:bottom w:val="single" w:sz="4" w:space="0" w:color="EBCC80" w:themeColor="accent5" w:themeTint="99"/>
        <w:insideH w:val="single" w:sz="4" w:space="0" w:color="EBCC8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2-Accent4">
    <w:name w:val="List Table 2 Accent 4"/>
    <w:basedOn w:val="TableNormal"/>
    <w:uiPriority w:val="47"/>
    <w:rsid w:val="005D25CB"/>
    <w:pPr>
      <w:spacing w:after="0" w:line="240" w:lineRule="auto"/>
    </w:pPr>
    <w:tblPr>
      <w:tblStyleRowBandSize w:val="1"/>
      <w:tblStyleColBandSize w:val="1"/>
      <w:tblBorders>
        <w:top w:val="single" w:sz="4" w:space="0" w:color="E1D4B7" w:themeColor="accent4" w:themeTint="99"/>
        <w:bottom w:val="single" w:sz="4" w:space="0" w:color="E1D4B7" w:themeColor="accent4" w:themeTint="99"/>
        <w:insideH w:val="single" w:sz="4" w:space="0" w:color="E1D4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1Light-Accent6">
    <w:name w:val="List Table 1 Light Accent 6"/>
    <w:basedOn w:val="TableNormal"/>
    <w:uiPriority w:val="46"/>
    <w:rsid w:val="005D25CB"/>
    <w:pPr>
      <w:spacing w:after="0" w:line="240" w:lineRule="auto"/>
    </w:pPr>
    <w:tblPr>
      <w:tblStyleRowBandSize w:val="1"/>
      <w:tblStyleColBandSize w:val="1"/>
    </w:tblPr>
    <w:tblStylePr w:type="firstRow">
      <w:rPr>
        <w:b/>
        <w:bCs/>
      </w:rPr>
      <w:tblPr/>
      <w:tcPr>
        <w:tcBorders>
          <w:bottom w:val="single" w:sz="4" w:space="0" w:color="F7F5EF" w:themeColor="accent6" w:themeTint="99"/>
        </w:tcBorders>
      </w:tcPr>
    </w:tblStylePr>
    <w:tblStylePr w:type="lastRow">
      <w:rPr>
        <w:b/>
        <w:bCs/>
      </w:rPr>
      <w:tblPr/>
      <w:tcPr>
        <w:tcBorders>
          <w:top w:val="sing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1Light-Accent5">
    <w:name w:val="List Table 1 Light Accent 5"/>
    <w:basedOn w:val="TableNormal"/>
    <w:uiPriority w:val="46"/>
    <w:rsid w:val="005D25CB"/>
    <w:pPr>
      <w:spacing w:after="0" w:line="240" w:lineRule="auto"/>
    </w:pPr>
    <w:tblPr>
      <w:tblStyleRowBandSize w:val="1"/>
      <w:tblStyleColBandSize w:val="1"/>
    </w:tblPr>
    <w:tblStylePr w:type="firstRow">
      <w:rPr>
        <w:b/>
        <w:bCs/>
      </w:rPr>
      <w:tblPr/>
      <w:tcPr>
        <w:tcBorders>
          <w:bottom w:val="single" w:sz="4" w:space="0" w:color="EBCC80" w:themeColor="accent5" w:themeTint="99"/>
        </w:tcBorders>
      </w:tcPr>
    </w:tblStylePr>
    <w:tblStylePr w:type="lastRow">
      <w:rPr>
        <w:b/>
        <w:bCs/>
      </w:rPr>
      <w:tblPr/>
      <w:tcPr>
        <w:tcBorders>
          <w:top w:val="sing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1Light-Accent4">
    <w:name w:val="List Table 1 Light Accent 4"/>
    <w:basedOn w:val="TableNormal"/>
    <w:uiPriority w:val="46"/>
    <w:rsid w:val="005D25CB"/>
    <w:pPr>
      <w:spacing w:after="0" w:line="240" w:lineRule="auto"/>
    </w:pPr>
    <w:tblPr>
      <w:tblStyleRowBandSize w:val="1"/>
      <w:tblStyleColBandSize w:val="1"/>
    </w:tblPr>
    <w:tblStylePr w:type="firstRow">
      <w:rPr>
        <w:b/>
        <w:bCs/>
      </w:rPr>
      <w:tblPr/>
      <w:tcPr>
        <w:tcBorders>
          <w:bottom w:val="single" w:sz="4" w:space="0" w:color="E1D4B7" w:themeColor="accent4" w:themeTint="99"/>
        </w:tcBorders>
      </w:tcPr>
    </w:tblStylePr>
    <w:tblStylePr w:type="lastRow">
      <w:rPr>
        <w:b/>
        <w:bCs/>
      </w:rPr>
      <w:tblPr/>
      <w:tcPr>
        <w:tcBorders>
          <w:top w:val="sing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7Colorful-Accent6">
    <w:name w:val="Grid Table 7 Colorful Accent 6"/>
    <w:basedOn w:val="TableNormal"/>
    <w:uiPriority w:val="52"/>
    <w:rsid w:val="005D25CB"/>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7Colorful-Accent5">
    <w:name w:val="Grid Table 7 Colorful Accent 5"/>
    <w:basedOn w:val="TableNormal"/>
    <w:uiPriority w:val="52"/>
    <w:rsid w:val="005D25CB"/>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7Colorful-Accent4">
    <w:name w:val="Grid Table 7 Colorful Accent 4"/>
    <w:basedOn w:val="TableNormal"/>
    <w:uiPriority w:val="52"/>
    <w:rsid w:val="005D25CB"/>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6Colorful-Accent6">
    <w:name w:val="Grid Table 6 Colorful Accent 6"/>
    <w:basedOn w:val="TableNormal"/>
    <w:uiPriority w:val="51"/>
    <w:rsid w:val="005D25CB"/>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6Colorful-Accent5">
    <w:name w:val="Grid Table 6 Colorful Accent 5"/>
    <w:basedOn w:val="TableNormal"/>
    <w:uiPriority w:val="51"/>
    <w:rsid w:val="005D25CB"/>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6Colorful-Accent4">
    <w:name w:val="Grid Table 6 Colorful Accent 4"/>
    <w:basedOn w:val="TableNormal"/>
    <w:uiPriority w:val="51"/>
    <w:rsid w:val="005D25CB"/>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5Dark-Accent6">
    <w:name w:val="Grid Table 5 Dark Accent 6"/>
    <w:basedOn w:val="TableNormal"/>
    <w:uiPriority w:val="50"/>
    <w:rsid w:val="006576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9" w:themeFill="accent6"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F0E6" w:themeFill="accent6"/>
      </w:tcPr>
    </w:tblStylePr>
    <w:tblStylePr w:type="lastRow">
      <w:rPr>
        <w:rFonts w:asciiTheme="minorHAnsi" w:hAnsiTheme="minorHAnsi"/>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F0E6" w:themeFill="accent6"/>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F0E6" w:themeFill="accent6"/>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F0E6" w:themeFill="accent6"/>
      </w:tcPr>
    </w:tblStylePr>
    <w:tblStylePr w:type="band1Vert">
      <w:tblPr/>
      <w:tcPr>
        <w:shd w:val="clear" w:color="auto" w:fill="F9F8F4" w:themeFill="accent6" w:themeFillTint="66"/>
      </w:tcPr>
    </w:tblStylePr>
    <w:tblStylePr w:type="band1Horz">
      <w:tblPr/>
      <w:tcPr>
        <w:shd w:val="clear" w:color="auto" w:fill="F9F8F4" w:themeFill="accent6" w:themeFillTint="66"/>
      </w:tcPr>
    </w:tblStylePr>
  </w:style>
  <w:style w:type="table" w:styleId="GridTable5Dark-Accent5">
    <w:name w:val="Grid Table 5 Dark Accent 5"/>
    <w:basedOn w:val="TableNormal"/>
    <w:uiPriority w:val="50"/>
    <w:rsid w:val="006576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ED4" w:themeFill="accent5" w:themeFillTint="33"/>
    </w:tcPr>
    <w:tblStylePr w:type="firstRow">
      <w:rPr>
        <w:rFonts w:asciiTheme="minorHAnsi" w:hAnsiTheme="minorHAnsi"/>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AC2C" w:themeFill="accent5"/>
      </w:tcPr>
    </w:tblStylePr>
    <w:tblStylePr w:type="lastRow">
      <w:rPr>
        <w:rFonts w:asciiTheme="minorHAnsi" w:hAnsiTheme="minorHAnsi"/>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AC2C" w:themeFill="accent5"/>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AC2C" w:themeFill="accent5"/>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AC2C" w:themeFill="accent5"/>
      </w:tcPr>
    </w:tblStylePr>
    <w:tblStylePr w:type="band1Vert">
      <w:tblPr/>
      <w:tcPr>
        <w:shd w:val="clear" w:color="auto" w:fill="F1DDAA" w:themeFill="accent5" w:themeFillTint="66"/>
      </w:tcPr>
    </w:tblStylePr>
    <w:tblStylePr w:type="band1Horz">
      <w:tblPr/>
      <w:tcPr>
        <w:shd w:val="clear" w:color="auto" w:fill="F1DDAA" w:themeFill="accent5" w:themeFillTint="66"/>
      </w:tcPr>
    </w:tblStylePr>
  </w:style>
  <w:style w:type="table" w:styleId="GridTable5Dark-Accent4">
    <w:name w:val="Grid Table 5 Dark Accent 4"/>
    <w:basedOn w:val="TableNormal"/>
    <w:uiPriority w:val="50"/>
    <w:rsid w:val="006576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0E7" w:themeFill="accent4"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B888" w:themeFill="accent4"/>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B888" w:themeFill="accent4"/>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B888" w:themeFill="accent4"/>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B888" w:themeFill="accent4"/>
      </w:tcPr>
    </w:tblStylePr>
    <w:tblStylePr w:type="band1Vert">
      <w:tblPr/>
      <w:tcPr>
        <w:shd w:val="clear" w:color="auto" w:fill="EBE2CF" w:themeFill="accent4" w:themeFillTint="66"/>
      </w:tcPr>
    </w:tblStylePr>
    <w:tblStylePr w:type="band1Horz">
      <w:tblPr/>
      <w:tcPr>
        <w:shd w:val="clear" w:color="auto" w:fill="EBE2CF" w:themeFill="accent4" w:themeFillTint="66"/>
      </w:tcPr>
    </w:tblStylePr>
  </w:style>
  <w:style w:type="table" w:styleId="GridTable4-Accent6">
    <w:name w:val="Grid Table 4 Accent 6"/>
    <w:basedOn w:val="TableNormal"/>
    <w:uiPriority w:val="49"/>
    <w:rsid w:val="00657630"/>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insideV w:val="nil"/>
        </w:tcBorders>
        <w:shd w:val="clear" w:color="auto" w:fill="F2F0E6" w:themeFill="accent6"/>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4-Accent5">
    <w:name w:val="Grid Table 4 Accent 5"/>
    <w:basedOn w:val="TableNormal"/>
    <w:uiPriority w:val="49"/>
    <w:rsid w:val="00657630"/>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insideV w:val="nil"/>
        </w:tcBorders>
        <w:shd w:val="clear" w:color="auto" w:fill="DEAC2C" w:themeFill="accent5"/>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4-Accent4">
    <w:name w:val="Grid Table 4 Accent 4"/>
    <w:basedOn w:val="TableNormal"/>
    <w:uiPriority w:val="49"/>
    <w:rsid w:val="00657630"/>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insideV w:val="nil"/>
        </w:tcBorders>
        <w:shd w:val="clear" w:color="auto" w:fill="CEB888" w:themeFill="accent4"/>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3-Accent6">
    <w:name w:val="Grid Table 3 Accent 6"/>
    <w:basedOn w:val="TableNormal"/>
    <w:uiPriority w:val="48"/>
    <w:rsid w:val="00657630"/>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3-Accent5">
    <w:name w:val="Grid Table 3 Accent 5"/>
    <w:basedOn w:val="TableNormal"/>
    <w:uiPriority w:val="48"/>
    <w:rsid w:val="00657630"/>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3-Accent4">
    <w:name w:val="Grid Table 3 Accent 4"/>
    <w:basedOn w:val="TableNormal"/>
    <w:uiPriority w:val="48"/>
    <w:rsid w:val="00657630"/>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2-Accent6">
    <w:name w:val="Grid Table 2 Accent 6"/>
    <w:basedOn w:val="TableNormal"/>
    <w:uiPriority w:val="47"/>
    <w:rsid w:val="00657630"/>
    <w:pPr>
      <w:spacing w:after="0" w:line="240" w:lineRule="auto"/>
    </w:pPr>
    <w:tblPr>
      <w:tblStyleRowBandSize w:val="1"/>
      <w:tblStyleColBandSize w:val="1"/>
      <w:tblBorders>
        <w:top w:val="single" w:sz="2" w:space="0" w:color="F7F5EF" w:themeColor="accent6" w:themeTint="99"/>
        <w:bottom w:val="single" w:sz="2" w:space="0" w:color="F7F5EF" w:themeColor="accent6" w:themeTint="99"/>
        <w:insideH w:val="single" w:sz="2" w:space="0" w:color="F7F5EF" w:themeColor="accent6" w:themeTint="99"/>
        <w:insideV w:val="single" w:sz="2" w:space="0" w:color="F7F5EF" w:themeColor="accent6" w:themeTint="99"/>
      </w:tblBorders>
    </w:tblPr>
    <w:tblStylePr w:type="firstRow">
      <w:rPr>
        <w:b/>
        <w:bCs/>
      </w:rPr>
      <w:tblPr/>
      <w:tcPr>
        <w:tcBorders>
          <w:top w:val="nil"/>
          <w:bottom w:val="single" w:sz="12" w:space="0" w:color="F7F5EF" w:themeColor="accent6" w:themeTint="99"/>
          <w:insideH w:val="nil"/>
          <w:insideV w:val="nil"/>
        </w:tcBorders>
        <w:shd w:val="clear" w:color="auto" w:fill="FFFFFF" w:themeFill="background1"/>
      </w:tcPr>
    </w:tblStylePr>
    <w:tblStylePr w:type="lastRow">
      <w:rPr>
        <w:b/>
        <w:bCs/>
      </w:rPr>
      <w:tblPr/>
      <w:tcPr>
        <w:tcBorders>
          <w:top w:val="double" w:sz="2" w:space="0" w:color="F7F5E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2-Accent5">
    <w:name w:val="Grid Table 2 Accent 5"/>
    <w:basedOn w:val="TableNormal"/>
    <w:uiPriority w:val="47"/>
    <w:rsid w:val="00657630"/>
    <w:pPr>
      <w:spacing w:after="0" w:line="240" w:lineRule="auto"/>
    </w:pPr>
    <w:tblPr>
      <w:tblStyleRowBandSize w:val="1"/>
      <w:tblStyleColBandSize w:val="1"/>
      <w:tblBorders>
        <w:top w:val="single" w:sz="2" w:space="0" w:color="EBCC80" w:themeColor="accent5" w:themeTint="99"/>
        <w:bottom w:val="single" w:sz="2" w:space="0" w:color="EBCC80" w:themeColor="accent5" w:themeTint="99"/>
        <w:insideH w:val="single" w:sz="2" w:space="0" w:color="EBCC80" w:themeColor="accent5" w:themeTint="99"/>
        <w:insideV w:val="single" w:sz="2" w:space="0" w:color="EBCC80" w:themeColor="accent5" w:themeTint="99"/>
      </w:tblBorders>
    </w:tblPr>
    <w:tblStylePr w:type="firstRow">
      <w:rPr>
        <w:b/>
        <w:bCs/>
      </w:rPr>
      <w:tblPr/>
      <w:tcPr>
        <w:tcBorders>
          <w:top w:val="nil"/>
          <w:bottom w:val="single" w:sz="12" w:space="0" w:color="EBCC80" w:themeColor="accent5" w:themeTint="99"/>
          <w:insideH w:val="nil"/>
          <w:insideV w:val="nil"/>
        </w:tcBorders>
        <w:shd w:val="clear" w:color="auto" w:fill="FFFFFF" w:themeFill="background1"/>
      </w:tcPr>
    </w:tblStylePr>
    <w:tblStylePr w:type="lastRow">
      <w:rPr>
        <w:b/>
        <w:bCs/>
      </w:rPr>
      <w:tblPr/>
      <w:tcPr>
        <w:tcBorders>
          <w:top w:val="double" w:sz="2" w:space="0" w:color="EBCC8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2-Accent4">
    <w:name w:val="Grid Table 2 Accent 4"/>
    <w:basedOn w:val="TableNormal"/>
    <w:uiPriority w:val="47"/>
    <w:rsid w:val="00657630"/>
    <w:pPr>
      <w:spacing w:after="0" w:line="240" w:lineRule="auto"/>
    </w:pPr>
    <w:tblPr>
      <w:tblStyleRowBandSize w:val="1"/>
      <w:tblStyleColBandSize w:val="1"/>
      <w:tblBorders>
        <w:top w:val="single" w:sz="2" w:space="0" w:color="E1D4B7" w:themeColor="accent4" w:themeTint="99"/>
        <w:bottom w:val="single" w:sz="2" w:space="0" w:color="E1D4B7" w:themeColor="accent4" w:themeTint="99"/>
        <w:insideH w:val="single" w:sz="2" w:space="0" w:color="E1D4B7" w:themeColor="accent4" w:themeTint="99"/>
        <w:insideV w:val="single" w:sz="2" w:space="0" w:color="E1D4B7" w:themeColor="accent4" w:themeTint="99"/>
      </w:tblBorders>
    </w:tblPr>
    <w:tblStylePr w:type="firstRow">
      <w:rPr>
        <w:b/>
        <w:bCs/>
      </w:rPr>
      <w:tblPr/>
      <w:tcPr>
        <w:tcBorders>
          <w:top w:val="nil"/>
          <w:bottom w:val="single" w:sz="12" w:space="0" w:color="E1D4B7" w:themeColor="accent4" w:themeTint="99"/>
          <w:insideH w:val="nil"/>
          <w:insideV w:val="nil"/>
        </w:tcBorders>
        <w:shd w:val="clear" w:color="auto" w:fill="FFFFFF" w:themeFill="background1"/>
      </w:tcPr>
    </w:tblStylePr>
    <w:tblStylePr w:type="lastRow">
      <w:rPr>
        <w:b/>
        <w:bCs/>
      </w:rPr>
      <w:tblPr/>
      <w:tcPr>
        <w:tcBorders>
          <w:top w:val="double" w:sz="2" w:space="0" w:color="E1D4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1Light-Accent6">
    <w:name w:val="Grid Table 1 Light Accent 6"/>
    <w:basedOn w:val="TableNormal"/>
    <w:uiPriority w:val="46"/>
    <w:rsid w:val="00657630"/>
    <w:pPr>
      <w:spacing w:after="0" w:line="240" w:lineRule="auto"/>
    </w:pPr>
    <w:tblPr>
      <w:tblStyleRowBandSize w:val="1"/>
      <w:tblStyleColBandSize w:val="1"/>
      <w:tblBorders>
        <w:top w:val="single" w:sz="4" w:space="0" w:color="F9F8F4" w:themeColor="accent6" w:themeTint="66"/>
        <w:left w:val="single" w:sz="4" w:space="0" w:color="F9F8F4" w:themeColor="accent6" w:themeTint="66"/>
        <w:bottom w:val="single" w:sz="4" w:space="0" w:color="F9F8F4" w:themeColor="accent6" w:themeTint="66"/>
        <w:right w:val="single" w:sz="4" w:space="0" w:color="F9F8F4" w:themeColor="accent6" w:themeTint="66"/>
        <w:insideH w:val="single" w:sz="4" w:space="0" w:color="F9F8F4" w:themeColor="accent6" w:themeTint="66"/>
        <w:insideV w:val="single" w:sz="4" w:space="0" w:color="F9F8F4" w:themeColor="accent6" w:themeTint="66"/>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2" w:space="0" w:color="F7F5EF"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57630"/>
    <w:pPr>
      <w:spacing w:after="0" w:line="240" w:lineRule="auto"/>
    </w:pPr>
    <w:tblPr>
      <w:tblStyleRowBandSize w:val="1"/>
      <w:tblStyleColBandSize w:val="1"/>
      <w:tblBorders>
        <w:top w:val="single" w:sz="4" w:space="0" w:color="F1DDAA" w:themeColor="accent5" w:themeTint="66"/>
        <w:left w:val="single" w:sz="4" w:space="0" w:color="F1DDAA" w:themeColor="accent5" w:themeTint="66"/>
        <w:bottom w:val="single" w:sz="4" w:space="0" w:color="F1DDAA" w:themeColor="accent5" w:themeTint="66"/>
        <w:right w:val="single" w:sz="4" w:space="0" w:color="F1DDAA" w:themeColor="accent5" w:themeTint="66"/>
        <w:insideH w:val="single" w:sz="4" w:space="0" w:color="F1DDAA" w:themeColor="accent5" w:themeTint="66"/>
        <w:insideV w:val="single" w:sz="4" w:space="0" w:color="F1DDAA" w:themeColor="accent5" w:themeTint="66"/>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2" w:space="0" w:color="EBCC80"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57630"/>
    <w:pPr>
      <w:spacing w:after="0" w:line="240" w:lineRule="auto"/>
    </w:pPr>
    <w:tblPr>
      <w:tblStyleRowBandSize w:val="1"/>
      <w:tblStyleColBandSize w:val="1"/>
      <w:tblBorders>
        <w:top w:val="single" w:sz="4" w:space="0" w:color="EBE2CF" w:themeColor="accent4" w:themeTint="66"/>
        <w:left w:val="single" w:sz="4" w:space="0" w:color="EBE2CF" w:themeColor="accent4" w:themeTint="66"/>
        <w:bottom w:val="single" w:sz="4" w:space="0" w:color="EBE2CF" w:themeColor="accent4" w:themeTint="66"/>
        <w:right w:val="single" w:sz="4" w:space="0" w:color="EBE2CF" w:themeColor="accent4" w:themeTint="66"/>
        <w:insideH w:val="single" w:sz="4" w:space="0" w:color="EBE2CF" w:themeColor="accent4" w:themeTint="66"/>
        <w:insideV w:val="single" w:sz="4" w:space="0" w:color="EBE2CF" w:themeColor="accent4" w:themeTint="66"/>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2" w:space="0" w:color="E1D4B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236D36"/>
    <w:pPr>
      <w:spacing w:before="0" w:line="240" w:lineRule="auto"/>
    </w:pPr>
    <w:rPr>
      <w:i/>
      <w:iCs/>
      <w:color w:val="00694B" w:themeColor="accent3"/>
      <w:szCs w:val="18"/>
    </w:rPr>
  </w:style>
  <w:style w:type="paragraph" w:styleId="TOCHeading">
    <w:name w:val="TOC Heading"/>
    <w:basedOn w:val="Heading1"/>
    <w:next w:val="Normal"/>
    <w:uiPriority w:val="39"/>
    <w:unhideWhenUsed/>
    <w:qFormat/>
    <w:rsid w:val="004A2629"/>
    <w:pPr>
      <w:keepNext/>
      <w:keepLines/>
      <w:spacing w:before="240" w:after="0" w:line="259" w:lineRule="auto"/>
      <w:outlineLvl w:val="9"/>
    </w:pPr>
    <w:rPr>
      <w:rFonts w:asciiTheme="majorHAnsi" w:eastAsiaTheme="majorEastAsia" w:hAnsiTheme="majorHAnsi" w:cstheme="majorBidi"/>
      <w:color w:val="112F26" w:themeColor="accent1" w:themeShade="BF"/>
      <w:sz w:val="32"/>
      <w:szCs w:val="32"/>
      <w:lang w:val="en-US"/>
    </w:rPr>
  </w:style>
  <w:style w:type="paragraph" w:styleId="TOC1">
    <w:name w:val="toc 1"/>
    <w:basedOn w:val="Normal"/>
    <w:next w:val="Normal"/>
    <w:autoRedefine/>
    <w:uiPriority w:val="39"/>
    <w:unhideWhenUsed/>
    <w:rsid w:val="00236949"/>
    <w:pPr>
      <w:tabs>
        <w:tab w:val="right" w:leader="dot" w:pos="9968"/>
      </w:tabs>
      <w:spacing w:after="100"/>
    </w:pPr>
  </w:style>
  <w:style w:type="paragraph" w:styleId="TableofFigures">
    <w:name w:val="table of figures"/>
    <w:basedOn w:val="Normal"/>
    <w:next w:val="Normal"/>
    <w:uiPriority w:val="99"/>
    <w:unhideWhenUsed/>
    <w:rsid w:val="004A2629"/>
    <w:pPr>
      <w:spacing w:after="0"/>
    </w:pPr>
  </w:style>
  <w:style w:type="paragraph" w:customStyle="1" w:styleId="Sourcesandnotes">
    <w:name w:val="Sources and notes"/>
    <w:basedOn w:val="Normal"/>
    <w:link w:val="SourcesandnotesChar"/>
    <w:qFormat/>
    <w:rsid w:val="00782808"/>
    <w:rPr>
      <w:sz w:val="16"/>
    </w:rPr>
  </w:style>
  <w:style w:type="character" w:customStyle="1" w:styleId="SourcesandnotesChar">
    <w:name w:val="Sources and notes Char"/>
    <w:basedOn w:val="DefaultParagraphFont"/>
    <w:link w:val="Sourcesandnotes"/>
    <w:rsid w:val="00782808"/>
    <w:rPr>
      <w:sz w:val="16"/>
      <w:szCs w:val="20"/>
    </w:rPr>
  </w:style>
  <w:style w:type="character" w:styleId="UnresolvedMention">
    <w:name w:val="Unresolved Mention"/>
    <w:basedOn w:val="DefaultParagraphFont"/>
    <w:uiPriority w:val="99"/>
    <w:semiHidden/>
    <w:unhideWhenUsed/>
    <w:rsid w:val="005015BE"/>
    <w:rPr>
      <w:color w:val="605E5C"/>
      <w:shd w:val="clear" w:color="auto" w:fill="E1DFDD"/>
    </w:rPr>
  </w:style>
  <w:style w:type="paragraph" w:styleId="TOC2">
    <w:name w:val="toc 2"/>
    <w:basedOn w:val="Normal"/>
    <w:next w:val="Normal"/>
    <w:autoRedefine/>
    <w:uiPriority w:val="39"/>
    <w:unhideWhenUsed/>
    <w:rsid w:val="005937A1"/>
    <w:pPr>
      <w:tabs>
        <w:tab w:val="right" w:leader="dot" w:pos="9968"/>
      </w:tabs>
      <w:spacing w:before="0" w:after="100" w:line="259" w:lineRule="auto"/>
      <w:ind w:left="220"/>
    </w:pPr>
    <w:rPr>
      <w:rFonts w:eastAsiaTheme="minorEastAsia" w:cs="Times New Roman"/>
      <w:sz w:val="22"/>
      <w:szCs w:val="22"/>
      <w:lang w:val="en-US"/>
    </w:rPr>
  </w:style>
  <w:style w:type="paragraph" w:styleId="TOC3">
    <w:name w:val="toc 3"/>
    <w:basedOn w:val="Normal"/>
    <w:next w:val="Normal"/>
    <w:autoRedefine/>
    <w:uiPriority w:val="39"/>
    <w:unhideWhenUsed/>
    <w:rsid w:val="00CA4D45"/>
    <w:pPr>
      <w:spacing w:before="0" w:after="100" w:line="259" w:lineRule="auto"/>
      <w:ind w:left="440"/>
    </w:pPr>
    <w:rPr>
      <w:rFonts w:eastAsiaTheme="minorEastAsia" w:cs="Times New Roman"/>
      <w:sz w:val="22"/>
      <w:szCs w:val="22"/>
      <w:lang w:val="en-US"/>
    </w:rPr>
  </w:style>
  <w:style w:type="character" w:customStyle="1" w:styleId="Heading4Char">
    <w:name w:val="Heading 4 Char"/>
    <w:basedOn w:val="DefaultParagraphFont"/>
    <w:link w:val="Heading4"/>
    <w:uiPriority w:val="9"/>
    <w:semiHidden/>
    <w:rsid w:val="00921460"/>
    <w:rPr>
      <w:rFonts w:asciiTheme="majorHAnsi" w:eastAsiaTheme="majorEastAsia" w:hAnsiTheme="majorHAnsi" w:cstheme="majorBidi"/>
      <w:i/>
      <w:iCs/>
      <w:color w:val="112F26" w:themeColor="accent1" w:themeShade="BF"/>
      <w:sz w:val="20"/>
      <w:szCs w:val="20"/>
    </w:rPr>
  </w:style>
  <w:style w:type="paragraph" w:styleId="BalloonText">
    <w:name w:val="Balloon Text"/>
    <w:basedOn w:val="Normal"/>
    <w:link w:val="BalloonTextChar"/>
    <w:uiPriority w:val="99"/>
    <w:semiHidden/>
    <w:unhideWhenUsed/>
    <w:rsid w:val="004D1BB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BBB"/>
    <w:rPr>
      <w:rFonts w:ascii="Segoe UI" w:hAnsi="Segoe UI" w:cs="Segoe UI"/>
      <w:sz w:val="18"/>
      <w:szCs w:val="18"/>
    </w:rPr>
  </w:style>
  <w:style w:type="paragraph" w:styleId="Bibliography">
    <w:name w:val="Bibliography"/>
    <w:basedOn w:val="Normal"/>
    <w:next w:val="Normal"/>
    <w:uiPriority w:val="37"/>
    <w:semiHidden/>
    <w:unhideWhenUsed/>
    <w:rsid w:val="004D1BBB"/>
  </w:style>
  <w:style w:type="paragraph" w:styleId="BlockText">
    <w:name w:val="Block Text"/>
    <w:basedOn w:val="Normal"/>
    <w:uiPriority w:val="99"/>
    <w:semiHidden/>
    <w:unhideWhenUsed/>
    <w:rsid w:val="004D1BBB"/>
    <w:pPr>
      <w:pBdr>
        <w:top w:val="single" w:sz="2" w:space="10" w:color="173F34" w:themeColor="accent1"/>
        <w:left w:val="single" w:sz="2" w:space="10" w:color="173F34" w:themeColor="accent1"/>
        <w:bottom w:val="single" w:sz="2" w:space="10" w:color="173F34" w:themeColor="accent1"/>
        <w:right w:val="single" w:sz="2" w:space="10" w:color="173F34" w:themeColor="accent1"/>
      </w:pBdr>
      <w:ind w:left="1152" w:right="1152"/>
    </w:pPr>
    <w:rPr>
      <w:rFonts w:eastAsiaTheme="minorEastAsia"/>
      <w:i/>
      <w:iCs/>
      <w:color w:val="173F34" w:themeColor="accent1"/>
    </w:rPr>
  </w:style>
  <w:style w:type="paragraph" w:styleId="BodyText">
    <w:name w:val="Body Text"/>
    <w:basedOn w:val="Normal"/>
    <w:link w:val="BodyTextChar"/>
    <w:uiPriority w:val="99"/>
    <w:semiHidden/>
    <w:unhideWhenUsed/>
    <w:rsid w:val="004D1BBB"/>
    <w:pPr>
      <w:spacing w:after="120"/>
    </w:pPr>
  </w:style>
  <w:style w:type="character" w:customStyle="1" w:styleId="BodyTextChar">
    <w:name w:val="Body Text Char"/>
    <w:basedOn w:val="DefaultParagraphFont"/>
    <w:link w:val="BodyText"/>
    <w:uiPriority w:val="99"/>
    <w:semiHidden/>
    <w:rsid w:val="004D1BBB"/>
    <w:rPr>
      <w:sz w:val="20"/>
      <w:szCs w:val="20"/>
    </w:rPr>
  </w:style>
  <w:style w:type="paragraph" w:styleId="BodyText2">
    <w:name w:val="Body Text 2"/>
    <w:basedOn w:val="Normal"/>
    <w:link w:val="BodyText2Char"/>
    <w:uiPriority w:val="99"/>
    <w:semiHidden/>
    <w:unhideWhenUsed/>
    <w:rsid w:val="004D1BBB"/>
    <w:pPr>
      <w:spacing w:after="120" w:line="480" w:lineRule="auto"/>
    </w:pPr>
  </w:style>
  <w:style w:type="character" w:customStyle="1" w:styleId="BodyText2Char">
    <w:name w:val="Body Text 2 Char"/>
    <w:basedOn w:val="DefaultParagraphFont"/>
    <w:link w:val="BodyText2"/>
    <w:uiPriority w:val="99"/>
    <w:semiHidden/>
    <w:rsid w:val="004D1BBB"/>
    <w:rPr>
      <w:sz w:val="20"/>
      <w:szCs w:val="20"/>
    </w:rPr>
  </w:style>
  <w:style w:type="paragraph" w:styleId="BodyText3">
    <w:name w:val="Body Text 3"/>
    <w:basedOn w:val="Normal"/>
    <w:link w:val="BodyText3Char"/>
    <w:uiPriority w:val="99"/>
    <w:semiHidden/>
    <w:unhideWhenUsed/>
    <w:rsid w:val="004D1BBB"/>
    <w:pPr>
      <w:spacing w:after="120"/>
    </w:pPr>
    <w:rPr>
      <w:sz w:val="16"/>
      <w:szCs w:val="16"/>
    </w:rPr>
  </w:style>
  <w:style w:type="character" w:customStyle="1" w:styleId="BodyText3Char">
    <w:name w:val="Body Text 3 Char"/>
    <w:basedOn w:val="DefaultParagraphFont"/>
    <w:link w:val="BodyText3"/>
    <w:uiPriority w:val="99"/>
    <w:semiHidden/>
    <w:rsid w:val="004D1BBB"/>
    <w:rPr>
      <w:sz w:val="16"/>
      <w:szCs w:val="16"/>
    </w:rPr>
  </w:style>
  <w:style w:type="paragraph" w:styleId="BodyTextFirstIndent">
    <w:name w:val="Body Text First Indent"/>
    <w:basedOn w:val="BodyText"/>
    <w:link w:val="BodyTextFirstIndentChar"/>
    <w:uiPriority w:val="99"/>
    <w:semiHidden/>
    <w:unhideWhenUsed/>
    <w:rsid w:val="004D1BBB"/>
    <w:pPr>
      <w:spacing w:after="200"/>
      <w:ind w:firstLine="360"/>
    </w:pPr>
  </w:style>
  <w:style w:type="character" w:customStyle="1" w:styleId="BodyTextFirstIndentChar">
    <w:name w:val="Body Text First Indent Char"/>
    <w:basedOn w:val="BodyTextChar"/>
    <w:link w:val="BodyTextFirstIndent"/>
    <w:uiPriority w:val="99"/>
    <w:semiHidden/>
    <w:rsid w:val="004D1BBB"/>
    <w:rPr>
      <w:sz w:val="20"/>
      <w:szCs w:val="20"/>
    </w:rPr>
  </w:style>
  <w:style w:type="paragraph" w:styleId="BodyTextIndent">
    <w:name w:val="Body Text Indent"/>
    <w:basedOn w:val="Normal"/>
    <w:link w:val="BodyTextIndentChar"/>
    <w:uiPriority w:val="99"/>
    <w:semiHidden/>
    <w:unhideWhenUsed/>
    <w:rsid w:val="004D1BBB"/>
    <w:pPr>
      <w:spacing w:after="120"/>
      <w:ind w:left="283"/>
    </w:pPr>
  </w:style>
  <w:style w:type="character" w:customStyle="1" w:styleId="BodyTextIndentChar">
    <w:name w:val="Body Text Indent Char"/>
    <w:basedOn w:val="DefaultParagraphFont"/>
    <w:link w:val="BodyTextIndent"/>
    <w:uiPriority w:val="99"/>
    <w:semiHidden/>
    <w:rsid w:val="004D1BBB"/>
    <w:rPr>
      <w:sz w:val="20"/>
      <w:szCs w:val="20"/>
    </w:rPr>
  </w:style>
  <w:style w:type="paragraph" w:styleId="BodyTextFirstIndent2">
    <w:name w:val="Body Text First Indent 2"/>
    <w:basedOn w:val="BodyTextIndent"/>
    <w:link w:val="BodyTextFirstIndent2Char"/>
    <w:uiPriority w:val="99"/>
    <w:semiHidden/>
    <w:unhideWhenUsed/>
    <w:rsid w:val="004D1BB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D1BBB"/>
    <w:rPr>
      <w:sz w:val="20"/>
      <w:szCs w:val="20"/>
    </w:rPr>
  </w:style>
  <w:style w:type="paragraph" w:styleId="BodyTextIndent2">
    <w:name w:val="Body Text Indent 2"/>
    <w:basedOn w:val="Normal"/>
    <w:link w:val="BodyTextIndent2Char"/>
    <w:uiPriority w:val="99"/>
    <w:semiHidden/>
    <w:unhideWhenUsed/>
    <w:rsid w:val="004D1BBB"/>
    <w:pPr>
      <w:spacing w:after="120" w:line="480" w:lineRule="auto"/>
      <w:ind w:left="283"/>
    </w:pPr>
  </w:style>
  <w:style w:type="character" w:customStyle="1" w:styleId="BodyTextIndent2Char">
    <w:name w:val="Body Text Indent 2 Char"/>
    <w:basedOn w:val="DefaultParagraphFont"/>
    <w:link w:val="BodyTextIndent2"/>
    <w:uiPriority w:val="99"/>
    <w:semiHidden/>
    <w:rsid w:val="004D1BBB"/>
    <w:rPr>
      <w:sz w:val="20"/>
      <w:szCs w:val="20"/>
    </w:rPr>
  </w:style>
  <w:style w:type="paragraph" w:styleId="BodyTextIndent3">
    <w:name w:val="Body Text Indent 3"/>
    <w:basedOn w:val="Normal"/>
    <w:link w:val="BodyTextIndent3Char"/>
    <w:uiPriority w:val="99"/>
    <w:semiHidden/>
    <w:unhideWhenUsed/>
    <w:rsid w:val="004D1BB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D1BBB"/>
    <w:rPr>
      <w:sz w:val="16"/>
      <w:szCs w:val="16"/>
    </w:rPr>
  </w:style>
  <w:style w:type="paragraph" w:styleId="Closing">
    <w:name w:val="Closing"/>
    <w:basedOn w:val="Normal"/>
    <w:link w:val="ClosingChar"/>
    <w:uiPriority w:val="99"/>
    <w:semiHidden/>
    <w:unhideWhenUsed/>
    <w:rsid w:val="004D1BBB"/>
    <w:pPr>
      <w:spacing w:before="0" w:after="0" w:line="240" w:lineRule="auto"/>
      <w:ind w:left="4252"/>
    </w:pPr>
  </w:style>
  <w:style w:type="character" w:customStyle="1" w:styleId="ClosingChar">
    <w:name w:val="Closing Char"/>
    <w:basedOn w:val="DefaultParagraphFont"/>
    <w:link w:val="Closing"/>
    <w:uiPriority w:val="99"/>
    <w:semiHidden/>
    <w:rsid w:val="004D1BBB"/>
    <w:rPr>
      <w:sz w:val="20"/>
      <w:szCs w:val="20"/>
    </w:rPr>
  </w:style>
  <w:style w:type="paragraph" w:styleId="DocumentMap">
    <w:name w:val="Document Map"/>
    <w:basedOn w:val="Normal"/>
    <w:link w:val="DocumentMapChar"/>
    <w:uiPriority w:val="99"/>
    <w:semiHidden/>
    <w:unhideWhenUsed/>
    <w:rsid w:val="004D1BBB"/>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D1BBB"/>
    <w:rPr>
      <w:rFonts w:ascii="Segoe UI" w:hAnsi="Segoe UI" w:cs="Segoe UI"/>
      <w:sz w:val="16"/>
      <w:szCs w:val="16"/>
    </w:rPr>
  </w:style>
  <w:style w:type="paragraph" w:styleId="E-mailSignature">
    <w:name w:val="E-mail Signature"/>
    <w:basedOn w:val="Normal"/>
    <w:link w:val="E-mailSignatureChar"/>
    <w:uiPriority w:val="99"/>
    <w:semiHidden/>
    <w:unhideWhenUsed/>
    <w:rsid w:val="004D1BBB"/>
    <w:pPr>
      <w:spacing w:before="0" w:after="0" w:line="240" w:lineRule="auto"/>
    </w:pPr>
  </w:style>
  <w:style w:type="character" w:customStyle="1" w:styleId="E-mailSignatureChar">
    <w:name w:val="E-mail Signature Char"/>
    <w:basedOn w:val="DefaultParagraphFont"/>
    <w:link w:val="E-mailSignature"/>
    <w:uiPriority w:val="99"/>
    <w:semiHidden/>
    <w:rsid w:val="004D1BBB"/>
    <w:rPr>
      <w:sz w:val="20"/>
      <w:szCs w:val="20"/>
    </w:rPr>
  </w:style>
  <w:style w:type="paragraph" w:styleId="EndnoteText">
    <w:name w:val="endnote text"/>
    <w:basedOn w:val="Normal"/>
    <w:link w:val="EndnoteTextChar"/>
    <w:uiPriority w:val="99"/>
    <w:semiHidden/>
    <w:unhideWhenUsed/>
    <w:rsid w:val="004D1BBB"/>
    <w:pPr>
      <w:spacing w:before="0" w:after="0" w:line="240" w:lineRule="auto"/>
    </w:pPr>
  </w:style>
  <w:style w:type="character" w:customStyle="1" w:styleId="EndnoteTextChar">
    <w:name w:val="Endnote Text Char"/>
    <w:basedOn w:val="DefaultParagraphFont"/>
    <w:link w:val="EndnoteText"/>
    <w:uiPriority w:val="99"/>
    <w:semiHidden/>
    <w:rsid w:val="004D1BBB"/>
    <w:rPr>
      <w:sz w:val="20"/>
      <w:szCs w:val="20"/>
    </w:rPr>
  </w:style>
  <w:style w:type="paragraph" w:styleId="EnvelopeAddress">
    <w:name w:val="envelope address"/>
    <w:basedOn w:val="Normal"/>
    <w:uiPriority w:val="99"/>
    <w:semiHidden/>
    <w:unhideWhenUsed/>
    <w:rsid w:val="004D1BBB"/>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D1BBB"/>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4D1BBB"/>
    <w:pPr>
      <w:spacing w:before="0" w:after="0" w:line="240" w:lineRule="auto"/>
    </w:pPr>
  </w:style>
  <w:style w:type="character" w:customStyle="1" w:styleId="FootnoteTextChar">
    <w:name w:val="Footnote Text Char"/>
    <w:basedOn w:val="DefaultParagraphFont"/>
    <w:link w:val="FootnoteText"/>
    <w:uiPriority w:val="99"/>
    <w:semiHidden/>
    <w:rsid w:val="004D1BBB"/>
    <w:rPr>
      <w:sz w:val="20"/>
      <w:szCs w:val="20"/>
    </w:rPr>
  </w:style>
  <w:style w:type="character" w:customStyle="1" w:styleId="Heading5Char">
    <w:name w:val="Heading 5 Char"/>
    <w:basedOn w:val="DefaultParagraphFont"/>
    <w:link w:val="Heading5"/>
    <w:uiPriority w:val="9"/>
    <w:semiHidden/>
    <w:rsid w:val="004D1BBB"/>
    <w:rPr>
      <w:rFonts w:asciiTheme="majorHAnsi" w:eastAsiaTheme="majorEastAsia" w:hAnsiTheme="majorHAnsi" w:cstheme="majorBidi"/>
      <w:color w:val="112F26" w:themeColor="accent1" w:themeShade="BF"/>
      <w:sz w:val="20"/>
      <w:szCs w:val="20"/>
    </w:rPr>
  </w:style>
  <w:style w:type="character" w:customStyle="1" w:styleId="Heading6Char">
    <w:name w:val="Heading 6 Char"/>
    <w:basedOn w:val="DefaultParagraphFont"/>
    <w:link w:val="Heading6"/>
    <w:uiPriority w:val="9"/>
    <w:semiHidden/>
    <w:rsid w:val="004D1BBB"/>
    <w:rPr>
      <w:rFonts w:asciiTheme="majorHAnsi" w:eastAsiaTheme="majorEastAsia" w:hAnsiTheme="majorHAnsi" w:cstheme="majorBidi"/>
      <w:color w:val="0B1F19" w:themeColor="accent1" w:themeShade="7F"/>
      <w:sz w:val="20"/>
      <w:szCs w:val="20"/>
    </w:rPr>
  </w:style>
  <w:style w:type="character" w:customStyle="1" w:styleId="Heading7Char">
    <w:name w:val="Heading 7 Char"/>
    <w:basedOn w:val="DefaultParagraphFont"/>
    <w:link w:val="Heading7"/>
    <w:uiPriority w:val="9"/>
    <w:semiHidden/>
    <w:rsid w:val="004D1BBB"/>
    <w:rPr>
      <w:rFonts w:asciiTheme="majorHAnsi" w:eastAsiaTheme="majorEastAsia" w:hAnsiTheme="majorHAnsi" w:cstheme="majorBidi"/>
      <w:i/>
      <w:iCs/>
      <w:color w:val="0B1F19" w:themeColor="accent1" w:themeShade="7F"/>
      <w:sz w:val="20"/>
      <w:szCs w:val="20"/>
    </w:rPr>
  </w:style>
  <w:style w:type="character" w:customStyle="1" w:styleId="Heading8Char">
    <w:name w:val="Heading 8 Char"/>
    <w:basedOn w:val="DefaultParagraphFont"/>
    <w:link w:val="Heading8"/>
    <w:uiPriority w:val="9"/>
    <w:semiHidden/>
    <w:rsid w:val="004D1B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1BBB"/>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D1BBB"/>
    <w:pPr>
      <w:spacing w:before="0" w:after="0" w:line="240" w:lineRule="auto"/>
    </w:pPr>
    <w:rPr>
      <w:i/>
      <w:iCs/>
    </w:rPr>
  </w:style>
  <w:style w:type="character" w:customStyle="1" w:styleId="HTMLAddressChar">
    <w:name w:val="HTML Address Char"/>
    <w:basedOn w:val="DefaultParagraphFont"/>
    <w:link w:val="HTMLAddress"/>
    <w:uiPriority w:val="99"/>
    <w:semiHidden/>
    <w:rsid w:val="004D1BBB"/>
    <w:rPr>
      <w:i/>
      <w:iCs/>
      <w:sz w:val="20"/>
      <w:szCs w:val="20"/>
    </w:rPr>
  </w:style>
  <w:style w:type="paragraph" w:styleId="HTMLPreformatted">
    <w:name w:val="HTML Preformatted"/>
    <w:basedOn w:val="Normal"/>
    <w:link w:val="HTMLPreformattedChar"/>
    <w:uiPriority w:val="99"/>
    <w:semiHidden/>
    <w:unhideWhenUsed/>
    <w:rsid w:val="004D1BBB"/>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4D1BBB"/>
    <w:rPr>
      <w:rFonts w:ascii="Consolas" w:hAnsi="Consolas"/>
      <w:sz w:val="20"/>
      <w:szCs w:val="20"/>
    </w:rPr>
  </w:style>
  <w:style w:type="paragraph" w:styleId="Index1">
    <w:name w:val="index 1"/>
    <w:basedOn w:val="Normal"/>
    <w:next w:val="Normal"/>
    <w:autoRedefine/>
    <w:uiPriority w:val="99"/>
    <w:semiHidden/>
    <w:unhideWhenUsed/>
    <w:rsid w:val="004D1BBB"/>
    <w:pPr>
      <w:spacing w:before="0" w:after="0" w:line="240" w:lineRule="auto"/>
      <w:ind w:left="200" w:hanging="200"/>
    </w:pPr>
  </w:style>
  <w:style w:type="paragraph" w:styleId="Index2">
    <w:name w:val="index 2"/>
    <w:basedOn w:val="Normal"/>
    <w:next w:val="Normal"/>
    <w:autoRedefine/>
    <w:uiPriority w:val="99"/>
    <w:semiHidden/>
    <w:unhideWhenUsed/>
    <w:rsid w:val="004D1BBB"/>
    <w:pPr>
      <w:spacing w:before="0" w:after="0" w:line="240" w:lineRule="auto"/>
      <w:ind w:left="400" w:hanging="200"/>
    </w:pPr>
  </w:style>
  <w:style w:type="paragraph" w:styleId="Index3">
    <w:name w:val="index 3"/>
    <w:basedOn w:val="Normal"/>
    <w:next w:val="Normal"/>
    <w:autoRedefine/>
    <w:uiPriority w:val="99"/>
    <w:semiHidden/>
    <w:unhideWhenUsed/>
    <w:rsid w:val="004D1BBB"/>
    <w:pPr>
      <w:spacing w:before="0" w:after="0" w:line="240" w:lineRule="auto"/>
      <w:ind w:left="600" w:hanging="200"/>
    </w:pPr>
  </w:style>
  <w:style w:type="paragraph" w:styleId="Index4">
    <w:name w:val="index 4"/>
    <w:basedOn w:val="Normal"/>
    <w:next w:val="Normal"/>
    <w:autoRedefine/>
    <w:uiPriority w:val="99"/>
    <w:semiHidden/>
    <w:unhideWhenUsed/>
    <w:rsid w:val="004D1BBB"/>
    <w:pPr>
      <w:spacing w:before="0" w:after="0" w:line="240" w:lineRule="auto"/>
      <w:ind w:left="800" w:hanging="200"/>
    </w:pPr>
  </w:style>
  <w:style w:type="paragraph" w:styleId="Index5">
    <w:name w:val="index 5"/>
    <w:basedOn w:val="Normal"/>
    <w:next w:val="Normal"/>
    <w:autoRedefine/>
    <w:uiPriority w:val="99"/>
    <w:semiHidden/>
    <w:unhideWhenUsed/>
    <w:rsid w:val="004D1BBB"/>
    <w:pPr>
      <w:spacing w:before="0" w:after="0" w:line="240" w:lineRule="auto"/>
      <w:ind w:left="1000" w:hanging="200"/>
    </w:pPr>
  </w:style>
  <w:style w:type="paragraph" w:styleId="Index6">
    <w:name w:val="index 6"/>
    <w:basedOn w:val="Normal"/>
    <w:next w:val="Normal"/>
    <w:autoRedefine/>
    <w:uiPriority w:val="99"/>
    <w:semiHidden/>
    <w:unhideWhenUsed/>
    <w:rsid w:val="004D1BBB"/>
    <w:pPr>
      <w:spacing w:before="0" w:after="0" w:line="240" w:lineRule="auto"/>
      <w:ind w:left="1200" w:hanging="200"/>
    </w:pPr>
  </w:style>
  <w:style w:type="paragraph" w:styleId="Index7">
    <w:name w:val="index 7"/>
    <w:basedOn w:val="Normal"/>
    <w:next w:val="Normal"/>
    <w:autoRedefine/>
    <w:uiPriority w:val="99"/>
    <w:semiHidden/>
    <w:unhideWhenUsed/>
    <w:rsid w:val="004D1BBB"/>
    <w:pPr>
      <w:spacing w:before="0" w:after="0" w:line="240" w:lineRule="auto"/>
      <w:ind w:left="1400" w:hanging="200"/>
    </w:pPr>
  </w:style>
  <w:style w:type="paragraph" w:styleId="Index8">
    <w:name w:val="index 8"/>
    <w:basedOn w:val="Normal"/>
    <w:next w:val="Normal"/>
    <w:autoRedefine/>
    <w:uiPriority w:val="99"/>
    <w:semiHidden/>
    <w:unhideWhenUsed/>
    <w:rsid w:val="004D1BBB"/>
    <w:pPr>
      <w:spacing w:before="0" w:after="0" w:line="240" w:lineRule="auto"/>
      <w:ind w:left="1600" w:hanging="200"/>
    </w:pPr>
  </w:style>
  <w:style w:type="paragraph" w:styleId="Index9">
    <w:name w:val="index 9"/>
    <w:basedOn w:val="Normal"/>
    <w:next w:val="Normal"/>
    <w:autoRedefine/>
    <w:uiPriority w:val="99"/>
    <w:semiHidden/>
    <w:unhideWhenUsed/>
    <w:rsid w:val="004D1BBB"/>
    <w:pPr>
      <w:spacing w:before="0" w:after="0" w:line="240" w:lineRule="auto"/>
      <w:ind w:left="1800" w:hanging="200"/>
    </w:pPr>
  </w:style>
  <w:style w:type="paragraph" w:styleId="IndexHeading">
    <w:name w:val="index heading"/>
    <w:basedOn w:val="Normal"/>
    <w:next w:val="Index1"/>
    <w:uiPriority w:val="99"/>
    <w:semiHidden/>
    <w:unhideWhenUsed/>
    <w:rsid w:val="004D1BB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4D1BBB"/>
    <w:pPr>
      <w:pBdr>
        <w:top w:val="single" w:sz="4" w:space="10" w:color="173F34" w:themeColor="accent1"/>
        <w:bottom w:val="single" w:sz="4" w:space="10" w:color="173F34" w:themeColor="accent1"/>
      </w:pBdr>
      <w:spacing w:before="360" w:after="360"/>
      <w:ind w:left="864" w:right="864"/>
      <w:jc w:val="center"/>
    </w:pPr>
    <w:rPr>
      <w:i/>
      <w:iCs/>
      <w:color w:val="173F34" w:themeColor="accent1"/>
    </w:rPr>
  </w:style>
  <w:style w:type="character" w:customStyle="1" w:styleId="IntenseQuoteChar">
    <w:name w:val="Intense Quote Char"/>
    <w:basedOn w:val="DefaultParagraphFont"/>
    <w:link w:val="IntenseQuote"/>
    <w:uiPriority w:val="30"/>
    <w:rsid w:val="004D1BBB"/>
    <w:rPr>
      <w:i/>
      <w:iCs/>
      <w:color w:val="173F34" w:themeColor="accent1"/>
      <w:sz w:val="20"/>
      <w:szCs w:val="20"/>
    </w:rPr>
  </w:style>
  <w:style w:type="paragraph" w:styleId="List">
    <w:name w:val="List"/>
    <w:basedOn w:val="Normal"/>
    <w:uiPriority w:val="99"/>
    <w:semiHidden/>
    <w:unhideWhenUsed/>
    <w:rsid w:val="004D1BBB"/>
    <w:pPr>
      <w:ind w:left="283" w:hanging="283"/>
      <w:contextualSpacing/>
    </w:pPr>
  </w:style>
  <w:style w:type="paragraph" w:styleId="List2">
    <w:name w:val="List 2"/>
    <w:basedOn w:val="Normal"/>
    <w:uiPriority w:val="99"/>
    <w:semiHidden/>
    <w:unhideWhenUsed/>
    <w:rsid w:val="004D1BBB"/>
    <w:pPr>
      <w:ind w:left="566" w:hanging="283"/>
      <w:contextualSpacing/>
    </w:pPr>
  </w:style>
  <w:style w:type="paragraph" w:styleId="List3">
    <w:name w:val="List 3"/>
    <w:basedOn w:val="Normal"/>
    <w:uiPriority w:val="99"/>
    <w:semiHidden/>
    <w:unhideWhenUsed/>
    <w:rsid w:val="004D1BBB"/>
    <w:pPr>
      <w:ind w:left="849" w:hanging="283"/>
      <w:contextualSpacing/>
    </w:pPr>
  </w:style>
  <w:style w:type="paragraph" w:styleId="List4">
    <w:name w:val="List 4"/>
    <w:basedOn w:val="Normal"/>
    <w:uiPriority w:val="99"/>
    <w:semiHidden/>
    <w:unhideWhenUsed/>
    <w:rsid w:val="004D1BBB"/>
    <w:pPr>
      <w:ind w:left="1132" w:hanging="283"/>
      <w:contextualSpacing/>
    </w:pPr>
  </w:style>
  <w:style w:type="paragraph" w:styleId="List5">
    <w:name w:val="List 5"/>
    <w:basedOn w:val="Normal"/>
    <w:uiPriority w:val="99"/>
    <w:semiHidden/>
    <w:unhideWhenUsed/>
    <w:rsid w:val="004D1BBB"/>
    <w:pPr>
      <w:ind w:left="1415" w:hanging="283"/>
      <w:contextualSpacing/>
    </w:pPr>
  </w:style>
  <w:style w:type="paragraph" w:styleId="ListBullet4">
    <w:name w:val="List Bullet 4"/>
    <w:basedOn w:val="Normal"/>
    <w:uiPriority w:val="99"/>
    <w:semiHidden/>
    <w:unhideWhenUsed/>
    <w:rsid w:val="004D1BBB"/>
    <w:pPr>
      <w:numPr>
        <w:numId w:val="13"/>
      </w:numPr>
      <w:contextualSpacing/>
    </w:pPr>
  </w:style>
  <w:style w:type="paragraph" w:styleId="ListBullet5">
    <w:name w:val="List Bullet 5"/>
    <w:basedOn w:val="Normal"/>
    <w:uiPriority w:val="99"/>
    <w:semiHidden/>
    <w:unhideWhenUsed/>
    <w:rsid w:val="004D1BBB"/>
    <w:pPr>
      <w:numPr>
        <w:numId w:val="12"/>
      </w:numPr>
      <w:contextualSpacing/>
    </w:pPr>
  </w:style>
  <w:style w:type="paragraph" w:styleId="ListContinue">
    <w:name w:val="List Continue"/>
    <w:basedOn w:val="Normal"/>
    <w:uiPriority w:val="99"/>
    <w:semiHidden/>
    <w:unhideWhenUsed/>
    <w:rsid w:val="004D1BBB"/>
    <w:pPr>
      <w:spacing w:after="120"/>
      <w:ind w:left="283"/>
      <w:contextualSpacing/>
    </w:pPr>
  </w:style>
  <w:style w:type="paragraph" w:styleId="ListContinue2">
    <w:name w:val="List Continue 2"/>
    <w:basedOn w:val="Normal"/>
    <w:uiPriority w:val="99"/>
    <w:semiHidden/>
    <w:unhideWhenUsed/>
    <w:rsid w:val="004D1BBB"/>
    <w:pPr>
      <w:spacing w:after="120"/>
      <w:ind w:left="566"/>
      <w:contextualSpacing/>
    </w:pPr>
  </w:style>
  <w:style w:type="paragraph" w:styleId="ListContinue3">
    <w:name w:val="List Continue 3"/>
    <w:basedOn w:val="Normal"/>
    <w:uiPriority w:val="99"/>
    <w:semiHidden/>
    <w:unhideWhenUsed/>
    <w:rsid w:val="004D1BBB"/>
    <w:pPr>
      <w:spacing w:after="120"/>
      <w:ind w:left="849"/>
      <w:contextualSpacing/>
    </w:pPr>
  </w:style>
  <w:style w:type="paragraph" w:styleId="ListContinue4">
    <w:name w:val="List Continue 4"/>
    <w:basedOn w:val="Normal"/>
    <w:uiPriority w:val="99"/>
    <w:semiHidden/>
    <w:unhideWhenUsed/>
    <w:rsid w:val="004D1BBB"/>
    <w:pPr>
      <w:spacing w:after="120"/>
      <w:ind w:left="1132"/>
      <w:contextualSpacing/>
    </w:pPr>
  </w:style>
  <w:style w:type="paragraph" w:styleId="ListContinue5">
    <w:name w:val="List Continue 5"/>
    <w:basedOn w:val="Normal"/>
    <w:uiPriority w:val="99"/>
    <w:semiHidden/>
    <w:unhideWhenUsed/>
    <w:rsid w:val="004D1BBB"/>
    <w:pPr>
      <w:spacing w:after="120"/>
      <w:ind w:left="1415"/>
      <w:contextualSpacing/>
    </w:pPr>
  </w:style>
  <w:style w:type="paragraph" w:styleId="ListNumber">
    <w:name w:val="List Number"/>
    <w:basedOn w:val="Normal"/>
    <w:uiPriority w:val="99"/>
    <w:semiHidden/>
    <w:unhideWhenUsed/>
    <w:rsid w:val="004D1BBB"/>
    <w:pPr>
      <w:numPr>
        <w:numId w:val="26"/>
      </w:numPr>
      <w:ind w:left="0" w:firstLine="0"/>
      <w:contextualSpacing/>
    </w:pPr>
  </w:style>
  <w:style w:type="paragraph" w:styleId="ListNumber2">
    <w:name w:val="List Number 2"/>
    <w:basedOn w:val="Normal"/>
    <w:uiPriority w:val="99"/>
    <w:semiHidden/>
    <w:unhideWhenUsed/>
    <w:rsid w:val="004D1BBB"/>
    <w:pPr>
      <w:numPr>
        <w:numId w:val="27"/>
      </w:numPr>
      <w:tabs>
        <w:tab w:val="clear" w:pos="643"/>
        <w:tab w:val="num" w:pos="360"/>
      </w:tabs>
      <w:ind w:left="0" w:firstLine="0"/>
      <w:contextualSpacing/>
    </w:pPr>
  </w:style>
  <w:style w:type="paragraph" w:styleId="ListNumber3">
    <w:name w:val="List Number 3"/>
    <w:basedOn w:val="Normal"/>
    <w:uiPriority w:val="99"/>
    <w:semiHidden/>
    <w:unhideWhenUsed/>
    <w:rsid w:val="004D1BBB"/>
    <w:pPr>
      <w:numPr>
        <w:numId w:val="28"/>
      </w:numPr>
      <w:tabs>
        <w:tab w:val="clear" w:pos="926"/>
        <w:tab w:val="num" w:pos="360"/>
      </w:tabs>
      <w:ind w:left="0" w:firstLine="0"/>
      <w:contextualSpacing/>
    </w:pPr>
  </w:style>
  <w:style w:type="paragraph" w:styleId="ListNumber4">
    <w:name w:val="List Number 4"/>
    <w:basedOn w:val="Normal"/>
    <w:uiPriority w:val="99"/>
    <w:semiHidden/>
    <w:unhideWhenUsed/>
    <w:rsid w:val="004D1BBB"/>
    <w:pPr>
      <w:numPr>
        <w:numId w:val="29"/>
      </w:numPr>
      <w:tabs>
        <w:tab w:val="clear" w:pos="1209"/>
        <w:tab w:val="num" w:pos="360"/>
      </w:tabs>
      <w:ind w:left="0" w:firstLine="0"/>
      <w:contextualSpacing/>
    </w:pPr>
  </w:style>
  <w:style w:type="paragraph" w:styleId="ListNumber5">
    <w:name w:val="List Number 5"/>
    <w:basedOn w:val="Normal"/>
    <w:uiPriority w:val="99"/>
    <w:semiHidden/>
    <w:unhideWhenUsed/>
    <w:rsid w:val="004D1BBB"/>
    <w:pPr>
      <w:numPr>
        <w:numId w:val="30"/>
      </w:numPr>
      <w:tabs>
        <w:tab w:val="clear" w:pos="1492"/>
        <w:tab w:val="num" w:pos="360"/>
      </w:tabs>
      <w:ind w:left="0" w:firstLine="0"/>
      <w:contextualSpacing/>
    </w:pPr>
  </w:style>
  <w:style w:type="paragraph" w:styleId="MacroText">
    <w:name w:val="macro"/>
    <w:link w:val="MacroTextChar"/>
    <w:uiPriority w:val="99"/>
    <w:semiHidden/>
    <w:unhideWhenUsed/>
    <w:rsid w:val="004D1BBB"/>
    <w:pPr>
      <w:tabs>
        <w:tab w:val="left" w:pos="480"/>
        <w:tab w:val="left" w:pos="960"/>
        <w:tab w:val="left" w:pos="1440"/>
        <w:tab w:val="left" w:pos="1920"/>
        <w:tab w:val="left" w:pos="2400"/>
        <w:tab w:val="left" w:pos="2880"/>
        <w:tab w:val="left" w:pos="3360"/>
        <w:tab w:val="left" w:pos="3840"/>
        <w:tab w:val="left" w:pos="4320"/>
      </w:tabs>
      <w:spacing w:before="200" w:after="0" w:line="30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4D1BBB"/>
    <w:rPr>
      <w:rFonts w:ascii="Consolas" w:hAnsi="Consolas"/>
      <w:sz w:val="20"/>
      <w:szCs w:val="20"/>
    </w:rPr>
  </w:style>
  <w:style w:type="paragraph" w:styleId="MessageHeader">
    <w:name w:val="Message Header"/>
    <w:basedOn w:val="Normal"/>
    <w:link w:val="MessageHeaderChar"/>
    <w:uiPriority w:val="99"/>
    <w:semiHidden/>
    <w:unhideWhenUsed/>
    <w:rsid w:val="004D1BB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D1BBB"/>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4D1BBB"/>
    <w:rPr>
      <w:rFonts w:ascii="Times New Roman" w:hAnsi="Times New Roman" w:cs="Times New Roman"/>
      <w:sz w:val="24"/>
      <w:szCs w:val="24"/>
    </w:rPr>
  </w:style>
  <w:style w:type="paragraph" w:styleId="NormalIndent">
    <w:name w:val="Normal Indent"/>
    <w:basedOn w:val="Normal"/>
    <w:uiPriority w:val="99"/>
    <w:semiHidden/>
    <w:unhideWhenUsed/>
    <w:rsid w:val="004D1BBB"/>
    <w:pPr>
      <w:ind w:left="720"/>
    </w:pPr>
  </w:style>
  <w:style w:type="paragraph" w:styleId="NoteHeading">
    <w:name w:val="Note Heading"/>
    <w:basedOn w:val="Normal"/>
    <w:next w:val="Normal"/>
    <w:link w:val="NoteHeadingChar"/>
    <w:uiPriority w:val="99"/>
    <w:semiHidden/>
    <w:unhideWhenUsed/>
    <w:rsid w:val="004D1BBB"/>
    <w:pPr>
      <w:spacing w:before="0" w:after="0" w:line="240" w:lineRule="auto"/>
    </w:pPr>
  </w:style>
  <w:style w:type="character" w:customStyle="1" w:styleId="NoteHeadingChar">
    <w:name w:val="Note Heading Char"/>
    <w:basedOn w:val="DefaultParagraphFont"/>
    <w:link w:val="NoteHeading"/>
    <w:uiPriority w:val="99"/>
    <w:semiHidden/>
    <w:rsid w:val="004D1BBB"/>
    <w:rPr>
      <w:sz w:val="20"/>
      <w:szCs w:val="20"/>
    </w:rPr>
  </w:style>
  <w:style w:type="paragraph" w:styleId="PlainText">
    <w:name w:val="Plain Text"/>
    <w:basedOn w:val="Normal"/>
    <w:link w:val="PlainTextChar"/>
    <w:uiPriority w:val="99"/>
    <w:semiHidden/>
    <w:unhideWhenUsed/>
    <w:rsid w:val="004D1BBB"/>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D1BBB"/>
    <w:rPr>
      <w:rFonts w:ascii="Consolas" w:hAnsi="Consolas"/>
      <w:sz w:val="21"/>
      <w:szCs w:val="21"/>
    </w:rPr>
  </w:style>
  <w:style w:type="paragraph" w:styleId="Salutation">
    <w:name w:val="Salutation"/>
    <w:basedOn w:val="Normal"/>
    <w:next w:val="Normal"/>
    <w:link w:val="SalutationChar"/>
    <w:uiPriority w:val="99"/>
    <w:semiHidden/>
    <w:unhideWhenUsed/>
    <w:rsid w:val="004D1BBB"/>
  </w:style>
  <w:style w:type="character" w:customStyle="1" w:styleId="SalutationChar">
    <w:name w:val="Salutation Char"/>
    <w:basedOn w:val="DefaultParagraphFont"/>
    <w:link w:val="Salutation"/>
    <w:uiPriority w:val="99"/>
    <w:semiHidden/>
    <w:rsid w:val="004D1BBB"/>
    <w:rPr>
      <w:sz w:val="20"/>
      <w:szCs w:val="20"/>
    </w:rPr>
  </w:style>
  <w:style w:type="paragraph" w:styleId="Signature">
    <w:name w:val="Signature"/>
    <w:basedOn w:val="Normal"/>
    <w:link w:val="SignatureChar"/>
    <w:uiPriority w:val="99"/>
    <w:semiHidden/>
    <w:unhideWhenUsed/>
    <w:rsid w:val="004D1BBB"/>
    <w:pPr>
      <w:spacing w:before="0" w:after="0" w:line="240" w:lineRule="auto"/>
      <w:ind w:left="4252"/>
    </w:pPr>
  </w:style>
  <w:style w:type="character" w:customStyle="1" w:styleId="SignatureChar">
    <w:name w:val="Signature Char"/>
    <w:basedOn w:val="DefaultParagraphFont"/>
    <w:link w:val="Signature"/>
    <w:uiPriority w:val="99"/>
    <w:semiHidden/>
    <w:rsid w:val="004D1BBB"/>
    <w:rPr>
      <w:sz w:val="20"/>
      <w:szCs w:val="20"/>
    </w:rPr>
  </w:style>
  <w:style w:type="paragraph" w:styleId="TableofAuthorities">
    <w:name w:val="table of authorities"/>
    <w:basedOn w:val="Normal"/>
    <w:next w:val="Normal"/>
    <w:uiPriority w:val="99"/>
    <w:semiHidden/>
    <w:unhideWhenUsed/>
    <w:rsid w:val="004D1BBB"/>
    <w:pPr>
      <w:spacing w:after="0"/>
      <w:ind w:left="200" w:hanging="200"/>
    </w:pPr>
  </w:style>
  <w:style w:type="paragraph" w:styleId="TOAHeading">
    <w:name w:val="toa heading"/>
    <w:basedOn w:val="Normal"/>
    <w:next w:val="Normal"/>
    <w:uiPriority w:val="99"/>
    <w:semiHidden/>
    <w:unhideWhenUsed/>
    <w:rsid w:val="004D1BB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4D1BBB"/>
    <w:pPr>
      <w:spacing w:after="100"/>
      <w:ind w:left="600"/>
    </w:pPr>
  </w:style>
  <w:style w:type="paragraph" w:styleId="TOC5">
    <w:name w:val="toc 5"/>
    <w:basedOn w:val="Normal"/>
    <w:next w:val="Normal"/>
    <w:autoRedefine/>
    <w:uiPriority w:val="39"/>
    <w:semiHidden/>
    <w:unhideWhenUsed/>
    <w:rsid w:val="004D1BBB"/>
    <w:pPr>
      <w:spacing w:after="100"/>
      <w:ind w:left="800"/>
    </w:pPr>
  </w:style>
  <w:style w:type="paragraph" w:styleId="TOC6">
    <w:name w:val="toc 6"/>
    <w:basedOn w:val="Normal"/>
    <w:next w:val="Normal"/>
    <w:autoRedefine/>
    <w:uiPriority w:val="39"/>
    <w:semiHidden/>
    <w:unhideWhenUsed/>
    <w:rsid w:val="004D1BBB"/>
    <w:pPr>
      <w:spacing w:after="100"/>
      <w:ind w:left="1000"/>
    </w:pPr>
  </w:style>
  <w:style w:type="paragraph" w:styleId="TOC7">
    <w:name w:val="toc 7"/>
    <w:basedOn w:val="Normal"/>
    <w:next w:val="Normal"/>
    <w:autoRedefine/>
    <w:uiPriority w:val="39"/>
    <w:semiHidden/>
    <w:unhideWhenUsed/>
    <w:rsid w:val="004D1BBB"/>
    <w:pPr>
      <w:spacing w:after="100"/>
      <w:ind w:left="1200"/>
    </w:pPr>
  </w:style>
  <w:style w:type="paragraph" w:styleId="TOC8">
    <w:name w:val="toc 8"/>
    <w:basedOn w:val="Normal"/>
    <w:next w:val="Normal"/>
    <w:autoRedefine/>
    <w:uiPriority w:val="39"/>
    <w:semiHidden/>
    <w:unhideWhenUsed/>
    <w:rsid w:val="004D1BBB"/>
    <w:pPr>
      <w:spacing w:after="100"/>
      <w:ind w:left="1400"/>
    </w:pPr>
  </w:style>
  <w:style w:type="paragraph" w:styleId="TOC9">
    <w:name w:val="toc 9"/>
    <w:basedOn w:val="Normal"/>
    <w:next w:val="Normal"/>
    <w:autoRedefine/>
    <w:uiPriority w:val="39"/>
    <w:semiHidden/>
    <w:unhideWhenUsed/>
    <w:rsid w:val="004D1BBB"/>
    <w:pPr>
      <w:spacing w:after="100"/>
      <w:ind w:left="1600"/>
    </w:pPr>
  </w:style>
  <w:style w:type="character" w:styleId="FootnoteReference">
    <w:name w:val="footnote reference"/>
    <w:basedOn w:val="DefaultParagraphFont"/>
    <w:uiPriority w:val="99"/>
    <w:semiHidden/>
    <w:unhideWhenUsed/>
    <w:rsid w:val="00F357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00677">
      <w:bodyDiv w:val="1"/>
      <w:marLeft w:val="0"/>
      <w:marRight w:val="0"/>
      <w:marTop w:val="0"/>
      <w:marBottom w:val="0"/>
      <w:divBdr>
        <w:top w:val="none" w:sz="0" w:space="0" w:color="auto"/>
        <w:left w:val="none" w:sz="0" w:space="0" w:color="auto"/>
        <w:bottom w:val="none" w:sz="0" w:space="0" w:color="auto"/>
        <w:right w:val="none" w:sz="0" w:space="0" w:color="auto"/>
      </w:divBdr>
    </w:div>
    <w:div w:id="43599789">
      <w:bodyDiv w:val="1"/>
      <w:marLeft w:val="0"/>
      <w:marRight w:val="0"/>
      <w:marTop w:val="0"/>
      <w:marBottom w:val="0"/>
      <w:divBdr>
        <w:top w:val="none" w:sz="0" w:space="0" w:color="auto"/>
        <w:left w:val="none" w:sz="0" w:space="0" w:color="auto"/>
        <w:bottom w:val="none" w:sz="0" w:space="0" w:color="auto"/>
        <w:right w:val="none" w:sz="0" w:space="0" w:color="auto"/>
      </w:divBdr>
    </w:div>
    <w:div w:id="51198378">
      <w:bodyDiv w:val="1"/>
      <w:marLeft w:val="0"/>
      <w:marRight w:val="0"/>
      <w:marTop w:val="0"/>
      <w:marBottom w:val="0"/>
      <w:divBdr>
        <w:top w:val="none" w:sz="0" w:space="0" w:color="auto"/>
        <w:left w:val="none" w:sz="0" w:space="0" w:color="auto"/>
        <w:bottom w:val="none" w:sz="0" w:space="0" w:color="auto"/>
        <w:right w:val="none" w:sz="0" w:space="0" w:color="auto"/>
      </w:divBdr>
    </w:div>
    <w:div w:id="159397217">
      <w:bodyDiv w:val="1"/>
      <w:marLeft w:val="0"/>
      <w:marRight w:val="0"/>
      <w:marTop w:val="0"/>
      <w:marBottom w:val="0"/>
      <w:divBdr>
        <w:top w:val="none" w:sz="0" w:space="0" w:color="auto"/>
        <w:left w:val="none" w:sz="0" w:space="0" w:color="auto"/>
        <w:bottom w:val="none" w:sz="0" w:space="0" w:color="auto"/>
        <w:right w:val="none" w:sz="0" w:space="0" w:color="auto"/>
      </w:divBdr>
    </w:div>
    <w:div w:id="256523321">
      <w:bodyDiv w:val="1"/>
      <w:marLeft w:val="0"/>
      <w:marRight w:val="0"/>
      <w:marTop w:val="0"/>
      <w:marBottom w:val="0"/>
      <w:divBdr>
        <w:top w:val="none" w:sz="0" w:space="0" w:color="auto"/>
        <w:left w:val="none" w:sz="0" w:space="0" w:color="auto"/>
        <w:bottom w:val="none" w:sz="0" w:space="0" w:color="auto"/>
        <w:right w:val="none" w:sz="0" w:space="0" w:color="auto"/>
      </w:divBdr>
    </w:div>
    <w:div w:id="276761597">
      <w:bodyDiv w:val="1"/>
      <w:marLeft w:val="0"/>
      <w:marRight w:val="0"/>
      <w:marTop w:val="0"/>
      <w:marBottom w:val="0"/>
      <w:divBdr>
        <w:top w:val="none" w:sz="0" w:space="0" w:color="auto"/>
        <w:left w:val="none" w:sz="0" w:space="0" w:color="auto"/>
        <w:bottom w:val="none" w:sz="0" w:space="0" w:color="auto"/>
        <w:right w:val="none" w:sz="0" w:space="0" w:color="auto"/>
      </w:divBdr>
    </w:div>
    <w:div w:id="441531054">
      <w:bodyDiv w:val="1"/>
      <w:marLeft w:val="0"/>
      <w:marRight w:val="0"/>
      <w:marTop w:val="0"/>
      <w:marBottom w:val="0"/>
      <w:divBdr>
        <w:top w:val="none" w:sz="0" w:space="0" w:color="auto"/>
        <w:left w:val="none" w:sz="0" w:space="0" w:color="auto"/>
        <w:bottom w:val="none" w:sz="0" w:space="0" w:color="auto"/>
        <w:right w:val="none" w:sz="0" w:space="0" w:color="auto"/>
      </w:divBdr>
    </w:div>
    <w:div w:id="456222538">
      <w:bodyDiv w:val="1"/>
      <w:marLeft w:val="0"/>
      <w:marRight w:val="0"/>
      <w:marTop w:val="0"/>
      <w:marBottom w:val="0"/>
      <w:divBdr>
        <w:top w:val="none" w:sz="0" w:space="0" w:color="auto"/>
        <w:left w:val="none" w:sz="0" w:space="0" w:color="auto"/>
        <w:bottom w:val="none" w:sz="0" w:space="0" w:color="auto"/>
        <w:right w:val="none" w:sz="0" w:space="0" w:color="auto"/>
      </w:divBdr>
    </w:div>
    <w:div w:id="520552959">
      <w:bodyDiv w:val="1"/>
      <w:marLeft w:val="0"/>
      <w:marRight w:val="0"/>
      <w:marTop w:val="0"/>
      <w:marBottom w:val="0"/>
      <w:divBdr>
        <w:top w:val="none" w:sz="0" w:space="0" w:color="auto"/>
        <w:left w:val="none" w:sz="0" w:space="0" w:color="auto"/>
        <w:bottom w:val="none" w:sz="0" w:space="0" w:color="auto"/>
        <w:right w:val="none" w:sz="0" w:space="0" w:color="auto"/>
      </w:divBdr>
    </w:div>
    <w:div w:id="751777529">
      <w:bodyDiv w:val="1"/>
      <w:marLeft w:val="0"/>
      <w:marRight w:val="0"/>
      <w:marTop w:val="0"/>
      <w:marBottom w:val="0"/>
      <w:divBdr>
        <w:top w:val="none" w:sz="0" w:space="0" w:color="auto"/>
        <w:left w:val="none" w:sz="0" w:space="0" w:color="auto"/>
        <w:bottom w:val="none" w:sz="0" w:space="0" w:color="auto"/>
        <w:right w:val="none" w:sz="0" w:space="0" w:color="auto"/>
      </w:divBdr>
    </w:div>
    <w:div w:id="863713297">
      <w:bodyDiv w:val="1"/>
      <w:marLeft w:val="0"/>
      <w:marRight w:val="0"/>
      <w:marTop w:val="0"/>
      <w:marBottom w:val="0"/>
      <w:divBdr>
        <w:top w:val="none" w:sz="0" w:space="0" w:color="auto"/>
        <w:left w:val="none" w:sz="0" w:space="0" w:color="auto"/>
        <w:bottom w:val="none" w:sz="0" w:space="0" w:color="auto"/>
        <w:right w:val="none" w:sz="0" w:space="0" w:color="auto"/>
      </w:divBdr>
    </w:div>
    <w:div w:id="877081653">
      <w:bodyDiv w:val="1"/>
      <w:marLeft w:val="0"/>
      <w:marRight w:val="0"/>
      <w:marTop w:val="0"/>
      <w:marBottom w:val="0"/>
      <w:divBdr>
        <w:top w:val="none" w:sz="0" w:space="0" w:color="auto"/>
        <w:left w:val="none" w:sz="0" w:space="0" w:color="auto"/>
        <w:bottom w:val="none" w:sz="0" w:space="0" w:color="auto"/>
        <w:right w:val="none" w:sz="0" w:space="0" w:color="auto"/>
      </w:divBdr>
    </w:div>
    <w:div w:id="1044983184">
      <w:bodyDiv w:val="1"/>
      <w:marLeft w:val="0"/>
      <w:marRight w:val="0"/>
      <w:marTop w:val="0"/>
      <w:marBottom w:val="0"/>
      <w:divBdr>
        <w:top w:val="none" w:sz="0" w:space="0" w:color="auto"/>
        <w:left w:val="none" w:sz="0" w:space="0" w:color="auto"/>
        <w:bottom w:val="none" w:sz="0" w:space="0" w:color="auto"/>
        <w:right w:val="none" w:sz="0" w:space="0" w:color="auto"/>
      </w:divBdr>
    </w:div>
    <w:div w:id="1111045357">
      <w:bodyDiv w:val="1"/>
      <w:marLeft w:val="0"/>
      <w:marRight w:val="0"/>
      <w:marTop w:val="0"/>
      <w:marBottom w:val="0"/>
      <w:divBdr>
        <w:top w:val="none" w:sz="0" w:space="0" w:color="auto"/>
        <w:left w:val="none" w:sz="0" w:space="0" w:color="auto"/>
        <w:bottom w:val="none" w:sz="0" w:space="0" w:color="auto"/>
        <w:right w:val="none" w:sz="0" w:space="0" w:color="auto"/>
      </w:divBdr>
    </w:div>
    <w:div w:id="1185099634">
      <w:bodyDiv w:val="1"/>
      <w:marLeft w:val="0"/>
      <w:marRight w:val="0"/>
      <w:marTop w:val="0"/>
      <w:marBottom w:val="0"/>
      <w:divBdr>
        <w:top w:val="none" w:sz="0" w:space="0" w:color="auto"/>
        <w:left w:val="none" w:sz="0" w:space="0" w:color="auto"/>
        <w:bottom w:val="none" w:sz="0" w:space="0" w:color="auto"/>
        <w:right w:val="none" w:sz="0" w:space="0" w:color="auto"/>
      </w:divBdr>
    </w:div>
    <w:div w:id="1233853611">
      <w:bodyDiv w:val="1"/>
      <w:marLeft w:val="0"/>
      <w:marRight w:val="0"/>
      <w:marTop w:val="0"/>
      <w:marBottom w:val="0"/>
      <w:divBdr>
        <w:top w:val="none" w:sz="0" w:space="0" w:color="auto"/>
        <w:left w:val="none" w:sz="0" w:space="0" w:color="auto"/>
        <w:bottom w:val="none" w:sz="0" w:space="0" w:color="auto"/>
        <w:right w:val="none" w:sz="0" w:space="0" w:color="auto"/>
      </w:divBdr>
    </w:div>
    <w:div w:id="1327129485">
      <w:bodyDiv w:val="1"/>
      <w:marLeft w:val="0"/>
      <w:marRight w:val="0"/>
      <w:marTop w:val="0"/>
      <w:marBottom w:val="0"/>
      <w:divBdr>
        <w:top w:val="none" w:sz="0" w:space="0" w:color="auto"/>
        <w:left w:val="none" w:sz="0" w:space="0" w:color="auto"/>
        <w:bottom w:val="none" w:sz="0" w:space="0" w:color="auto"/>
        <w:right w:val="none" w:sz="0" w:space="0" w:color="auto"/>
      </w:divBdr>
    </w:div>
    <w:div w:id="1368288870">
      <w:bodyDiv w:val="1"/>
      <w:marLeft w:val="0"/>
      <w:marRight w:val="0"/>
      <w:marTop w:val="0"/>
      <w:marBottom w:val="0"/>
      <w:divBdr>
        <w:top w:val="none" w:sz="0" w:space="0" w:color="auto"/>
        <w:left w:val="none" w:sz="0" w:space="0" w:color="auto"/>
        <w:bottom w:val="none" w:sz="0" w:space="0" w:color="auto"/>
        <w:right w:val="none" w:sz="0" w:space="0" w:color="auto"/>
      </w:divBdr>
    </w:div>
    <w:div w:id="1439258360">
      <w:bodyDiv w:val="1"/>
      <w:marLeft w:val="0"/>
      <w:marRight w:val="0"/>
      <w:marTop w:val="0"/>
      <w:marBottom w:val="0"/>
      <w:divBdr>
        <w:top w:val="none" w:sz="0" w:space="0" w:color="auto"/>
        <w:left w:val="none" w:sz="0" w:space="0" w:color="auto"/>
        <w:bottom w:val="none" w:sz="0" w:space="0" w:color="auto"/>
        <w:right w:val="none" w:sz="0" w:space="0" w:color="auto"/>
      </w:divBdr>
    </w:div>
    <w:div w:id="1449544369">
      <w:bodyDiv w:val="1"/>
      <w:marLeft w:val="0"/>
      <w:marRight w:val="0"/>
      <w:marTop w:val="0"/>
      <w:marBottom w:val="0"/>
      <w:divBdr>
        <w:top w:val="none" w:sz="0" w:space="0" w:color="auto"/>
        <w:left w:val="none" w:sz="0" w:space="0" w:color="auto"/>
        <w:bottom w:val="none" w:sz="0" w:space="0" w:color="auto"/>
        <w:right w:val="none" w:sz="0" w:space="0" w:color="auto"/>
      </w:divBdr>
    </w:div>
    <w:div w:id="1612859709">
      <w:bodyDiv w:val="1"/>
      <w:marLeft w:val="0"/>
      <w:marRight w:val="0"/>
      <w:marTop w:val="0"/>
      <w:marBottom w:val="0"/>
      <w:divBdr>
        <w:top w:val="none" w:sz="0" w:space="0" w:color="auto"/>
        <w:left w:val="none" w:sz="0" w:space="0" w:color="auto"/>
        <w:bottom w:val="none" w:sz="0" w:space="0" w:color="auto"/>
        <w:right w:val="none" w:sz="0" w:space="0" w:color="auto"/>
      </w:divBdr>
    </w:div>
    <w:div w:id="1778600381">
      <w:bodyDiv w:val="1"/>
      <w:marLeft w:val="0"/>
      <w:marRight w:val="0"/>
      <w:marTop w:val="0"/>
      <w:marBottom w:val="0"/>
      <w:divBdr>
        <w:top w:val="none" w:sz="0" w:space="0" w:color="auto"/>
        <w:left w:val="none" w:sz="0" w:space="0" w:color="auto"/>
        <w:bottom w:val="none" w:sz="0" w:space="0" w:color="auto"/>
        <w:right w:val="none" w:sz="0" w:space="0" w:color="auto"/>
      </w:divBdr>
    </w:div>
    <w:div w:id="1781802130">
      <w:bodyDiv w:val="1"/>
      <w:marLeft w:val="0"/>
      <w:marRight w:val="0"/>
      <w:marTop w:val="0"/>
      <w:marBottom w:val="0"/>
      <w:divBdr>
        <w:top w:val="none" w:sz="0" w:space="0" w:color="auto"/>
        <w:left w:val="none" w:sz="0" w:space="0" w:color="auto"/>
        <w:bottom w:val="none" w:sz="0" w:space="0" w:color="auto"/>
        <w:right w:val="none" w:sz="0" w:space="0" w:color="auto"/>
      </w:divBdr>
    </w:div>
    <w:div w:id="1816407669">
      <w:bodyDiv w:val="1"/>
      <w:marLeft w:val="0"/>
      <w:marRight w:val="0"/>
      <w:marTop w:val="0"/>
      <w:marBottom w:val="0"/>
      <w:divBdr>
        <w:top w:val="none" w:sz="0" w:space="0" w:color="auto"/>
        <w:left w:val="none" w:sz="0" w:space="0" w:color="auto"/>
        <w:bottom w:val="none" w:sz="0" w:space="0" w:color="auto"/>
        <w:right w:val="none" w:sz="0" w:space="0" w:color="auto"/>
      </w:divBdr>
    </w:div>
    <w:div w:id="1986934794">
      <w:bodyDiv w:val="1"/>
      <w:marLeft w:val="0"/>
      <w:marRight w:val="0"/>
      <w:marTop w:val="0"/>
      <w:marBottom w:val="0"/>
      <w:divBdr>
        <w:top w:val="none" w:sz="0" w:space="0" w:color="auto"/>
        <w:left w:val="none" w:sz="0" w:space="0" w:color="auto"/>
        <w:bottom w:val="none" w:sz="0" w:space="0" w:color="auto"/>
        <w:right w:val="none" w:sz="0" w:space="0" w:color="auto"/>
      </w:divBdr>
    </w:div>
    <w:div w:id="201132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hyperlink" Target="https://business.gov.au/grants-and-programs/venture-capital-limited-partnerships"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hyperlink" Target="https://business.gov.au/grants-and-programs/research-and-development-tax-incentiv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csiro.au/en/maps/hydrogen-projects/" TargetMode="External"/><Relationship Id="rId35" Type="http://schemas.openxmlformats.org/officeDocument/2006/relationships/hyperlink" Target="https://register.business.gov.au/"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reasury.gov.au/tax-treaties/income-tax-treatie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hyperlink" Target="https://business.gov.au/grants-and-programs/research-and-development-tax-incentive"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emf"/><Relationship Id="rId39"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Nation%20Brand\Australia's%20Nation%20Brand%20-%20Front%20Cover.dotx" TargetMode="External"/></Relationships>
</file>

<file path=word/theme/theme1.xml><?xml version="1.0" encoding="utf-8"?>
<a:theme xmlns:a="http://schemas.openxmlformats.org/drawingml/2006/main" name="Office Theme">
  <a:themeElements>
    <a:clrScheme name="Nation Brand 2022">
      <a:dk1>
        <a:srgbClr val="000000"/>
      </a:dk1>
      <a:lt1>
        <a:srgbClr val="FFFFFF"/>
      </a:lt1>
      <a:dk2>
        <a:srgbClr val="000000"/>
      </a:dk2>
      <a:lt2>
        <a:srgbClr val="FFFFFF"/>
      </a:lt2>
      <a:accent1>
        <a:srgbClr val="173F34"/>
      </a:accent1>
      <a:accent2>
        <a:srgbClr val="00BA6C"/>
      </a:accent2>
      <a:accent3>
        <a:srgbClr val="00694B"/>
      </a:accent3>
      <a:accent4>
        <a:srgbClr val="CEB888"/>
      </a:accent4>
      <a:accent5>
        <a:srgbClr val="DEAC2C"/>
      </a:accent5>
      <a:accent6>
        <a:srgbClr val="F2F0E6"/>
      </a:accent6>
      <a:hlink>
        <a:srgbClr val="0563C1"/>
      </a:hlink>
      <a:folHlink>
        <a:srgbClr val="954F72"/>
      </a:folHlink>
    </a:clrScheme>
    <a:fontScheme name="Nation Brand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366a875-e77d-4c1e-a429-d527fe3574f8" xsi:nil="true"/>
    <lcf76f155ced4ddcb4097134ff3c332f xmlns="d95e12a1-94ea-4b71-ac97-420419a3027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D813DAB6534304797DEF4E972DCD22C" ma:contentTypeVersion="21" ma:contentTypeDescription="Create a new document." ma:contentTypeScope="" ma:versionID="dacf2c3c4c9002ccf02b956dd42ee19d">
  <xsd:schema xmlns:xsd="http://www.w3.org/2001/XMLSchema" xmlns:xs="http://www.w3.org/2001/XMLSchema" xmlns:p="http://schemas.microsoft.com/office/2006/metadata/properties" xmlns:ns1="http://schemas.microsoft.com/sharepoint/v3" xmlns:ns2="d95e12a1-94ea-4b71-ac97-420419a30272" xmlns:ns3="1366a875-e77d-4c1e-a429-d527fe3574f8" targetNamespace="http://schemas.microsoft.com/office/2006/metadata/properties" ma:root="true" ma:fieldsID="6d80a01d75a9dd10a28cc49e9a361138" ns1:_="" ns2:_="" ns3:_="">
    <xsd:import namespace="http://schemas.microsoft.com/sharepoint/v3"/>
    <xsd:import namespace="d95e12a1-94ea-4b71-ac97-420419a30272"/>
    <xsd:import namespace="1366a875-e77d-4c1e-a429-d527fe3574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5e12a1-94ea-4b71-ac97-420419a30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66a875-e77d-4c1e-a429-d527fe3574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9a805-241f-4279-979a-541e88cdfe87}" ma:internalName="TaxCatchAll" ma:showField="CatchAllData" ma:web="1366a875-e77d-4c1e-a429-d527fe3574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827510-A11C-47A3-8343-9D6253114FE2}">
  <ds:schemaRefs>
    <ds:schemaRef ds:uri="http://schemas.openxmlformats.org/officeDocument/2006/bibliography"/>
  </ds:schemaRefs>
</ds:datastoreItem>
</file>

<file path=customXml/itemProps2.xml><?xml version="1.0" encoding="utf-8"?>
<ds:datastoreItem xmlns:ds="http://schemas.openxmlformats.org/officeDocument/2006/customXml" ds:itemID="{00827DE0-4C9B-4ABD-A55D-46B93EE9617E}">
  <ds:schemaRefs>
    <ds:schemaRef ds:uri="http://schemas.microsoft.com/office/2006/metadata/properties"/>
    <ds:schemaRef ds:uri="http://schemas.microsoft.com/office/infopath/2007/PartnerControls"/>
    <ds:schemaRef ds:uri="http://schemas.microsoft.com/sharepoint/v3"/>
    <ds:schemaRef ds:uri="1366a875-e77d-4c1e-a429-d527fe3574f8"/>
    <ds:schemaRef ds:uri="d95e12a1-94ea-4b71-ac97-420419a30272"/>
  </ds:schemaRefs>
</ds:datastoreItem>
</file>

<file path=customXml/itemProps3.xml><?xml version="1.0" encoding="utf-8"?>
<ds:datastoreItem xmlns:ds="http://schemas.openxmlformats.org/officeDocument/2006/customXml" ds:itemID="{1EC4CDCB-2140-482B-807B-334C276F9E51}">
  <ds:schemaRefs>
    <ds:schemaRef ds:uri="http://schemas.microsoft.com/sharepoint/v3/contenttype/forms"/>
  </ds:schemaRefs>
</ds:datastoreItem>
</file>

<file path=customXml/itemProps4.xml><?xml version="1.0" encoding="utf-8"?>
<ds:datastoreItem xmlns:ds="http://schemas.openxmlformats.org/officeDocument/2006/customXml" ds:itemID="{AF485B05-40B4-4C2F-A30D-44B1D158A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5e12a1-94ea-4b71-ac97-420419a30272"/>
    <ds:schemaRef ds:uri="1366a875-e77d-4c1e-a429-d527fe357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Australia's Nation Brand - Front Cover.dotx</Template>
  <TotalTime>148</TotalTime>
  <Pages>55</Pages>
  <Words>11397</Words>
  <Characters>64967</Characters>
  <Application>Microsoft Office Word</Application>
  <DocSecurity>8</DocSecurity>
  <Lines>541</Lines>
  <Paragraphs>152</Paragraphs>
  <ScaleCrop>false</ScaleCrop>
  <HeadingPairs>
    <vt:vector size="2" baseType="variant">
      <vt:variant>
        <vt:lpstr>Title</vt:lpstr>
      </vt:variant>
      <vt:variant>
        <vt:i4>1</vt:i4>
      </vt:variant>
    </vt:vector>
  </HeadingPairs>
  <TitlesOfParts>
    <vt:vector size="1" baseType="lpstr">
      <vt:lpstr>Australia's Nation Brand - Front cover template</vt:lpstr>
    </vt:vector>
  </TitlesOfParts>
  <Company>Australian Trade and Investment Commission</Company>
  <LinksUpToDate>false</LinksUpToDate>
  <CharactersWithSpaces>76212</CharactersWithSpaces>
  <SharedDoc>false</SharedDoc>
  <HLinks>
    <vt:vector size="618" baseType="variant">
      <vt:variant>
        <vt:i4>851991</vt:i4>
      </vt:variant>
      <vt:variant>
        <vt:i4>657</vt:i4>
      </vt:variant>
      <vt:variant>
        <vt:i4>0</vt:i4>
      </vt:variant>
      <vt:variant>
        <vt:i4>5</vt:i4>
      </vt:variant>
      <vt:variant>
        <vt:lpwstr>https://register.business.gov.au/</vt:lpwstr>
      </vt:variant>
      <vt:variant>
        <vt:lpwstr/>
      </vt:variant>
      <vt:variant>
        <vt:i4>5898329</vt:i4>
      </vt:variant>
      <vt:variant>
        <vt:i4>648</vt:i4>
      </vt:variant>
      <vt:variant>
        <vt:i4>0</vt:i4>
      </vt:variant>
      <vt:variant>
        <vt:i4>5</vt:i4>
      </vt:variant>
      <vt:variant>
        <vt:lpwstr>https://business.gov.au/grants-and-programs/venture-capital-limited-partnerships</vt:lpwstr>
      </vt:variant>
      <vt:variant>
        <vt:lpwstr/>
      </vt:variant>
      <vt:variant>
        <vt:i4>6619172</vt:i4>
      </vt:variant>
      <vt:variant>
        <vt:i4>645</vt:i4>
      </vt:variant>
      <vt:variant>
        <vt:i4>0</vt:i4>
      </vt:variant>
      <vt:variant>
        <vt:i4>5</vt:i4>
      </vt:variant>
      <vt:variant>
        <vt:lpwstr>https://business.gov.au/grants-and-programs/research-and-development-tax-incentive</vt:lpwstr>
      </vt:variant>
      <vt:variant>
        <vt:lpwstr/>
      </vt:variant>
      <vt:variant>
        <vt:i4>6881339</vt:i4>
      </vt:variant>
      <vt:variant>
        <vt:i4>642</vt:i4>
      </vt:variant>
      <vt:variant>
        <vt:i4>0</vt:i4>
      </vt:variant>
      <vt:variant>
        <vt:i4>5</vt:i4>
      </vt:variant>
      <vt:variant>
        <vt:lpwstr>https://www.csiro.au/en/maps/hydrogen-projects/</vt:lpwstr>
      </vt:variant>
      <vt:variant>
        <vt:lpwstr/>
      </vt:variant>
      <vt:variant>
        <vt:i4>1769473</vt:i4>
      </vt:variant>
      <vt:variant>
        <vt:i4>597</vt:i4>
      </vt:variant>
      <vt:variant>
        <vt:i4>0</vt:i4>
      </vt:variant>
      <vt:variant>
        <vt:i4>5</vt:i4>
      </vt:variant>
      <vt:variant>
        <vt:lpwstr>https://treasury.gov.au/tax-treaties/income-tax-treaties</vt:lpwstr>
      </vt:variant>
      <vt:variant>
        <vt:lpwstr/>
      </vt:variant>
      <vt:variant>
        <vt:i4>6619172</vt:i4>
      </vt:variant>
      <vt:variant>
        <vt:i4>594</vt:i4>
      </vt:variant>
      <vt:variant>
        <vt:i4>0</vt:i4>
      </vt:variant>
      <vt:variant>
        <vt:i4>5</vt:i4>
      </vt:variant>
      <vt:variant>
        <vt:lpwstr>https://business.gov.au/grants-and-programs/research-and-development-tax-incentive</vt:lpwstr>
      </vt:variant>
      <vt:variant>
        <vt:lpwstr/>
      </vt:variant>
      <vt:variant>
        <vt:i4>1835059</vt:i4>
      </vt:variant>
      <vt:variant>
        <vt:i4>581</vt:i4>
      </vt:variant>
      <vt:variant>
        <vt:i4>0</vt:i4>
      </vt:variant>
      <vt:variant>
        <vt:i4>5</vt:i4>
      </vt:variant>
      <vt:variant>
        <vt:lpwstr/>
      </vt:variant>
      <vt:variant>
        <vt:lpwstr>_Toc171500399</vt:lpwstr>
      </vt:variant>
      <vt:variant>
        <vt:i4>1835059</vt:i4>
      </vt:variant>
      <vt:variant>
        <vt:i4>575</vt:i4>
      </vt:variant>
      <vt:variant>
        <vt:i4>0</vt:i4>
      </vt:variant>
      <vt:variant>
        <vt:i4>5</vt:i4>
      </vt:variant>
      <vt:variant>
        <vt:lpwstr/>
      </vt:variant>
      <vt:variant>
        <vt:lpwstr>_Toc171500398</vt:lpwstr>
      </vt:variant>
      <vt:variant>
        <vt:i4>1835059</vt:i4>
      </vt:variant>
      <vt:variant>
        <vt:i4>569</vt:i4>
      </vt:variant>
      <vt:variant>
        <vt:i4>0</vt:i4>
      </vt:variant>
      <vt:variant>
        <vt:i4>5</vt:i4>
      </vt:variant>
      <vt:variant>
        <vt:lpwstr/>
      </vt:variant>
      <vt:variant>
        <vt:lpwstr>_Toc171500397</vt:lpwstr>
      </vt:variant>
      <vt:variant>
        <vt:i4>1835059</vt:i4>
      </vt:variant>
      <vt:variant>
        <vt:i4>563</vt:i4>
      </vt:variant>
      <vt:variant>
        <vt:i4>0</vt:i4>
      </vt:variant>
      <vt:variant>
        <vt:i4>5</vt:i4>
      </vt:variant>
      <vt:variant>
        <vt:lpwstr/>
      </vt:variant>
      <vt:variant>
        <vt:lpwstr>_Toc171500396</vt:lpwstr>
      </vt:variant>
      <vt:variant>
        <vt:i4>1835059</vt:i4>
      </vt:variant>
      <vt:variant>
        <vt:i4>557</vt:i4>
      </vt:variant>
      <vt:variant>
        <vt:i4>0</vt:i4>
      </vt:variant>
      <vt:variant>
        <vt:i4>5</vt:i4>
      </vt:variant>
      <vt:variant>
        <vt:lpwstr/>
      </vt:variant>
      <vt:variant>
        <vt:lpwstr>_Toc171500395</vt:lpwstr>
      </vt:variant>
      <vt:variant>
        <vt:i4>1835059</vt:i4>
      </vt:variant>
      <vt:variant>
        <vt:i4>551</vt:i4>
      </vt:variant>
      <vt:variant>
        <vt:i4>0</vt:i4>
      </vt:variant>
      <vt:variant>
        <vt:i4>5</vt:i4>
      </vt:variant>
      <vt:variant>
        <vt:lpwstr/>
      </vt:variant>
      <vt:variant>
        <vt:lpwstr>_Toc171500394</vt:lpwstr>
      </vt:variant>
      <vt:variant>
        <vt:i4>1835059</vt:i4>
      </vt:variant>
      <vt:variant>
        <vt:i4>545</vt:i4>
      </vt:variant>
      <vt:variant>
        <vt:i4>0</vt:i4>
      </vt:variant>
      <vt:variant>
        <vt:i4>5</vt:i4>
      </vt:variant>
      <vt:variant>
        <vt:lpwstr/>
      </vt:variant>
      <vt:variant>
        <vt:lpwstr>_Toc171500393</vt:lpwstr>
      </vt:variant>
      <vt:variant>
        <vt:i4>1835059</vt:i4>
      </vt:variant>
      <vt:variant>
        <vt:i4>539</vt:i4>
      </vt:variant>
      <vt:variant>
        <vt:i4>0</vt:i4>
      </vt:variant>
      <vt:variant>
        <vt:i4>5</vt:i4>
      </vt:variant>
      <vt:variant>
        <vt:lpwstr/>
      </vt:variant>
      <vt:variant>
        <vt:lpwstr>_Toc171500392</vt:lpwstr>
      </vt:variant>
      <vt:variant>
        <vt:i4>1835059</vt:i4>
      </vt:variant>
      <vt:variant>
        <vt:i4>533</vt:i4>
      </vt:variant>
      <vt:variant>
        <vt:i4>0</vt:i4>
      </vt:variant>
      <vt:variant>
        <vt:i4>5</vt:i4>
      </vt:variant>
      <vt:variant>
        <vt:lpwstr/>
      </vt:variant>
      <vt:variant>
        <vt:lpwstr>_Toc171500391</vt:lpwstr>
      </vt:variant>
      <vt:variant>
        <vt:i4>1835059</vt:i4>
      </vt:variant>
      <vt:variant>
        <vt:i4>527</vt:i4>
      </vt:variant>
      <vt:variant>
        <vt:i4>0</vt:i4>
      </vt:variant>
      <vt:variant>
        <vt:i4>5</vt:i4>
      </vt:variant>
      <vt:variant>
        <vt:lpwstr/>
      </vt:variant>
      <vt:variant>
        <vt:lpwstr>_Toc171500390</vt:lpwstr>
      </vt:variant>
      <vt:variant>
        <vt:i4>1900595</vt:i4>
      </vt:variant>
      <vt:variant>
        <vt:i4>521</vt:i4>
      </vt:variant>
      <vt:variant>
        <vt:i4>0</vt:i4>
      </vt:variant>
      <vt:variant>
        <vt:i4>5</vt:i4>
      </vt:variant>
      <vt:variant>
        <vt:lpwstr/>
      </vt:variant>
      <vt:variant>
        <vt:lpwstr>_Toc171500389</vt:lpwstr>
      </vt:variant>
      <vt:variant>
        <vt:i4>1900595</vt:i4>
      </vt:variant>
      <vt:variant>
        <vt:i4>515</vt:i4>
      </vt:variant>
      <vt:variant>
        <vt:i4>0</vt:i4>
      </vt:variant>
      <vt:variant>
        <vt:i4>5</vt:i4>
      </vt:variant>
      <vt:variant>
        <vt:lpwstr/>
      </vt:variant>
      <vt:variant>
        <vt:lpwstr>_Toc171500388</vt:lpwstr>
      </vt:variant>
      <vt:variant>
        <vt:i4>1900595</vt:i4>
      </vt:variant>
      <vt:variant>
        <vt:i4>509</vt:i4>
      </vt:variant>
      <vt:variant>
        <vt:i4>0</vt:i4>
      </vt:variant>
      <vt:variant>
        <vt:i4>5</vt:i4>
      </vt:variant>
      <vt:variant>
        <vt:lpwstr/>
      </vt:variant>
      <vt:variant>
        <vt:lpwstr>_Toc171500387</vt:lpwstr>
      </vt:variant>
      <vt:variant>
        <vt:i4>1900595</vt:i4>
      </vt:variant>
      <vt:variant>
        <vt:i4>503</vt:i4>
      </vt:variant>
      <vt:variant>
        <vt:i4>0</vt:i4>
      </vt:variant>
      <vt:variant>
        <vt:i4>5</vt:i4>
      </vt:variant>
      <vt:variant>
        <vt:lpwstr/>
      </vt:variant>
      <vt:variant>
        <vt:lpwstr>_Toc171500386</vt:lpwstr>
      </vt:variant>
      <vt:variant>
        <vt:i4>1900595</vt:i4>
      </vt:variant>
      <vt:variant>
        <vt:i4>497</vt:i4>
      </vt:variant>
      <vt:variant>
        <vt:i4>0</vt:i4>
      </vt:variant>
      <vt:variant>
        <vt:i4>5</vt:i4>
      </vt:variant>
      <vt:variant>
        <vt:lpwstr/>
      </vt:variant>
      <vt:variant>
        <vt:lpwstr>_Toc171500385</vt:lpwstr>
      </vt:variant>
      <vt:variant>
        <vt:i4>1900595</vt:i4>
      </vt:variant>
      <vt:variant>
        <vt:i4>491</vt:i4>
      </vt:variant>
      <vt:variant>
        <vt:i4>0</vt:i4>
      </vt:variant>
      <vt:variant>
        <vt:i4>5</vt:i4>
      </vt:variant>
      <vt:variant>
        <vt:lpwstr/>
      </vt:variant>
      <vt:variant>
        <vt:lpwstr>_Toc171500384</vt:lpwstr>
      </vt:variant>
      <vt:variant>
        <vt:i4>1900595</vt:i4>
      </vt:variant>
      <vt:variant>
        <vt:i4>485</vt:i4>
      </vt:variant>
      <vt:variant>
        <vt:i4>0</vt:i4>
      </vt:variant>
      <vt:variant>
        <vt:i4>5</vt:i4>
      </vt:variant>
      <vt:variant>
        <vt:lpwstr/>
      </vt:variant>
      <vt:variant>
        <vt:lpwstr>_Toc171500383</vt:lpwstr>
      </vt:variant>
      <vt:variant>
        <vt:i4>1900595</vt:i4>
      </vt:variant>
      <vt:variant>
        <vt:i4>479</vt:i4>
      </vt:variant>
      <vt:variant>
        <vt:i4>0</vt:i4>
      </vt:variant>
      <vt:variant>
        <vt:i4>5</vt:i4>
      </vt:variant>
      <vt:variant>
        <vt:lpwstr/>
      </vt:variant>
      <vt:variant>
        <vt:lpwstr>_Toc171500382</vt:lpwstr>
      </vt:variant>
      <vt:variant>
        <vt:i4>1900595</vt:i4>
      </vt:variant>
      <vt:variant>
        <vt:i4>473</vt:i4>
      </vt:variant>
      <vt:variant>
        <vt:i4>0</vt:i4>
      </vt:variant>
      <vt:variant>
        <vt:i4>5</vt:i4>
      </vt:variant>
      <vt:variant>
        <vt:lpwstr/>
      </vt:variant>
      <vt:variant>
        <vt:lpwstr>_Toc171500381</vt:lpwstr>
      </vt:variant>
      <vt:variant>
        <vt:i4>1900595</vt:i4>
      </vt:variant>
      <vt:variant>
        <vt:i4>467</vt:i4>
      </vt:variant>
      <vt:variant>
        <vt:i4>0</vt:i4>
      </vt:variant>
      <vt:variant>
        <vt:i4>5</vt:i4>
      </vt:variant>
      <vt:variant>
        <vt:lpwstr/>
      </vt:variant>
      <vt:variant>
        <vt:lpwstr>_Toc171500380</vt:lpwstr>
      </vt:variant>
      <vt:variant>
        <vt:i4>1179699</vt:i4>
      </vt:variant>
      <vt:variant>
        <vt:i4>461</vt:i4>
      </vt:variant>
      <vt:variant>
        <vt:i4>0</vt:i4>
      </vt:variant>
      <vt:variant>
        <vt:i4>5</vt:i4>
      </vt:variant>
      <vt:variant>
        <vt:lpwstr/>
      </vt:variant>
      <vt:variant>
        <vt:lpwstr>_Toc171500379</vt:lpwstr>
      </vt:variant>
      <vt:variant>
        <vt:i4>1179699</vt:i4>
      </vt:variant>
      <vt:variant>
        <vt:i4>455</vt:i4>
      </vt:variant>
      <vt:variant>
        <vt:i4>0</vt:i4>
      </vt:variant>
      <vt:variant>
        <vt:i4>5</vt:i4>
      </vt:variant>
      <vt:variant>
        <vt:lpwstr/>
      </vt:variant>
      <vt:variant>
        <vt:lpwstr>_Toc171500378</vt:lpwstr>
      </vt:variant>
      <vt:variant>
        <vt:i4>1179699</vt:i4>
      </vt:variant>
      <vt:variant>
        <vt:i4>449</vt:i4>
      </vt:variant>
      <vt:variant>
        <vt:i4>0</vt:i4>
      </vt:variant>
      <vt:variant>
        <vt:i4>5</vt:i4>
      </vt:variant>
      <vt:variant>
        <vt:lpwstr/>
      </vt:variant>
      <vt:variant>
        <vt:lpwstr>_Toc171500377</vt:lpwstr>
      </vt:variant>
      <vt:variant>
        <vt:i4>1179699</vt:i4>
      </vt:variant>
      <vt:variant>
        <vt:i4>443</vt:i4>
      </vt:variant>
      <vt:variant>
        <vt:i4>0</vt:i4>
      </vt:variant>
      <vt:variant>
        <vt:i4>5</vt:i4>
      </vt:variant>
      <vt:variant>
        <vt:lpwstr/>
      </vt:variant>
      <vt:variant>
        <vt:lpwstr>_Toc171500376</vt:lpwstr>
      </vt:variant>
      <vt:variant>
        <vt:i4>1179699</vt:i4>
      </vt:variant>
      <vt:variant>
        <vt:i4>437</vt:i4>
      </vt:variant>
      <vt:variant>
        <vt:i4>0</vt:i4>
      </vt:variant>
      <vt:variant>
        <vt:i4>5</vt:i4>
      </vt:variant>
      <vt:variant>
        <vt:lpwstr/>
      </vt:variant>
      <vt:variant>
        <vt:lpwstr>_Toc171500375</vt:lpwstr>
      </vt:variant>
      <vt:variant>
        <vt:i4>1179699</vt:i4>
      </vt:variant>
      <vt:variant>
        <vt:i4>431</vt:i4>
      </vt:variant>
      <vt:variant>
        <vt:i4>0</vt:i4>
      </vt:variant>
      <vt:variant>
        <vt:i4>5</vt:i4>
      </vt:variant>
      <vt:variant>
        <vt:lpwstr/>
      </vt:variant>
      <vt:variant>
        <vt:lpwstr>_Toc171500374</vt:lpwstr>
      </vt:variant>
      <vt:variant>
        <vt:i4>1179699</vt:i4>
      </vt:variant>
      <vt:variant>
        <vt:i4>425</vt:i4>
      </vt:variant>
      <vt:variant>
        <vt:i4>0</vt:i4>
      </vt:variant>
      <vt:variant>
        <vt:i4>5</vt:i4>
      </vt:variant>
      <vt:variant>
        <vt:lpwstr/>
      </vt:variant>
      <vt:variant>
        <vt:lpwstr>_Toc171500373</vt:lpwstr>
      </vt:variant>
      <vt:variant>
        <vt:i4>1179699</vt:i4>
      </vt:variant>
      <vt:variant>
        <vt:i4>419</vt:i4>
      </vt:variant>
      <vt:variant>
        <vt:i4>0</vt:i4>
      </vt:variant>
      <vt:variant>
        <vt:i4>5</vt:i4>
      </vt:variant>
      <vt:variant>
        <vt:lpwstr/>
      </vt:variant>
      <vt:variant>
        <vt:lpwstr>_Toc171500372</vt:lpwstr>
      </vt:variant>
      <vt:variant>
        <vt:i4>1179699</vt:i4>
      </vt:variant>
      <vt:variant>
        <vt:i4>413</vt:i4>
      </vt:variant>
      <vt:variant>
        <vt:i4>0</vt:i4>
      </vt:variant>
      <vt:variant>
        <vt:i4>5</vt:i4>
      </vt:variant>
      <vt:variant>
        <vt:lpwstr/>
      </vt:variant>
      <vt:variant>
        <vt:lpwstr>_Toc171500371</vt:lpwstr>
      </vt:variant>
      <vt:variant>
        <vt:i4>1179699</vt:i4>
      </vt:variant>
      <vt:variant>
        <vt:i4>407</vt:i4>
      </vt:variant>
      <vt:variant>
        <vt:i4>0</vt:i4>
      </vt:variant>
      <vt:variant>
        <vt:i4>5</vt:i4>
      </vt:variant>
      <vt:variant>
        <vt:lpwstr/>
      </vt:variant>
      <vt:variant>
        <vt:lpwstr>_Toc171500370</vt:lpwstr>
      </vt:variant>
      <vt:variant>
        <vt:i4>1245235</vt:i4>
      </vt:variant>
      <vt:variant>
        <vt:i4>401</vt:i4>
      </vt:variant>
      <vt:variant>
        <vt:i4>0</vt:i4>
      </vt:variant>
      <vt:variant>
        <vt:i4>5</vt:i4>
      </vt:variant>
      <vt:variant>
        <vt:lpwstr/>
      </vt:variant>
      <vt:variant>
        <vt:lpwstr>_Toc171500369</vt:lpwstr>
      </vt:variant>
      <vt:variant>
        <vt:i4>1245235</vt:i4>
      </vt:variant>
      <vt:variant>
        <vt:i4>395</vt:i4>
      </vt:variant>
      <vt:variant>
        <vt:i4>0</vt:i4>
      </vt:variant>
      <vt:variant>
        <vt:i4>5</vt:i4>
      </vt:variant>
      <vt:variant>
        <vt:lpwstr/>
      </vt:variant>
      <vt:variant>
        <vt:lpwstr>_Toc171500368</vt:lpwstr>
      </vt:variant>
      <vt:variant>
        <vt:i4>1245235</vt:i4>
      </vt:variant>
      <vt:variant>
        <vt:i4>389</vt:i4>
      </vt:variant>
      <vt:variant>
        <vt:i4>0</vt:i4>
      </vt:variant>
      <vt:variant>
        <vt:i4>5</vt:i4>
      </vt:variant>
      <vt:variant>
        <vt:lpwstr/>
      </vt:variant>
      <vt:variant>
        <vt:lpwstr>_Toc171500367</vt:lpwstr>
      </vt:variant>
      <vt:variant>
        <vt:i4>1245235</vt:i4>
      </vt:variant>
      <vt:variant>
        <vt:i4>383</vt:i4>
      </vt:variant>
      <vt:variant>
        <vt:i4>0</vt:i4>
      </vt:variant>
      <vt:variant>
        <vt:i4>5</vt:i4>
      </vt:variant>
      <vt:variant>
        <vt:lpwstr/>
      </vt:variant>
      <vt:variant>
        <vt:lpwstr>_Toc171500366</vt:lpwstr>
      </vt:variant>
      <vt:variant>
        <vt:i4>1245235</vt:i4>
      </vt:variant>
      <vt:variant>
        <vt:i4>377</vt:i4>
      </vt:variant>
      <vt:variant>
        <vt:i4>0</vt:i4>
      </vt:variant>
      <vt:variant>
        <vt:i4>5</vt:i4>
      </vt:variant>
      <vt:variant>
        <vt:lpwstr/>
      </vt:variant>
      <vt:variant>
        <vt:lpwstr>_Toc171500365</vt:lpwstr>
      </vt:variant>
      <vt:variant>
        <vt:i4>1245235</vt:i4>
      </vt:variant>
      <vt:variant>
        <vt:i4>371</vt:i4>
      </vt:variant>
      <vt:variant>
        <vt:i4>0</vt:i4>
      </vt:variant>
      <vt:variant>
        <vt:i4>5</vt:i4>
      </vt:variant>
      <vt:variant>
        <vt:lpwstr/>
      </vt:variant>
      <vt:variant>
        <vt:lpwstr>_Toc171500364</vt:lpwstr>
      </vt:variant>
      <vt:variant>
        <vt:i4>1245235</vt:i4>
      </vt:variant>
      <vt:variant>
        <vt:i4>365</vt:i4>
      </vt:variant>
      <vt:variant>
        <vt:i4>0</vt:i4>
      </vt:variant>
      <vt:variant>
        <vt:i4>5</vt:i4>
      </vt:variant>
      <vt:variant>
        <vt:lpwstr/>
      </vt:variant>
      <vt:variant>
        <vt:lpwstr>_Toc171500363</vt:lpwstr>
      </vt:variant>
      <vt:variant>
        <vt:i4>1245235</vt:i4>
      </vt:variant>
      <vt:variant>
        <vt:i4>359</vt:i4>
      </vt:variant>
      <vt:variant>
        <vt:i4>0</vt:i4>
      </vt:variant>
      <vt:variant>
        <vt:i4>5</vt:i4>
      </vt:variant>
      <vt:variant>
        <vt:lpwstr/>
      </vt:variant>
      <vt:variant>
        <vt:lpwstr>_Toc171500362</vt:lpwstr>
      </vt:variant>
      <vt:variant>
        <vt:i4>1245235</vt:i4>
      </vt:variant>
      <vt:variant>
        <vt:i4>353</vt:i4>
      </vt:variant>
      <vt:variant>
        <vt:i4>0</vt:i4>
      </vt:variant>
      <vt:variant>
        <vt:i4>5</vt:i4>
      </vt:variant>
      <vt:variant>
        <vt:lpwstr/>
      </vt:variant>
      <vt:variant>
        <vt:lpwstr>_Toc171500361</vt:lpwstr>
      </vt:variant>
      <vt:variant>
        <vt:i4>1245235</vt:i4>
      </vt:variant>
      <vt:variant>
        <vt:i4>347</vt:i4>
      </vt:variant>
      <vt:variant>
        <vt:i4>0</vt:i4>
      </vt:variant>
      <vt:variant>
        <vt:i4>5</vt:i4>
      </vt:variant>
      <vt:variant>
        <vt:lpwstr/>
      </vt:variant>
      <vt:variant>
        <vt:lpwstr>_Toc171500360</vt:lpwstr>
      </vt:variant>
      <vt:variant>
        <vt:i4>1048627</vt:i4>
      </vt:variant>
      <vt:variant>
        <vt:i4>341</vt:i4>
      </vt:variant>
      <vt:variant>
        <vt:i4>0</vt:i4>
      </vt:variant>
      <vt:variant>
        <vt:i4>5</vt:i4>
      </vt:variant>
      <vt:variant>
        <vt:lpwstr/>
      </vt:variant>
      <vt:variant>
        <vt:lpwstr>_Toc171500359</vt:lpwstr>
      </vt:variant>
      <vt:variant>
        <vt:i4>1048627</vt:i4>
      </vt:variant>
      <vt:variant>
        <vt:i4>335</vt:i4>
      </vt:variant>
      <vt:variant>
        <vt:i4>0</vt:i4>
      </vt:variant>
      <vt:variant>
        <vt:i4>5</vt:i4>
      </vt:variant>
      <vt:variant>
        <vt:lpwstr/>
      </vt:variant>
      <vt:variant>
        <vt:lpwstr>_Toc171500358</vt:lpwstr>
      </vt:variant>
      <vt:variant>
        <vt:i4>1048627</vt:i4>
      </vt:variant>
      <vt:variant>
        <vt:i4>329</vt:i4>
      </vt:variant>
      <vt:variant>
        <vt:i4>0</vt:i4>
      </vt:variant>
      <vt:variant>
        <vt:i4>5</vt:i4>
      </vt:variant>
      <vt:variant>
        <vt:lpwstr/>
      </vt:variant>
      <vt:variant>
        <vt:lpwstr>_Toc171500357</vt:lpwstr>
      </vt:variant>
      <vt:variant>
        <vt:i4>1048627</vt:i4>
      </vt:variant>
      <vt:variant>
        <vt:i4>320</vt:i4>
      </vt:variant>
      <vt:variant>
        <vt:i4>0</vt:i4>
      </vt:variant>
      <vt:variant>
        <vt:i4>5</vt:i4>
      </vt:variant>
      <vt:variant>
        <vt:lpwstr/>
      </vt:variant>
      <vt:variant>
        <vt:lpwstr>_Toc171500356</vt:lpwstr>
      </vt:variant>
      <vt:variant>
        <vt:i4>1048627</vt:i4>
      </vt:variant>
      <vt:variant>
        <vt:i4>314</vt:i4>
      </vt:variant>
      <vt:variant>
        <vt:i4>0</vt:i4>
      </vt:variant>
      <vt:variant>
        <vt:i4>5</vt:i4>
      </vt:variant>
      <vt:variant>
        <vt:lpwstr/>
      </vt:variant>
      <vt:variant>
        <vt:lpwstr>_Toc171500355</vt:lpwstr>
      </vt:variant>
      <vt:variant>
        <vt:i4>1048627</vt:i4>
      </vt:variant>
      <vt:variant>
        <vt:i4>308</vt:i4>
      </vt:variant>
      <vt:variant>
        <vt:i4>0</vt:i4>
      </vt:variant>
      <vt:variant>
        <vt:i4>5</vt:i4>
      </vt:variant>
      <vt:variant>
        <vt:lpwstr/>
      </vt:variant>
      <vt:variant>
        <vt:lpwstr>_Toc171500354</vt:lpwstr>
      </vt:variant>
      <vt:variant>
        <vt:i4>1048627</vt:i4>
      </vt:variant>
      <vt:variant>
        <vt:i4>302</vt:i4>
      </vt:variant>
      <vt:variant>
        <vt:i4>0</vt:i4>
      </vt:variant>
      <vt:variant>
        <vt:i4>5</vt:i4>
      </vt:variant>
      <vt:variant>
        <vt:lpwstr/>
      </vt:variant>
      <vt:variant>
        <vt:lpwstr>_Toc171500353</vt:lpwstr>
      </vt:variant>
      <vt:variant>
        <vt:i4>1048627</vt:i4>
      </vt:variant>
      <vt:variant>
        <vt:i4>296</vt:i4>
      </vt:variant>
      <vt:variant>
        <vt:i4>0</vt:i4>
      </vt:variant>
      <vt:variant>
        <vt:i4>5</vt:i4>
      </vt:variant>
      <vt:variant>
        <vt:lpwstr/>
      </vt:variant>
      <vt:variant>
        <vt:lpwstr>_Toc171500352</vt:lpwstr>
      </vt:variant>
      <vt:variant>
        <vt:i4>1048627</vt:i4>
      </vt:variant>
      <vt:variant>
        <vt:i4>290</vt:i4>
      </vt:variant>
      <vt:variant>
        <vt:i4>0</vt:i4>
      </vt:variant>
      <vt:variant>
        <vt:i4>5</vt:i4>
      </vt:variant>
      <vt:variant>
        <vt:lpwstr/>
      </vt:variant>
      <vt:variant>
        <vt:lpwstr>_Toc171500351</vt:lpwstr>
      </vt:variant>
      <vt:variant>
        <vt:i4>1048627</vt:i4>
      </vt:variant>
      <vt:variant>
        <vt:i4>284</vt:i4>
      </vt:variant>
      <vt:variant>
        <vt:i4>0</vt:i4>
      </vt:variant>
      <vt:variant>
        <vt:i4>5</vt:i4>
      </vt:variant>
      <vt:variant>
        <vt:lpwstr/>
      </vt:variant>
      <vt:variant>
        <vt:lpwstr>_Toc171500350</vt:lpwstr>
      </vt:variant>
      <vt:variant>
        <vt:i4>1114163</vt:i4>
      </vt:variant>
      <vt:variant>
        <vt:i4>278</vt:i4>
      </vt:variant>
      <vt:variant>
        <vt:i4>0</vt:i4>
      </vt:variant>
      <vt:variant>
        <vt:i4>5</vt:i4>
      </vt:variant>
      <vt:variant>
        <vt:lpwstr/>
      </vt:variant>
      <vt:variant>
        <vt:lpwstr>_Toc171500349</vt:lpwstr>
      </vt:variant>
      <vt:variant>
        <vt:i4>1114163</vt:i4>
      </vt:variant>
      <vt:variant>
        <vt:i4>272</vt:i4>
      </vt:variant>
      <vt:variant>
        <vt:i4>0</vt:i4>
      </vt:variant>
      <vt:variant>
        <vt:i4>5</vt:i4>
      </vt:variant>
      <vt:variant>
        <vt:lpwstr/>
      </vt:variant>
      <vt:variant>
        <vt:lpwstr>_Toc171500348</vt:lpwstr>
      </vt:variant>
      <vt:variant>
        <vt:i4>1114163</vt:i4>
      </vt:variant>
      <vt:variant>
        <vt:i4>266</vt:i4>
      </vt:variant>
      <vt:variant>
        <vt:i4>0</vt:i4>
      </vt:variant>
      <vt:variant>
        <vt:i4>5</vt:i4>
      </vt:variant>
      <vt:variant>
        <vt:lpwstr/>
      </vt:variant>
      <vt:variant>
        <vt:lpwstr>_Toc171500347</vt:lpwstr>
      </vt:variant>
      <vt:variant>
        <vt:i4>1114163</vt:i4>
      </vt:variant>
      <vt:variant>
        <vt:i4>260</vt:i4>
      </vt:variant>
      <vt:variant>
        <vt:i4>0</vt:i4>
      </vt:variant>
      <vt:variant>
        <vt:i4>5</vt:i4>
      </vt:variant>
      <vt:variant>
        <vt:lpwstr/>
      </vt:variant>
      <vt:variant>
        <vt:lpwstr>_Toc171500346</vt:lpwstr>
      </vt:variant>
      <vt:variant>
        <vt:i4>1114163</vt:i4>
      </vt:variant>
      <vt:variant>
        <vt:i4>254</vt:i4>
      </vt:variant>
      <vt:variant>
        <vt:i4>0</vt:i4>
      </vt:variant>
      <vt:variant>
        <vt:i4>5</vt:i4>
      </vt:variant>
      <vt:variant>
        <vt:lpwstr/>
      </vt:variant>
      <vt:variant>
        <vt:lpwstr>_Toc171500345</vt:lpwstr>
      </vt:variant>
      <vt:variant>
        <vt:i4>1114163</vt:i4>
      </vt:variant>
      <vt:variant>
        <vt:i4>248</vt:i4>
      </vt:variant>
      <vt:variant>
        <vt:i4>0</vt:i4>
      </vt:variant>
      <vt:variant>
        <vt:i4>5</vt:i4>
      </vt:variant>
      <vt:variant>
        <vt:lpwstr/>
      </vt:variant>
      <vt:variant>
        <vt:lpwstr>_Toc171500344</vt:lpwstr>
      </vt:variant>
      <vt:variant>
        <vt:i4>1114163</vt:i4>
      </vt:variant>
      <vt:variant>
        <vt:i4>242</vt:i4>
      </vt:variant>
      <vt:variant>
        <vt:i4>0</vt:i4>
      </vt:variant>
      <vt:variant>
        <vt:i4>5</vt:i4>
      </vt:variant>
      <vt:variant>
        <vt:lpwstr/>
      </vt:variant>
      <vt:variant>
        <vt:lpwstr>_Toc171500343</vt:lpwstr>
      </vt:variant>
      <vt:variant>
        <vt:i4>1114163</vt:i4>
      </vt:variant>
      <vt:variant>
        <vt:i4>236</vt:i4>
      </vt:variant>
      <vt:variant>
        <vt:i4>0</vt:i4>
      </vt:variant>
      <vt:variant>
        <vt:i4>5</vt:i4>
      </vt:variant>
      <vt:variant>
        <vt:lpwstr/>
      </vt:variant>
      <vt:variant>
        <vt:lpwstr>_Toc171500342</vt:lpwstr>
      </vt:variant>
      <vt:variant>
        <vt:i4>1114163</vt:i4>
      </vt:variant>
      <vt:variant>
        <vt:i4>230</vt:i4>
      </vt:variant>
      <vt:variant>
        <vt:i4>0</vt:i4>
      </vt:variant>
      <vt:variant>
        <vt:i4>5</vt:i4>
      </vt:variant>
      <vt:variant>
        <vt:lpwstr/>
      </vt:variant>
      <vt:variant>
        <vt:lpwstr>_Toc171500341</vt:lpwstr>
      </vt:variant>
      <vt:variant>
        <vt:i4>1114163</vt:i4>
      </vt:variant>
      <vt:variant>
        <vt:i4>224</vt:i4>
      </vt:variant>
      <vt:variant>
        <vt:i4>0</vt:i4>
      </vt:variant>
      <vt:variant>
        <vt:i4>5</vt:i4>
      </vt:variant>
      <vt:variant>
        <vt:lpwstr/>
      </vt:variant>
      <vt:variant>
        <vt:lpwstr>_Toc171500340</vt:lpwstr>
      </vt:variant>
      <vt:variant>
        <vt:i4>1441843</vt:i4>
      </vt:variant>
      <vt:variant>
        <vt:i4>218</vt:i4>
      </vt:variant>
      <vt:variant>
        <vt:i4>0</vt:i4>
      </vt:variant>
      <vt:variant>
        <vt:i4>5</vt:i4>
      </vt:variant>
      <vt:variant>
        <vt:lpwstr/>
      </vt:variant>
      <vt:variant>
        <vt:lpwstr>_Toc171500339</vt:lpwstr>
      </vt:variant>
      <vt:variant>
        <vt:i4>1441843</vt:i4>
      </vt:variant>
      <vt:variant>
        <vt:i4>212</vt:i4>
      </vt:variant>
      <vt:variant>
        <vt:i4>0</vt:i4>
      </vt:variant>
      <vt:variant>
        <vt:i4>5</vt:i4>
      </vt:variant>
      <vt:variant>
        <vt:lpwstr/>
      </vt:variant>
      <vt:variant>
        <vt:lpwstr>_Toc171500338</vt:lpwstr>
      </vt:variant>
      <vt:variant>
        <vt:i4>1441843</vt:i4>
      </vt:variant>
      <vt:variant>
        <vt:i4>206</vt:i4>
      </vt:variant>
      <vt:variant>
        <vt:i4>0</vt:i4>
      </vt:variant>
      <vt:variant>
        <vt:i4>5</vt:i4>
      </vt:variant>
      <vt:variant>
        <vt:lpwstr/>
      </vt:variant>
      <vt:variant>
        <vt:lpwstr>_Toc171500337</vt:lpwstr>
      </vt:variant>
      <vt:variant>
        <vt:i4>1441843</vt:i4>
      </vt:variant>
      <vt:variant>
        <vt:i4>200</vt:i4>
      </vt:variant>
      <vt:variant>
        <vt:i4>0</vt:i4>
      </vt:variant>
      <vt:variant>
        <vt:i4>5</vt:i4>
      </vt:variant>
      <vt:variant>
        <vt:lpwstr/>
      </vt:variant>
      <vt:variant>
        <vt:lpwstr>_Toc171500336</vt:lpwstr>
      </vt:variant>
      <vt:variant>
        <vt:i4>1441843</vt:i4>
      </vt:variant>
      <vt:variant>
        <vt:i4>194</vt:i4>
      </vt:variant>
      <vt:variant>
        <vt:i4>0</vt:i4>
      </vt:variant>
      <vt:variant>
        <vt:i4>5</vt:i4>
      </vt:variant>
      <vt:variant>
        <vt:lpwstr/>
      </vt:variant>
      <vt:variant>
        <vt:lpwstr>_Toc171500335</vt:lpwstr>
      </vt:variant>
      <vt:variant>
        <vt:i4>1441843</vt:i4>
      </vt:variant>
      <vt:variant>
        <vt:i4>188</vt:i4>
      </vt:variant>
      <vt:variant>
        <vt:i4>0</vt:i4>
      </vt:variant>
      <vt:variant>
        <vt:i4>5</vt:i4>
      </vt:variant>
      <vt:variant>
        <vt:lpwstr/>
      </vt:variant>
      <vt:variant>
        <vt:lpwstr>_Toc171500334</vt:lpwstr>
      </vt:variant>
      <vt:variant>
        <vt:i4>1441843</vt:i4>
      </vt:variant>
      <vt:variant>
        <vt:i4>182</vt:i4>
      </vt:variant>
      <vt:variant>
        <vt:i4>0</vt:i4>
      </vt:variant>
      <vt:variant>
        <vt:i4>5</vt:i4>
      </vt:variant>
      <vt:variant>
        <vt:lpwstr/>
      </vt:variant>
      <vt:variant>
        <vt:lpwstr>_Toc171500333</vt:lpwstr>
      </vt:variant>
      <vt:variant>
        <vt:i4>1441843</vt:i4>
      </vt:variant>
      <vt:variant>
        <vt:i4>176</vt:i4>
      </vt:variant>
      <vt:variant>
        <vt:i4>0</vt:i4>
      </vt:variant>
      <vt:variant>
        <vt:i4>5</vt:i4>
      </vt:variant>
      <vt:variant>
        <vt:lpwstr/>
      </vt:variant>
      <vt:variant>
        <vt:lpwstr>_Toc171500332</vt:lpwstr>
      </vt:variant>
      <vt:variant>
        <vt:i4>1441843</vt:i4>
      </vt:variant>
      <vt:variant>
        <vt:i4>170</vt:i4>
      </vt:variant>
      <vt:variant>
        <vt:i4>0</vt:i4>
      </vt:variant>
      <vt:variant>
        <vt:i4>5</vt:i4>
      </vt:variant>
      <vt:variant>
        <vt:lpwstr/>
      </vt:variant>
      <vt:variant>
        <vt:lpwstr>_Toc171500331</vt:lpwstr>
      </vt:variant>
      <vt:variant>
        <vt:i4>1441843</vt:i4>
      </vt:variant>
      <vt:variant>
        <vt:i4>164</vt:i4>
      </vt:variant>
      <vt:variant>
        <vt:i4>0</vt:i4>
      </vt:variant>
      <vt:variant>
        <vt:i4>5</vt:i4>
      </vt:variant>
      <vt:variant>
        <vt:lpwstr/>
      </vt:variant>
      <vt:variant>
        <vt:lpwstr>_Toc171500330</vt:lpwstr>
      </vt:variant>
      <vt:variant>
        <vt:i4>1507379</vt:i4>
      </vt:variant>
      <vt:variant>
        <vt:i4>158</vt:i4>
      </vt:variant>
      <vt:variant>
        <vt:i4>0</vt:i4>
      </vt:variant>
      <vt:variant>
        <vt:i4>5</vt:i4>
      </vt:variant>
      <vt:variant>
        <vt:lpwstr/>
      </vt:variant>
      <vt:variant>
        <vt:lpwstr>_Toc171500329</vt:lpwstr>
      </vt:variant>
      <vt:variant>
        <vt:i4>1507379</vt:i4>
      </vt:variant>
      <vt:variant>
        <vt:i4>152</vt:i4>
      </vt:variant>
      <vt:variant>
        <vt:i4>0</vt:i4>
      </vt:variant>
      <vt:variant>
        <vt:i4>5</vt:i4>
      </vt:variant>
      <vt:variant>
        <vt:lpwstr/>
      </vt:variant>
      <vt:variant>
        <vt:lpwstr>_Toc171500328</vt:lpwstr>
      </vt:variant>
      <vt:variant>
        <vt:i4>1507379</vt:i4>
      </vt:variant>
      <vt:variant>
        <vt:i4>146</vt:i4>
      </vt:variant>
      <vt:variant>
        <vt:i4>0</vt:i4>
      </vt:variant>
      <vt:variant>
        <vt:i4>5</vt:i4>
      </vt:variant>
      <vt:variant>
        <vt:lpwstr/>
      </vt:variant>
      <vt:variant>
        <vt:lpwstr>_Toc171500327</vt:lpwstr>
      </vt:variant>
      <vt:variant>
        <vt:i4>1507379</vt:i4>
      </vt:variant>
      <vt:variant>
        <vt:i4>140</vt:i4>
      </vt:variant>
      <vt:variant>
        <vt:i4>0</vt:i4>
      </vt:variant>
      <vt:variant>
        <vt:i4>5</vt:i4>
      </vt:variant>
      <vt:variant>
        <vt:lpwstr/>
      </vt:variant>
      <vt:variant>
        <vt:lpwstr>_Toc171500326</vt:lpwstr>
      </vt:variant>
      <vt:variant>
        <vt:i4>1507379</vt:i4>
      </vt:variant>
      <vt:variant>
        <vt:i4>134</vt:i4>
      </vt:variant>
      <vt:variant>
        <vt:i4>0</vt:i4>
      </vt:variant>
      <vt:variant>
        <vt:i4>5</vt:i4>
      </vt:variant>
      <vt:variant>
        <vt:lpwstr/>
      </vt:variant>
      <vt:variant>
        <vt:lpwstr>_Toc171500325</vt:lpwstr>
      </vt:variant>
      <vt:variant>
        <vt:i4>1507379</vt:i4>
      </vt:variant>
      <vt:variant>
        <vt:i4>128</vt:i4>
      </vt:variant>
      <vt:variant>
        <vt:i4>0</vt:i4>
      </vt:variant>
      <vt:variant>
        <vt:i4>5</vt:i4>
      </vt:variant>
      <vt:variant>
        <vt:lpwstr/>
      </vt:variant>
      <vt:variant>
        <vt:lpwstr>_Toc171500324</vt:lpwstr>
      </vt:variant>
      <vt:variant>
        <vt:i4>1507379</vt:i4>
      </vt:variant>
      <vt:variant>
        <vt:i4>122</vt:i4>
      </vt:variant>
      <vt:variant>
        <vt:i4>0</vt:i4>
      </vt:variant>
      <vt:variant>
        <vt:i4>5</vt:i4>
      </vt:variant>
      <vt:variant>
        <vt:lpwstr/>
      </vt:variant>
      <vt:variant>
        <vt:lpwstr>_Toc171500323</vt:lpwstr>
      </vt:variant>
      <vt:variant>
        <vt:i4>1507379</vt:i4>
      </vt:variant>
      <vt:variant>
        <vt:i4>116</vt:i4>
      </vt:variant>
      <vt:variant>
        <vt:i4>0</vt:i4>
      </vt:variant>
      <vt:variant>
        <vt:i4>5</vt:i4>
      </vt:variant>
      <vt:variant>
        <vt:lpwstr/>
      </vt:variant>
      <vt:variant>
        <vt:lpwstr>_Toc171500322</vt:lpwstr>
      </vt:variant>
      <vt:variant>
        <vt:i4>1507379</vt:i4>
      </vt:variant>
      <vt:variant>
        <vt:i4>110</vt:i4>
      </vt:variant>
      <vt:variant>
        <vt:i4>0</vt:i4>
      </vt:variant>
      <vt:variant>
        <vt:i4>5</vt:i4>
      </vt:variant>
      <vt:variant>
        <vt:lpwstr/>
      </vt:variant>
      <vt:variant>
        <vt:lpwstr>_Toc171500321</vt:lpwstr>
      </vt:variant>
      <vt:variant>
        <vt:i4>1507379</vt:i4>
      </vt:variant>
      <vt:variant>
        <vt:i4>104</vt:i4>
      </vt:variant>
      <vt:variant>
        <vt:i4>0</vt:i4>
      </vt:variant>
      <vt:variant>
        <vt:i4>5</vt:i4>
      </vt:variant>
      <vt:variant>
        <vt:lpwstr/>
      </vt:variant>
      <vt:variant>
        <vt:lpwstr>_Toc171500320</vt:lpwstr>
      </vt:variant>
      <vt:variant>
        <vt:i4>1310771</vt:i4>
      </vt:variant>
      <vt:variant>
        <vt:i4>98</vt:i4>
      </vt:variant>
      <vt:variant>
        <vt:i4>0</vt:i4>
      </vt:variant>
      <vt:variant>
        <vt:i4>5</vt:i4>
      </vt:variant>
      <vt:variant>
        <vt:lpwstr/>
      </vt:variant>
      <vt:variant>
        <vt:lpwstr>_Toc171500319</vt:lpwstr>
      </vt:variant>
      <vt:variant>
        <vt:i4>1310771</vt:i4>
      </vt:variant>
      <vt:variant>
        <vt:i4>92</vt:i4>
      </vt:variant>
      <vt:variant>
        <vt:i4>0</vt:i4>
      </vt:variant>
      <vt:variant>
        <vt:i4>5</vt:i4>
      </vt:variant>
      <vt:variant>
        <vt:lpwstr/>
      </vt:variant>
      <vt:variant>
        <vt:lpwstr>_Toc171500318</vt:lpwstr>
      </vt:variant>
      <vt:variant>
        <vt:i4>1310771</vt:i4>
      </vt:variant>
      <vt:variant>
        <vt:i4>86</vt:i4>
      </vt:variant>
      <vt:variant>
        <vt:i4>0</vt:i4>
      </vt:variant>
      <vt:variant>
        <vt:i4>5</vt:i4>
      </vt:variant>
      <vt:variant>
        <vt:lpwstr/>
      </vt:variant>
      <vt:variant>
        <vt:lpwstr>_Toc171500317</vt:lpwstr>
      </vt:variant>
      <vt:variant>
        <vt:i4>1310771</vt:i4>
      </vt:variant>
      <vt:variant>
        <vt:i4>80</vt:i4>
      </vt:variant>
      <vt:variant>
        <vt:i4>0</vt:i4>
      </vt:variant>
      <vt:variant>
        <vt:i4>5</vt:i4>
      </vt:variant>
      <vt:variant>
        <vt:lpwstr/>
      </vt:variant>
      <vt:variant>
        <vt:lpwstr>_Toc171500316</vt:lpwstr>
      </vt:variant>
      <vt:variant>
        <vt:i4>1310771</vt:i4>
      </vt:variant>
      <vt:variant>
        <vt:i4>74</vt:i4>
      </vt:variant>
      <vt:variant>
        <vt:i4>0</vt:i4>
      </vt:variant>
      <vt:variant>
        <vt:i4>5</vt:i4>
      </vt:variant>
      <vt:variant>
        <vt:lpwstr/>
      </vt:variant>
      <vt:variant>
        <vt:lpwstr>_Toc171500315</vt:lpwstr>
      </vt:variant>
      <vt:variant>
        <vt:i4>1310771</vt:i4>
      </vt:variant>
      <vt:variant>
        <vt:i4>68</vt:i4>
      </vt:variant>
      <vt:variant>
        <vt:i4>0</vt:i4>
      </vt:variant>
      <vt:variant>
        <vt:i4>5</vt:i4>
      </vt:variant>
      <vt:variant>
        <vt:lpwstr/>
      </vt:variant>
      <vt:variant>
        <vt:lpwstr>_Toc171500314</vt:lpwstr>
      </vt:variant>
      <vt:variant>
        <vt:i4>1310771</vt:i4>
      </vt:variant>
      <vt:variant>
        <vt:i4>62</vt:i4>
      </vt:variant>
      <vt:variant>
        <vt:i4>0</vt:i4>
      </vt:variant>
      <vt:variant>
        <vt:i4>5</vt:i4>
      </vt:variant>
      <vt:variant>
        <vt:lpwstr/>
      </vt:variant>
      <vt:variant>
        <vt:lpwstr>_Toc171500313</vt:lpwstr>
      </vt:variant>
      <vt:variant>
        <vt:i4>1310771</vt:i4>
      </vt:variant>
      <vt:variant>
        <vt:i4>56</vt:i4>
      </vt:variant>
      <vt:variant>
        <vt:i4>0</vt:i4>
      </vt:variant>
      <vt:variant>
        <vt:i4>5</vt:i4>
      </vt:variant>
      <vt:variant>
        <vt:lpwstr/>
      </vt:variant>
      <vt:variant>
        <vt:lpwstr>_Toc171500312</vt:lpwstr>
      </vt:variant>
      <vt:variant>
        <vt:i4>1310771</vt:i4>
      </vt:variant>
      <vt:variant>
        <vt:i4>50</vt:i4>
      </vt:variant>
      <vt:variant>
        <vt:i4>0</vt:i4>
      </vt:variant>
      <vt:variant>
        <vt:i4>5</vt:i4>
      </vt:variant>
      <vt:variant>
        <vt:lpwstr/>
      </vt:variant>
      <vt:variant>
        <vt:lpwstr>_Toc171500311</vt:lpwstr>
      </vt:variant>
      <vt:variant>
        <vt:i4>1310771</vt:i4>
      </vt:variant>
      <vt:variant>
        <vt:i4>44</vt:i4>
      </vt:variant>
      <vt:variant>
        <vt:i4>0</vt:i4>
      </vt:variant>
      <vt:variant>
        <vt:i4>5</vt:i4>
      </vt:variant>
      <vt:variant>
        <vt:lpwstr/>
      </vt:variant>
      <vt:variant>
        <vt:lpwstr>_Toc171500310</vt:lpwstr>
      </vt:variant>
      <vt:variant>
        <vt:i4>1376307</vt:i4>
      </vt:variant>
      <vt:variant>
        <vt:i4>38</vt:i4>
      </vt:variant>
      <vt:variant>
        <vt:i4>0</vt:i4>
      </vt:variant>
      <vt:variant>
        <vt:i4>5</vt:i4>
      </vt:variant>
      <vt:variant>
        <vt:lpwstr/>
      </vt:variant>
      <vt:variant>
        <vt:lpwstr>_Toc171500309</vt:lpwstr>
      </vt:variant>
      <vt:variant>
        <vt:i4>1376307</vt:i4>
      </vt:variant>
      <vt:variant>
        <vt:i4>32</vt:i4>
      </vt:variant>
      <vt:variant>
        <vt:i4>0</vt:i4>
      </vt:variant>
      <vt:variant>
        <vt:i4>5</vt:i4>
      </vt:variant>
      <vt:variant>
        <vt:lpwstr/>
      </vt:variant>
      <vt:variant>
        <vt:lpwstr>_Toc171500308</vt:lpwstr>
      </vt:variant>
      <vt:variant>
        <vt:i4>1376307</vt:i4>
      </vt:variant>
      <vt:variant>
        <vt:i4>26</vt:i4>
      </vt:variant>
      <vt:variant>
        <vt:i4>0</vt:i4>
      </vt:variant>
      <vt:variant>
        <vt:i4>5</vt:i4>
      </vt:variant>
      <vt:variant>
        <vt:lpwstr/>
      </vt:variant>
      <vt:variant>
        <vt:lpwstr>_Toc171500307</vt:lpwstr>
      </vt:variant>
      <vt:variant>
        <vt:i4>1376307</vt:i4>
      </vt:variant>
      <vt:variant>
        <vt:i4>20</vt:i4>
      </vt:variant>
      <vt:variant>
        <vt:i4>0</vt:i4>
      </vt:variant>
      <vt:variant>
        <vt:i4>5</vt:i4>
      </vt:variant>
      <vt:variant>
        <vt:lpwstr/>
      </vt:variant>
      <vt:variant>
        <vt:lpwstr>_Toc171500306</vt:lpwstr>
      </vt:variant>
      <vt:variant>
        <vt:i4>1376307</vt:i4>
      </vt:variant>
      <vt:variant>
        <vt:i4>14</vt:i4>
      </vt:variant>
      <vt:variant>
        <vt:i4>0</vt:i4>
      </vt:variant>
      <vt:variant>
        <vt:i4>5</vt:i4>
      </vt:variant>
      <vt:variant>
        <vt:lpwstr/>
      </vt:variant>
      <vt:variant>
        <vt:lpwstr>_Toc171500305</vt:lpwstr>
      </vt:variant>
      <vt:variant>
        <vt:i4>1376307</vt:i4>
      </vt:variant>
      <vt:variant>
        <vt:i4>8</vt:i4>
      </vt:variant>
      <vt:variant>
        <vt:i4>0</vt:i4>
      </vt:variant>
      <vt:variant>
        <vt:i4>5</vt:i4>
      </vt:variant>
      <vt:variant>
        <vt:lpwstr/>
      </vt:variant>
      <vt:variant>
        <vt:lpwstr>_Toc171500304</vt:lpwstr>
      </vt:variant>
      <vt:variant>
        <vt:i4>1376307</vt:i4>
      </vt:variant>
      <vt:variant>
        <vt:i4>2</vt:i4>
      </vt:variant>
      <vt:variant>
        <vt:i4>0</vt:i4>
      </vt:variant>
      <vt:variant>
        <vt:i4>5</vt:i4>
      </vt:variant>
      <vt:variant>
        <vt:lpwstr/>
      </vt:variant>
      <vt:variant>
        <vt:lpwstr>_Toc171500303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Nation Brand - Front cover template</dc:title>
  <dc:subject/>
  <dc:creator>Fernando-Ramirez [Canberra]</dc:creator>
  <cp:keywords>Template</cp:keywords>
  <dc:description/>
  <cp:lastModifiedBy>Fernando-Ramirez [Canberra]</cp:lastModifiedBy>
  <cp:revision>45</cp:revision>
  <cp:lastPrinted>2024-07-01T16:15:00Z</cp:lastPrinted>
  <dcterms:created xsi:type="dcterms:W3CDTF">2024-07-12T03:39:00Z</dcterms:created>
  <dcterms:modified xsi:type="dcterms:W3CDTF">2024-09-26T06:37:00Z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0x0101005D813DAB6534304797DEF4E972DCD22C</vt:lpwstr>
  </property>
  <property fmtid="{D5CDD505-2E9C-101B-9397-08002B2CF9AE}" pid="4" name="MSIP_Label_72160a83-df68-4146-9dd5-ccaae79426db_Enabled">
    <vt:lpwstr>true</vt:lpwstr>
  </property>
  <property fmtid="{D5CDD505-2E9C-101B-9397-08002B2CF9AE}" pid="5" name="MSIP_Label_72160a83-df68-4146-9dd5-ccaae79426db_SetDate">
    <vt:lpwstr>2024-09-26T04:05:27Z</vt:lpwstr>
  </property>
  <property fmtid="{D5CDD505-2E9C-101B-9397-08002B2CF9AE}" pid="6" name="MSIP_Label_72160a83-df68-4146-9dd5-ccaae79426db_Method">
    <vt:lpwstr>Privileged</vt:lpwstr>
  </property>
  <property fmtid="{D5CDD505-2E9C-101B-9397-08002B2CF9AE}" pid="7" name="MSIP_Label_72160a83-df68-4146-9dd5-ccaae79426db_Name">
    <vt:lpwstr>OFFICIAL</vt:lpwstr>
  </property>
  <property fmtid="{D5CDD505-2E9C-101B-9397-08002B2CF9AE}" pid="8" name="MSIP_Label_72160a83-df68-4146-9dd5-ccaae79426db_SiteId">
    <vt:lpwstr>c6ba7d27-a97a-40a4-82e4-4d23131de9f4</vt:lpwstr>
  </property>
  <property fmtid="{D5CDD505-2E9C-101B-9397-08002B2CF9AE}" pid="9" name="MSIP_Label_72160a83-df68-4146-9dd5-ccaae79426db_ActionId">
    <vt:lpwstr>4ea49b79-23cc-472d-b1fa-6afa36320d60</vt:lpwstr>
  </property>
  <property fmtid="{D5CDD505-2E9C-101B-9397-08002B2CF9AE}" pid="10" name="MSIP_Label_72160a83-df68-4146-9dd5-ccaae79426db_ContentBits">
    <vt:lpwstr>3</vt:lpwstr>
  </property>
</Properties>
</file>