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72AF6" w:rsidRDefault="004C451D">
      <w:pPr>
        <w:spacing w:before="0" w:after="0"/>
        <w:jc w:val="center"/>
      </w:pPr>
      <w:r>
        <w:rPr>
          <w:noProof/>
        </w:rPr>
        <w:drawing>
          <wp:inline distT="0" distB="0" distL="0" distR="0" wp14:anchorId="2AD39A07" wp14:editId="07777777">
            <wp:extent cx="10692079" cy="7560259"/>
            <wp:effectExtent l="0" t="0" r="0" b="0"/>
            <wp:docPr id="1" name="Picture 1" descr="Cover: Austrade’s Trade and Investment Report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png"/>
                    <pic:cNvPicPr/>
                  </pic:nvPicPr>
                  <pic:blipFill>
                    <a:blip r:embed="rId8"/>
                    <a:stretch>
                      <a:fillRect/>
                    </a:stretch>
                  </pic:blipFill>
                  <pic:spPr>
                    <a:xfrm>
                      <a:off x="0" y="0"/>
                      <a:ext cx="10692079" cy="7560259"/>
                    </a:xfrm>
                    <a:prstGeom prst="rect">
                      <a:avLst/>
                    </a:prstGeom>
                  </pic:spPr>
                </pic:pic>
              </a:graphicData>
            </a:graphic>
          </wp:inline>
        </w:drawing>
      </w:r>
    </w:p>
    <w:p w14:paraId="0A37501D" w14:textId="77777777" w:rsidR="00572AF6" w:rsidRDefault="00572AF6">
      <w:pPr>
        <w:sectPr w:rsidR="00572AF6">
          <w:footerReference w:type="default" r:id="rId9"/>
          <w:pgSz w:w="16838" w:h="11906" w:orient="landscape"/>
          <w:pgMar w:top="0" w:right="0" w:bottom="0" w:left="0" w:header="720" w:footer="720" w:gutter="0"/>
          <w:cols w:space="720"/>
          <w:docGrid w:linePitch="360"/>
        </w:sectPr>
      </w:pPr>
    </w:p>
    <w:p w14:paraId="00994A37" w14:textId="77777777" w:rsidR="0077275B" w:rsidRDefault="0077275B" w:rsidP="0077275B"/>
    <w:p w14:paraId="3CAC9B39" w14:textId="77777777" w:rsidR="00936145" w:rsidRDefault="0077275B" w:rsidP="0077275B">
      <w:pPr>
        <w:tabs>
          <w:tab w:val="left" w:pos="1635"/>
        </w:tabs>
      </w:pPr>
      <w:r>
        <w:t>D</w:t>
      </w:r>
      <w:r w:rsidRPr="00DD3E1F">
        <w:t xml:space="preserve">isclaimer This document has been prepared by the Commonwealth of Australia represented by the Australian Trade and Investment Commission (Austrade). All dollar amounts included refer to Australian Dollars (AUD) unless otherwise stated. </w:t>
      </w:r>
    </w:p>
    <w:p w14:paraId="1F3A5BFC" w14:textId="77777777" w:rsidR="00936145" w:rsidRDefault="004C451D" w:rsidP="0077275B">
      <w:pPr>
        <w:tabs>
          <w:tab w:val="left" w:pos="1635"/>
        </w:tabs>
      </w:pPr>
      <w:r w:rsidRPr="00DD3E1F">
        <w:t xml:space="preserve">Austrade has exercised due care and skill in preparing and compiling the information and data in this document. Austrade, its employees and advisers disclaim all liability, including liability for negligence and for any loss, damage, injury, expense or cost incurred by any person as a result of accessing, using or relying on any of the information or data in this document to the maximum extent permitted by law. </w:t>
      </w:r>
    </w:p>
    <w:p w14:paraId="2372FB27" w14:textId="77777777" w:rsidR="00CC20C1" w:rsidRDefault="004C451D" w:rsidP="0077275B">
      <w:pPr>
        <w:tabs>
          <w:tab w:val="left" w:pos="1635"/>
        </w:tabs>
      </w:pPr>
      <w:r w:rsidRPr="00DD3E1F">
        <w:t xml:space="preserve">Austrade recommends the person exercise their own skill and care, including obtaining professional advice, in relation to their use of the information in this document for their purposes. The Australian Government does not endorse any company or activity referred to in the document and does not accept responsibility for any losses suffered in connection with any company or its activities. </w:t>
      </w:r>
    </w:p>
    <w:p w14:paraId="31B21FBD" w14:textId="77777777" w:rsidR="00CC20C1" w:rsidRPr="00CC20C1" w:rsidRDefault="004C451D" w:rsidP="0077275B">
      <w:pPr>
        <w:tabs>
          <w:tab w:val="left" w:pos="1635"/>
        </w:tabs>
        <w:rPr>
          <w:b/>
          <w:bCs/>
        </w:rPr>
      </w:pPr>
      <w:r w:rsidRPr="00CC20C1">
        <w:rPr>
          <w:b/>
          <w:bCs/>
        </w:rPr>
        <w:t xml:space="preserve">Acknowledgement of Country </w:t>
      </w:r>
    </w:p>
    <w:p w14:paraId="3D5A27AA" w14:textId="61D5BC4F" w:rsidR="00CC20C1" w:rsidRDefault="004C451D" w:rsidP="0077275B">
      <w:pPr>
        <w:tabs>
          <w:tab w:val="left" w:pos="1635"/>
        </w:tabs>
      </w:pPr>
      <w:r w:rsidRPr="00DD3E1F">
        <w:t xml:space="preserve">In the spirit of </w:t>
      </w:r>
      <w:r w:rsidR="00F87DBE" w:rsidRPr="00DD3E1F">
        <w:t>reconciliation,</w:t>
      </w:r>
      <w:r w:rsidRPr="00DD3E1F">
        <w:t xml:space="preserve"> we acknowledge the Traditional Custodians of country throughout Australia and their connections to land, sea and community. We pay our respect to their elders past and present and extend that respect to all Aboriginal and Torres Strait Islander peoples today. </w:t>
      </w:r>
    </w:p>
    <w:p w14:paraId="78AB4B25" w14:textId="77777777" w:rsidR="00CC20C1" w:rsidRPr="00CC20C1" w:rsidRDefault="004C451D" w:rsidP="0077275B">
      <w:pPr>
        <w:tabs>
          <w:tab w:val="left" w:pos="1635"/>
        </w:tabs>
        <w:rPr>
          <w:b/>
          <w:bCs/>
        </w:rPr>
      </w:pPr>
      <w:r w:rsidRPr="00CC20C1">
        <w:rPr>
          <w:b/>
          <w:bCs/>
        </w:rPr>
        <w:t xml:space="preserve">Copyright © Commonwealth of Australia 2026 </w:t>
      </w:r>
    </w:p>
    <w:p w14:paraId="2A6CAD29" w14:textId="46B068A5" w:rsidR="00572AF6" w:rsidRPr="00DD3E1F" w:rsidRDefault="004C451D" w:rsidP="0077275B">
      <w:pPr>
        <w:tabs>
          <w:tab w:val="left" w:pos="1635"/>
        </w:tabs>
      </w:pPr>
      <w:r w:rsidRPr="00DD3E1F">
        <w:t>The material in this document is licensed under a Creative Commons Attribution – 4.0 International licence (CC BY licence), except for:</w:t>
      </w:r>
    </w:p>
    <w:p w14:paraId="440176ED" w14:textId="77777777" w:rsidR="00572AF6" w:rsidRDefault="004C451D">
      <w:pPr>
        <w:pStyle w:val="Bulletlist0"/>
      </w:pPr>
      <w:r>
        <w:t>any third-party material</w:t>
      </w:r>
    </w:p>
    <w:p w14:paraId="6734D06E" w14:textId="77777777" w:rsidR="00572AF6" w:rsidRPr="00DD3E1F" w:rsidRDefault="004C451D">
      <w:pPr>
        <w:pStyle w:val="Bulletlist0"/>
        <w:rPr>
          <w:lang w:val="en-AU"/>
        </w:rPr>
      </w:pPr>
      <w:r w:rsidRPr="00DD3E1F">
        <w:rPr>
          <w:lang w:val="en-AU"/>
        </w:rPr>
        <w:t>any material protected by a trademark</w:t>
      </w:r>
    </w:p>
    <w:p w14:paraId="72496E80" w14:textId="77777777" w:rsidR="00572AF6" w:rsidRDefault="004C451D">
      <w:pPr>
        <w:pStyle w:val="Bulletlist0"/>
      </w:pPr>
      <w:r>
        <w:t>any images and photographs.</w:t>
      </w:r>
    </w:p>
    <w:p w14:paraId="73ACF10F" w14:textId="3B4BBE70" w:rsidR="00CC20C1" w:rsidRDefault="004C451D">
      <w:pPr>
        <w:pStyle w:val="Body-copy"/>
        <w:rPr>
          <w:lang w:val="en-AU"/>
        </w:rPr>
      </w:pPr>
      <w:r w:rsidRPr="00DD3E1F">
        <w:rPr>
          <w:lang w:val="en-AU"/>
        </w:rPr>
        <w:t xml:space="preserve">More information on this CC BY licence is set out at the Creative Commons website: </w:t>
      </w:r>
      <w:hyperlink r:id="rId10" w:history="1">
        <w:r w:rsidR="00CC20C1" w:rsidRPr="004712DA">
          <w:rPr>
            <w:rStyle w:val="Hyperlink"/>
            <w:lang w:val="en-AU"/>
          </w:rPr>
          <w:t>https://creativecommons.org/licenses/by/4.0/legalcode</w:t>
        </w:r>
      </w:hyperlink>
      <w:r w:rsidRPr="00DD3E1F">
        <w:rPr>
          <w:lang w:val="en-AU"/>
        </w:rPr>
        <w:t xml:space="preserve">. </w:t>
      </w:r>
    </w:p>
    <w:p w14:paraId="584A712D" w14:textId="3AE4B97E" w:rsidR="00CC20C1" w:rsidRPr="00CC20C1" w:rsidRDefault="004C451D">
      <w:pPr>
        <w:pStyle w:val="Body-copy"/>
        <w:rPr>
          <w:b/>
          <w:bCs/>
          <w:lang w:val="en-AU"/>
        </w:rPr>
      </w:pPr>
      <w:r w:rsidRPr="00CC20C1">
        <w:rPr>
          <w:b/>
          <w:bCs/>
          <w:lang w:val="en-AU"/>
        </w:rPr>
        <w:t xml:space="preserve">Attribution </w:t>
      </w:r>
    </w:p>
    <w:p w14:paraId="6B68E6AF" w14:textId="33AB4FB2" w:rsidR="00572AF6" w:rsidRPr="00DD3E1F" w:rsidRDefault="004C451D">
      <w:pPr>
        <w:pStyle w:val="Body-copy"/>
        <w:rPr>
          <w:lang w:val="en-AU"/>
        </w:rPr>
      </w:pPr>
      <w:r w:rsidRPr="00DD3E1F">
        <w:rPr>
          <w:lang w:val="en-AU"/>
        </w:rPr>
        <w:t xml:space="preserve">Before reusing any part of this document, including reproduction, public display, public performance, distribution, dissemination, communication, or importation, you must comply with the Attribution requirements under the CC BY licence. Enquiries about this licence and any use of this document can be sent to: advisory@austrade.gov.au. Use of the Coat of Arms The terms of use for the Coat of Arms are available from the It’s an Honour website (www.itsanhonour.gov.au). Publication date: </w:t>
      </w:r>
      <w:r w:rsidR="00A94DB3">
        <w:rPr>
          <w:lang w:val="en-AU"/>
        </w:rPr>
        <w:t xml:space="preserve">October </w:t>
      </w:r>
      <w:r w:rsidRPr="00DD3E1F">
        <w:rPr>
          <w:lang w:val="en-AU"/>
        </w:rPr>
        <w:t>2026</w:t>
      </w:r>
    </w:p>
    <w:p w14:paraId="02EB378F" w14:textId="77777777" w:rsidR="00572AF6" w:rsidRDefault="004C451D">
      <w:r>
        <w:br w:type="page"/>
      </w:r>
    </w:p>
    <w:p w14:paraId="406425CA" w14:textId="77777777" w:rsidR="00572AF6" w:rsidRDefault="004C451D">
      <w:pPr>
        <w:pStyle w:val="Heading-level1"/>
      </w:pPr>
      <w:r>
        <w:lastRenderedPageBreak/>
        <w:t>Contents</w:t>
      </w:r>
    </w:p>
    <w:p w14:paraId="3793582D" w14:textId="3916ED4F" w:rsidR="009B6438" w:rsidRPr="00542143" w:rsidRDefault="0078458D">
      <w:pPr>
        <w:pStyle w:val="Body-copy"/>
        <w:rPr>
          <w:b/>
          <w:bCs/>
          <w:sz w:val="24"/>
          <w:szCs w:val="24"/>
          <w:lang w:val="en-AU"/>
        </w:rPr>
      </w:pPr>
      <w:r w:rsidRPr="00542143">
        <w:rPr>
          <w:b/>
          <w:bCs/>
          <w:sz w:val="24"/>
          <w:szCs w:val="24"/>
          <w:lang w:val="en-AU"/>
        </w:rPr>
        <w:t>Trade f</w:t>
      </w:r>
      <w:r w:rsidR="00213E1C" w:rsidRPr="00542143">
        <w:rPr>
          <w:b/>
          <w:bCs/>
          <w:sz w:val="24"/>
          <w:szCs w:val="24"/>
          <w:lang w:val="en-AU"/>
        </w:rPr>
        <w:t>oreword</w:t>
      </w:r>
      <w:r w:rsidRPr="00542143">
        <w:rPr>
          <w:b/>
          <w:bCs/>
          <w:sz w:val="24"/>
          <w:szCs w:val="24"/>
          <w:lang w:val="en-AU"/>
        </w:rPr>
        <w:t xml:space="preserve"> </w:t>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sz w:val="24"/>
          <w:szCs w:val="24"/>
          <w:lang w:val="en-AU"/>
        </w:rPr>
        <w:t>2</w:t>
      </w:r>
      <w:r w:rsidRPr="00542143">
        <w:rPr>
          <w:b/>
          <w:bCs/>
          <w:sz w:val="24"/>
          <w:szCs w:val="24"/>
          <w:lang w:val="en-AU"/>
        </w:rPr>
        <w:t xml:space="preserve"> </w:t>
      </w:r>
    </w:p>
    <w:p w14:paraId="7FC366B1" w14:textId="31FCB4B2" w:rsidR="0078458D" w:rsidRPr="00542143" w:rsidRDefault="0078458D">
      <w:pPr>
        <w:pStyle w:val="Body-copy"/>
        <w:rPr>
          <w:b/>
          <w:bCs/>
          <w:sz w:val="24"/>
          <w:szCs w:val="24"/>
          <w:lang w:val="en-AU"/>
        </w:rPr>
      </w:pPr>
      <w:r w:rsidRPr="00542143">
        <w:rPr>
          <w:b/>
          <w:bCs/>
          <w:sz w:val="24"/>
          <w:szCs w:val="24"/>
          <w:lang w:val="en-AU"/>
        </w:rPr>
        <w:t xml:space="preserve">Investment foreword </w:t>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b/>
          <w:bCs/>
          <w:sz w:val="24"/>
          <w:szCs w:val="24"/>
          <w:lang w:val="en-AU"/>
        </w:rPr>
        <w:tab/>
      </w:r>
      <w:r w:rsidRPr="00542143">
        <w:rPr>
          <w:sz w:val="24"/>
          <w:szCs w:val="24"/>
          <w:lang w:val="en-AU"/>
        </w:rPr>
        <w:t>3</w:t>
      </w:r>
    </w:p>
    <w:p w14:paraId="1BFB201D" w14:textId="6E117476" w:rsidR="00572AF6" w:rsidRPr="00542143" w:rsidRDefault="004C451D">
      <w:pPr>
        <w:pStyle w:val="Body-copy"/>
        <w:rPr>
          <w:sz w:val="24"/>
          <w:szCs w:val="24"/>
          <w:lang w:val="en-AU"/>
        </w:rPr>
      </w:pPr>
      <w:r w:rsidRPr="00542143">
        <w:rPr>
          <w:b/>
          <w:bCs/>
          <w:sz w:val="24"/>
          <w:szCs w:val="24"/>
          <w:lang w:val="en-AU"/>
        </w:rPr>
        <w:t>Austrade’s year in review</w:t>
      </w:r>
      <w:r w:rsidRPr="00542143">
        <w:rPr>
          <w:sz w:val="24"/>
          <w:szCs w:val="24"/>
          <w:lang w:val="en-AU"/>
        </w:rPr>
        <w:t xml:space="preserve">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542143">
        <w:rPr>
          <w:sz w:val="24"/>
          <w:szCs w:val="24"/>
          <w:lang w:val="en-AU"/>
        </w:rPr>
        <w:tab/>
      </w:r>
      <w:r w:rsidRPr="00542143">
        <w:rPr>
          <w:sz w:val="24"/>
          <w:szCs w:val="24"/>
          <w:lang w:val="en-AU"/>
        </w:rPr>
        <w:t>5</w:t>
      </w:r>
    </w:p>
    <w:p w14:paraId="2C93D2C1" w14:textId="2B961AC6" w:rsidR="00572AF6" w:rsidRPr="00542143" w:rsidRDefault="004C451D" w:rsidP="009263C3">
      <w:pPr>
        <w:pStyle w:val="Body-copy"/>
        <w:numPr>
          <w:ilvl w:val="0"/>
          <w:numId w:val="20"/>
        </w:numPr>
        <w:rPr>
          <w:sz w:val="24"/>
          <w:szCs w:val="24"/>
          <w:lang w:val="en-AU"/>
        </w:rPr>
      </w:pPr>
      <w:r w:rsidRPr="00542143">
        <w:rPr>
          <w:sz w:val="24"/>
          <w:szCs w:val="24"/>
          <w:lang w:val="en-AU"/>
        </w:rPr>
        <w:t xml:space="preserve">Driving Australia’s economic prosperity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Pr="00542143">
        <w:rPr>
          <w:sz w:val="24"/>
          <w:szCs w:val="24"/>
          <w:lang w:val="en-AU"/>
        </w:rPr>
        <w:t>5</w:t>
      </w:r>
    </w:p>
    <w:p w14:paraId="1ABB8CD9" w14:textId="2EADCF79" w:rsidR="00572AF6" w:rsidRPr="00542143" w:rsidRDefault="004C451D" w:rsidP="009263C3">
      <w:pPr>
        <w:pStyle w:val="Body-copy"/>
        <w:numPr>
          <w:ilvl w:val="0"/>
          <w:numId w:val="20"/>
        </w:numPr>
        <w:rPr>
          <w:sz w:val="24"/>
          <w:szCs w:val="24"/>
          <w:lang w:val="en-AU"/>
        </w:rPr>
      </w:pPr>
      <w:r w:rsidRPr="00542143">
        <w:rPr>
          <w:sz w:val="24"/>
          <w:szCs w:val="24"/>
          <w:lang w:val="en-AU"/>
        </w:rPr>
        <w:t xml:space="preserve">Advancing outcomes through partnerships and agreements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Pr="00542143">
        <w:rPr>
          <w:sz w:val="24"/>
          <w:szCs w:val="24"/>
          <w:lang w:val="en-AU"/>
        </w:rPr>
        <w:t>7</w:t>
      </w:r>
    </w:p>
    <w:p w14:paraId="48108C90" w14:textId="5CFD317E" w:rsidR="0078458D" w:rsidRPr="00542143" w:rsidRDefault="004C451D" w:rsidP="009263C3">
      <w:pPr>
        <w:pStyle w:val="Body-copy"/>
        <w:numPr>
          <w:ilvl w:val="0"/>
          <w:numId w:val="20"/>
        </w:numPr>
        <w:rPr>
          <w:sz w:val="24"/>
          <w:szCs w:val="24"/>
          <w:lang w:val="en-AU"/>
        </w:rPr>
      </w:pPr>
      <w:r w:rsidRPr="00542143">
        <w:rPr>
          <w:sz w:val="24"/>
          <w:szCs w:val="24"/>
          <w:lang w:val="en-AU"/>
        </w:rPr>
        <w:t xml:space="preserve">Deepening engagement with Southeast Asia and South Asia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Pr="00542143">
        <w:rPr>
          <w:sz w:val="24"/>
          <w:szCs w:val="24"/>
          <w:lang w:val="en-AU"/>
        </w:rPr>
        <w:t xml:space="preserve">9 </w:t>
      </w:r>
    </w:p>
    <w:p w14:paraId="6D841B45" w14:textId="4CD35F04" w:rsidR="00572AF6" w:rsidRPr="00542143" w:rsidRDefault="004C451D">
      <w:pPr>
        <w:pStyle w:val="Body-copy"/>
        <w:rPr>
          <w:sz w:val="24"/>
          <w:szCs w:val="24"/>
          <w:lang w:val="en-AU"/>
        </w:rPr>
      </w:pPr>
      <w:r w:rsidRPr="00542143">
        <w:rPr>
          <w:b/>
          <w:bCs/>
          <w:sz w:val="24"/>
          <w:szCs w:val="24"/>
          <w:lang w:val="en-AU"/>
        </w:rPr>
        <w:t xml:space="preserve">Trade </w:t>
      </w:r>
      <w:r w:rsidR="0078458D" w:rsidRPr="00542143">
        <w:rPr>
          <w:b/>
          <w:bCs/>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9263C3" w:rsidRPr="00542143">
        <w:rPr>
          <w:sz w:val="24"/>
          <w:szCs w:val="24"/>
          <w:lang w:val="en-AU"/>
        </w:rPr>
        <w:tab/>
      </w:r>
      <w:r w:rsidRPr="00542143">
        <w:rPr>
          <w:sz w:val="24"/>
          <w:szCs w:val="24"/>
          <w:lang w:val="en-AU"/>
        </w:rPr>
        <w:t>11</w:t>
      </w:r>
    </w:p>
    <w:p w14:paraId="5D229853" w14:textId="0C8DCCF6" w:rsidR="0078458D" w:rsidRPr="00542143" w:rsidRDefault="004C451D" w:rsidP="009263C3">
      <w:pPr>
        <w:pStyle w:val="Body-copy"/>
        <w:numPr>
          <w:ilvl w:val="0"/>
          <w:numId w:val="20"/>
        </w:numPr>
        <w:rPr>
          <w:sz w:val="24"/>
          <w:szCs w:val="24"/>
          <w:lang w:val="en-AU"/>
        </w:rPr>
      </w:pPr>
      <w:r w:rsidRPr="00542143">
        <w:rPr>
          <w:sz w:val="24"/>
          <w:szCs w:val="24"/>
          <w:lang w:val="en-AU"/>
        </w:rPr>
        <w:t xml:space="preserve">Top sectors and markets for Austrade-facilitated export deals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Pr="00542143">
        <w:rPr>
          <w:sz w:val="24"/>
          <w:szCs w:val="24"/>
          <w:lang w:val="en-AU"/>
        </w:rPr>
        <w:t xml:space="preserve">14 </w:t>
      </w:r>
    </w:p>
    <w:p w14:paraId="7CAE8B5C" w14:textId="63F0EDE6" w:rsidR="00572AF6" w:rsidRPr="00542143" w:rsidRDefault="004C451D">
      <w:pPr>
        <w:pStyle w:val="Body-copy"/>
        <w:rPr>
          <w:sz w:val="24"/>
          <w:szCs w:val="24"/>
          <w:lang w:val="en-AU"/>
        </w:rPr>
      </w:pPr>
      <w:r w:rsidRPr="00542143">
        <w:rPr>
          <w:b/>
          <w:bCs/>
          <w:sz w:val="24"/>
          <w:szCs w:val="24"/>
          <w:lang w:val="en-AU"/>
        </w:rPr>
        <w:t xml:space="preserve">Investment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9263C3" w:rsidRPr="00542143">
        <w:rPr>
          <w:sz w:val="24"/>
          <w:szCs w:val="24"/>
          <w:lang w:val="en-AU"/>
        </w:rPr>
        <w:tab/>
      </w:r>
      <w:r w:rsidRPr="00542143">
        <w:rPr>
          <w:sz w:val="24"/>
          <w:szCs w:val="24"/>
          <w:lang w:val="en-AU"/>
        </w:rPr>
        <w:t>15</w:t>
      </w:r>
    </w:p>
    <w:p w14:paraId="0D5786EA" w14:textId="36FCC066" w:rsidR="0078458D" w:rsidRPr="00542143" w:rsidRDefault="004C451D" w:rsidP="009263C3">
      <w:pPr>
        <w:pStyle w:val="Body-copy"/>
        <w:numPr>
          <w:ilvl w:val="0"/>
          <w:numId w:val="20"/>
        </w:numPr>
        <w:rPr>
          <w:sz w:val="24"/>
          <w:szCs w:val="24"/>
          <w:lang w:val="en-AU"/>
        </w:rPr>
      </w:pPr>
      <w:r w:rsidRPr="00542143">
        <w:rPr>
          <w:sz w:val="24"/>
          <w:szCs w:val="24"/>
          <w:lang w:val="en-AU"/>
        </w:rPr>
        <w:t xml:space="preserve">Top sectors and markets for Austrade-facilitated investment projects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Pr="00542143">
        <w:rPr>
          <w:sz w:val="24"/>
          <w:szCs w:val="24"/>
          <w:lang w:val="en-AU"/>
        </w:rPr>
        <w:t xml:space="preserve">19 </w:t>
      </w:r>
    </w:p>
    <w:p w14:paraId="2571F550" w14:textId="196DEA64" w:rsidR="00572AF6" w:rsidRPr="00542143" w:rsidRDefault="004C451D">
      <w:pPr>
        <w:pStyle w:val="Body-copy"/>
        <w:rPr>
          <w:sz w:val="24"/>
          <w:szCs w:val="24"/>
          <w:lang w:val="en-AU"/>
        </w:rPr>
      </w:pPr>
      <w:r w:rsidRPr="00542143">
        <w:rPr>
          <w:b/>
          <w:bCs/>
          <w:sz w:val="24"/>
          <w:szCs w:val="24"/>
          <w:lang w:val="en-AU"/>
        </w:rPr>
        <w:t xml:space="preserve">Trade case studies </w:t>
      </w:r>
      <w:r w:rsidR="0078458D" w:rsidRPr="00542143">
        <w:rPr>
          <w:b/>
          <w:bCs/>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542143">
        <w:rPr>
          <w:sz w:val="24"/>
          <w:szCs w:val="24"/>
          <w:lang w:val="en-AU"/>
        </w:rPr>
        <w:tab/>
      </w:r>
      <w:r w:rsidRPr="00542143">
        <w:rPr>
          <w:sz w:val="24"/>
          <w:szCs w:val="24"/>
          <w:lang w:val="en-AU"/>
        </w:rPr>
        <w:t>21</w:t>
      </w:r>
    </w:p>
    <w:p w14:paraId="16D87766" w14:textId="1B30BA1B" w:rsidR="0078458D" w:rsidRPr="00542143" w:rsidRDefault="004C451D">
      <w:pPr>
        <w:pStyle w:val="Body-copy"/>
        <w:rPr>
          <w:sz w:val="24"/>
          <w:szCs w:val="24"/>
          <w:lang w:val="en-AU"/>
        </w:rPr>
      </w:pPr>
      <w:r w:rsidRPr="00542143">
        <w:rPr>
          <w:b/>
          <w:bCs/>
          <w:sz w:val="24"/>
          <w:szCs w:val="24"/>
          <w:lang w:val="en-AU"/>
        </w:rPr>
        <w:t>Investment case studies</w:t>
      </w:r>
      <w:r w:rsidRPr="00542143">
        <w:rPr>
          <w:sz w:val="24"/>
          <w:szCs w:val="24"/>
          <w:lang w:val="en-AU"/>
        </w:rPr>
        <w:t xml:space="preserve">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9263C3" w:rsidRPr="00542143">
        <w:rPr>
          <w:sz w:val="24"/>
          <w:szCs w:val="24"/>
          <w:lang w:val="en-AU"/>
        </w:rPr>
        <w:tab/>
      </w:r>
      <w:r w:rsidRPr="00542143">
        <w:rPr>
          <w:sz w:val="24"/>
          <w:szCs w:val="24"/>
          <w:lang w:val="en-AU"/>
        </w:rPr>
        <w:t>2</w:t>
      </w:r>
      <w:r w:rsidR="0009057A">
        <w:rPr>
          <w:sz w:val="24"/>
          <w:szCs w:val="24"/>
          <w:lang w:val="en-AU"/>
        </w:rPr>
        <w:t>5</w:t>
      </w:r>
      <w:r w:rsidRPr="00542143">
        <w:rPr>
          <w:sz w:val="24"/>
          <w:szCs w:val="24"/>
          <w:lang w:val="en-AU"/>
        </w:rPr>
        <w:t xml:space="preserve"> </w:t>
      </w:r>
    </w:p>
    <w:p w14:paraId="76E7C7FE" w14:textId="2C6F147C" w:rsidR="00572AF6" w:rsidRPr="00542143" w:rsidRDefault="004C451D">
      <w:pPr>
        <w:pStyle w:val="Body-copy"/>
        <w:rPr>
          <w:sz w:val="24"/>
          <w:szCs w:val="24"/>
          <w:lang w:val="en-AU"/>
        </w:rPr>
      </w:pPr>
      <w:r w:rsidRPr="00542143">
        <w:rPr>
          <w:b/>
          <w:bCs/>
          <w:sz w:val="24"/>
          <w:szCs w:val="24"/>
          <w:lang w:val="en-AU"/>
        </w:rPr>
        <w:t xml:space="preserve">How can Austrade help? </w:t>
      </w:r>
      <w:r w:rsidR="0078458D" w:rsidRPr="00542143">
        <w:rPr>
          <w:b/>
          <w:bCs/>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A94DB3">
        <w:rPr>
          <w:sz w:val="24"/>
          <w:szCs w:val="24"/>
          <w:lang w:val="en-AU"/>
        </w:rPr>
        <w:t>29</w:t>
      </w:r>
    </w:p>
    <w:p w14:paraId="47528FE9" w14:textId="407F57C0" w:rsidR="009263C3" w:rsidRPr="00542143" w:rsidRDefault="004C451D" w:rsidP="009263C3">
      <w:pPr>
        <w:pStyle w:val="Body-copy"/>
        <w:numPr>
          <w:ilvl w:val="0"/>
          <w:numId w:val="20"/>
        </w:numPr>
        <w:rPr>
          <w:sz w:val="24"/>
          <w:szCs w:val="24"/>
          <w:lang w:val="en-AU"/>
        </w:rPr>
      </w:pPr>
      <w:r w:rsidRPr="00542143">
        <w:rPr>
          <w:sz w:val="24"/>
          <w:szCs w:val="24"/>
          <w:lang w:val="en-AU"/>
        </w:rPr>
        <w:t xml:space="preserve">Australian businesses </w:t>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542143">
        <w:rPr>
          <w:sz w:val="24"/>
          <w:szCs w:val="24"/>
          <w:lang w:val="en-AU"/>
        </w:rPr>
        <w:tab/>
      </w:r>
      <w:r w:rsidR="00A94DB3">
        <w:rPr>
          <w:sz w:val="24"/>
          <w:szCs w:val="24"/>
          <w:lang w:val="en-AU"/>
        </w:rPr>
        <w:t>29</w:t>
      </w:r>
      <w:r w:rsidRPr="00542143">
        <w:rPr>
          <w:sz w:val="24"/>
          <w:szCs w:val="24"/>
          <w:lang w:val="en-AU"/>
        </w:rPr>
        <w:t xml:space="preserve"> </w:t>
      </w:r>
    </w:p>
    <w:p w14:paraId="35BAEE25" w14:textId="1AA5CE44" w:rsidR="00572AF6" w:rsidRPr="00542143" w:rsidRDefault="004C451D" w:rsidP="009263C3">
      <w:pPr>
        <w:pStyle w:val="Body-copy"/>
        <w:numPr>
          <w:ilvl w:val="0"/>
          <w:numId w:val="20"/>
        </w:numPr>
        <w:rPr>
          <w:sz w:val="24"/>
          <w:szCs w:val="24"/>
          <w:lang w:val="en-AU"/>
        </w:rPr>
      </w:pPr>
      <w:r w:rsidRPr="00542143">
        <w:rPr>
          <w:sz w:val="24"/>
          <w:szCs w:val="24"/>
          <w:lang w:val="en-AU"/>
        </w:rPr>
        <w:t xml:space="preserve">International investors </w:t>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78458D"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9263C3" w:rsidRPr="00542143">
        <w:rPr>
          <w:sz w:val="24"/>
          <w:szCs w:val="24"/>
          <w:lang w:val="en-AU"/>
        </w:rPr>
        <w:tab/>
      </w:r>
      <w:r w:rsidR="00542143">
        <w:rPr>
          <w:sz w:val="24"/>
          <w:szCs w:val="24"/>
          <w:lang w:val="en-AU"/>
        </w:rPr>
        <w:tab/>
      </w:r>
      <w:r w:rsidR="00A94DB3">
        <w:rPr>
          <w:sz w:val="24"/>
          <w:szCs w:val="24"/>
          <w:lang w:val="en-AU"/>
        </w:rPr>
        <w:t>29</w:t>
      </w:r>
    </w:p>
    <w:p w14:paraId="6A05A809" w14:textId="77777777" w:rsidR="00572AF6" w:rsidRDefault="004C451D">
      <w:r>
        <w:br w:type="page"/>
      </w:r>
    </w:p>
    <w:p w14:paraId="706E6B31" w14:textId="77777777" w:rsidR="00572AF6" w:rsidRPr="005479E4" w:rsidRDefault="004C451D">
      <w:pPr>
        <w:pStyle w:val="Heading-level2"/>
        <w:rPr>
          <w:color w:val="7030A0"/>
        </w:rPr>
      </w:pPr>
      <w:r w:rsidRPr="005479E4">
        <w:rPr>
          <w:color w:val="7030A0"/>
        </w:rPr>
        <w:lastRenderedPageBreak/>
        <w:t>Trade Foreword</w:t>
      </w:r>
    </w:p>
    <w:p w14:paraId="4EB6F7EA" w14:textId="77777777" w:rsidR="00B3057A" w:rsidRPr="00730D21" w:rsidRDefault="004C451D">
      <w:pPr>
        <w:pStyle w:val="Body-copy"/>
        <w:rPr>
          <w:sz w:val="24"/>
          <w:szCs w:val="24"/>
          <w:lang w:val="en-AU"/>
        </w:rPr>
      </w:pPr>
      <w:r w:rsidRPr="00730D21">
        <w:rPr>
          <w:sz w:val="24"/>
          <w:szCs w:val="24"/>
          <w:lang w:val="en-AU"/>
        </w:rPr>
        <w:t xml:space="preserve">Australian exporters are competing in a more contested and less predictable global economy. </w:t>
      </w:r>
    </w:p>
    <w:p w14:paraId="15E40D32" w14:textId="314F6A8A" w:rsidR="001E4890" w:rsidRPr="00730D21" w:rsidRDefault="004C451D">
      <w:pPr>
        <w:pStyle w:val="Body-copy"/>
        <w:rPr>
          <w:sz w:val="24"/>
          <w:szCs w:val="24"/>
          <w:lang w:val="en-AU"/>
        </w:rPr>
      </w:pPr>
      <w:r w:rsidRPr="00730D21">
        <w:rPr>
          <w:sz w:val="24"/>
          <w:szCs w:val="24"/>
          <w:lang w:val="en-AU"/>
        </w:rPr>
        <w:t xml:space="preserve">The opportunities are substantial, but so is the competition. Austrade’s role is clear: to help Australian businesses identify the markets where they can compete, connect with the right buyers and partners, and turn international opportunity into commercial success. </w:t>
      </w:r>
    </w:p>
    <w:p w14:paraId="436586BA" w14:textId="77777777" w:rsidR="00B3057A" w:rsidRPr="00730D21" w:rsidRDefault="004C451D">
      <w:pPr>
        <w:pStyle w:val="Body-copy"/>
        <w:rPr>
          <w:sz w:val="24"/>
          <w:szCs w:val="24"/>
          <w:lang w:val="en-AU"/>
        </w:rPr>
      </w:pPr>
      <w:r w:rsidRPr="00730D21">
        <w:rPr>
          <w:sz w:val="24"/>
          <w:szCs w:val="24"/>
          <w:lang w:val="en-AU"/>
        </w:rPr>
        <w:t xml:space="preserve">In 2025–26, Australian exporters working with Austrade secured 2,404 export deals valued at $8.8 billion, an increase of 26 per cent on the previous year. These results reflect both the capability of Australian businesses and the practical value of Austrade’s advice, market intelligence, commercial connections and international network. </w:t>
      </w:r>
    </w:p>
    <w:p w14:paraId="5EFBE20E" w14:textId="77777777" w:rsidR="00B3057A" w:rsidRPr="00730D21" w:rsidRDefault="004C451D">
      <w:pPr>
        <w:pStyle w:val="Body-copy"/>
        <w:rPr>
          <w:sz w:val="24"/>
          <w:szCs w:val="24"/>
          <w:lang w:val="en-AU"/>
        </w:rPr>
      </w:pPr>
      <w:r w:rsidRPr="00730D21">
        <w:rPr>
          <w:sz w:val="24"/>
          <w:szCs w:val="24"/>
          <w:lang w:val="en-AU"/>
        </w:rPr>
        <w:t xml:space="preserve">Diversification was a particular focus. Through the $55 million Accessing New Markets Initiative (ANMI), Austrade worked alongside industry and exporters to pursue opportunities in new and emerging markets. Southeast Asia and South Asia were particularly strong, together accounting for almost 1,000 Austrade-facilitated export deals worth more than $3 billion. Market access matters, but access alone does not create an export outcome. Businesses need to know where demand exists, how to compete and who to engage. </w:t>
      </w:r>
    </w:p>
    <w:p w14:paraId="344A34CD" w14:textId="77777777" w:rsidR="006927C3" w:rsidRPr="00730D21" w:rsidRDefault="004C451D">
      <w:pPr>
        <w:pStyle w:val="Body-copy"/>
        <w:rPr>
          <w:sz w:val="24"/>
          <w:szCs w:val="24"/>
          <w:lang w:val="en-AU"/>
        </w:rPr>
      </w:pPr>
      <w:r w:rsidRPr="00730D21">
        <w:rPr>
          <w:sz w:val="24"/>
          <w:szCs w:val="24"/>
          <w:lang w:val="en-AU"/>
        </w:rPr>
        <w:t xml:space="preserve">Austrade helps close that gap, working with exporters, buyers and partners across Australia and overseas to turn trade relationships and free trade agreements into commercial outcomes. We achieve stronger outcomes when the Commonwealth, states and territories, industry and Austrade’s international network work together. That collaboration helps buyers identify Australian capability and provides exporters with more coordinated support at home and abroad. The priority now is to help more Australian businesses build export capability, diversify into new markets and grow internationally, while focusing Austrade’s effort where it can deliver the greatest impact. </w:t>
      </w:r>
    </w:p>
    <w:p w14:paraId="31938892" w14:textId="2F06D5F0" w:rsidR="00AA621F" w:rsidRPr="00730D21" w:rsidRDefault="004C451D">
      <w:pPr>
        <w:pStyle w:val="Body-copy"/>
        <w:rPr>
          <w:sz w:val="24"/>
          <w:szCs w:val="24"/>
          <w:lang w:val="en-AU"/>
        </w:rPr>
      </w:pPr>
      <w:r w:rsidRPr="00730D21">
        <w:rPr>
          <w:sz w:val="24"/>
          <w:szCs w:val="24"/>
          <w:lang w:val="en-AU"/>
        </w:rPr>
        <w:t xml:space="preserve">I want to thank our Trade team across Australia and our international network for the judgement, expertise and commitment they bring to this work, and our partners across government and industry for their collaboration. Above all, I want to acknowledge the Australian exporters whose ambition, investment and persistence drive these results. As Austrade enters its fifth decade, our task remains unchanged: helping more Australian businesses succeed internationally. </w:t>
      </w:r>
    </w:p>
    <w:p w14:paraId="6D417372" w14:textId="77777777" w:rsidR="00AA621F" w:rsidRPr="00730D21" w:rsidRDefault="004C451D" w:rsidP="00730D21">
      <w:pPr>
        <w:pStyle w:val="Body-copy"/>
        <w:spacing w:before="0" w:after="0" w:line="240" w:lineRule="auto"/>
        <w:rPr>
          <w:sz w:val="24"/>
          <w:szCs w:val="24"/>
          <w:lang w:val="en-AU"/>
        </w:rPr>
      </w:pPr>
      <w:r w:rsidRPr="00730D21">
        <w:rPr>
          <w:sz w:val="24"/>
          <w:szCs w:val="24"/>
          <w:lang w:val="en-AU"/>
        </w:rPr>
        <w:t xml:space="preserve">Jason Verspuy </w:t>
      </w:r>
    </w:p>
    <w:p w14:paraId="66E48560" w14:textId="03EB1997" w:rsidR="00572AF6" w:rsidRPr="00730D21" w:rsidRDefault="004C451D" w:rsidP="00730D21">
      <w:pPr>
        <w:pStyle w:val="Body-copy"/>
        <w:spacing w:before="0" w:after="0" w:line="240" w:lineRule="auto"/>
        <w:rPr>
          <w:sz w:val="24"/>
          <w:szCs w:val="24"/>
          <w:lang w:val="en-AU"/>
        </w:rPr>
      </w:pPr>
      <w:r w:rsidRPr="00730D21">
        <w:rPr>
          <w:sz w:val="24"/>
          <w:szCs w:val="24"/>
          <w:lang w:val="en-AU"/>
        </w:rPr>
        <w:t>General Manager, Trade</w:t>
      </w:r>
    </w:p>
    <w:p w14:paraId="5A39BBE3" w14:textId="77777777" w:rsidR="00572AF6" w:rsidRDefault="004C451D">
      <w:r>
        <w:br w:type="page"/>
      </w:r>
    </w:p>
    <w:p w14:paraId="4EFC0771" w14:textId="77777777" w:rsidR="00572AF6" w:rsidRPr="005479E4" w:rsidRDefault="004C451D">
      <w:pPr>
        <w:pStyle w:val="Heading-level2"/>
        <w:rPr>
          <w:color w:val="7030A0"/>
        </w:rPr>
      </w:pPr>
      <w:r w:rsidRPr="005479E4">
        <w:rPr>
          <w:color w:val="7030A0"/>
        </w:rPr>
        <w:lastRenderedPageBreak/>
        <w:t>Investment Foreword</w:t>
      </w:r>
    </w:p>
    <w:p w14:paraId="4F80D8ED" w14:textId="77777777" w:rsidR="00AA621F" w:rsidRPr="00730D21" w:rsidRDefault="004C451D">
      <w:pPr>
        <w:pStyle w:val="Body-copy"/>
        <w:rPr>
          <w:sz w:val="24"/>
          <w:szCs w:val="24"/>
          <w:lang w:val="en-AU"/>
        </w:rPr>
      </w:pPr>
      <w:r w:rsidRPr="00730D21">
        <w:rPr>
          <w:sz w:val="24"/>
          <w:szCs w:val="24"/>
          <w:lang w:val="en-AU"/>
        </w:rPr>
        <w:t xml:space="preserve">Austrade’s investment story is younger than its trade story – the Investment Promotion Program was not established until 1987, a year after this agency was founded. </w:t>
      </w:r>
    </w:p>
    <w:p w14:paraId="5E5493CD" w14:textId="77777777" w:rsidR="00AA621F" w:rsidRPr="00730D21" w:rsidRDefault="004C451D">
      <w:pPr>
        <w:pStyle w:val="Body-copy"/>
        <w:rPr>
          <w:sz w:val="24"/>
          <w:szCs w:val="24"/>
          <w:lang w:val="en-AU"/>
        </w:rPr>
      </w:pPr>
      <w:r w:rsidRPr="00730D21">
        <w:rPr>
          <w:sz w:val="24"/>
          <w:szCs w:val="24"/>
          <w:lang w:val="en-AU"/>
        </w:rPr>
        <w:t xml:space="preserve">Forty years on, it is central to how Australia funds its future, financing the infrastructure and assets that will define our economy for decades to come. What has not changed is our conviction that the capability an investor brings matters as much as the capital they commit. </w:t>
      </w:r>
    </w:p>
    <w:p w14:paraId="0D7DE206" w14:textId="1D0EDD82" w:rsidR="00572AF6" w:rsidRPr="00730D21" w:rsidRDefault="004C451D">
      <w:pPr>
        <w:pStyle w:val="Body-copy"/>
        <w:rPr>
          <w:sz w:val="24"/>
          <w:szCs w:val="24"/>
          <w:lang w:val="en-AU"/>
        </w:rPr>
      </w:pPr>
      <w:r w:rsidRPr="00730D21">
        <w:rPr>
          <w:sz w:val="24"/>
          <w:szCs w:val="24"/>
          <w:lang w:val="en-AU"/>
        </w:rPr>
        <w:t>2025–26 provided strong evidence of that conviction. Austrade facilitated 115 investment outcomes worth $15.4 billion, supporting 19,093 Australian jobs – a record result against a challenging global backdrop. $9 billion of that, across 62 projects, backed our decarbonisation priorities; a further $5 billion, across 53 projects, strengthened economic security. Our pipeline now holds more than $200 billion in future opportunity. Those numbers reflect a shift in who we are engaging, and what we are prioritising. Alongside the corporate investors we have long worked with, we are increasingly engaging sovereign wealth funds, pension funds, private equity and venture capital – institutional capital that brings a long-term perspective to the opportunities shaping Australia’s future.</w:t>
      </w:r>
    </w:p>
    <w:p w14:paraId="135FB6CB" w14:textId="77777777" w:rsidR="00572AF6" w:rsidRPr="00730D21" w:rsidRDefault="004C451D">
      <w:pPr>
        <w:pStyle w:val="Body-copy"/>
        <w:rPr>
          <w:sz w:val="24"/>
          <w:szCs w:val="24"/>
          <w:lang w:val="en-AU"/>
        </w:rPr>
      </w:pPr>
      <w:r w:rsidRPr="00730D21">
        <w:rPr>
          <w:sz w:val="24"/>
          <w:szCs w:val="24"/>
          <w:lang w:val="en-AU"/>
        </w:rPr>
        <w:t>Our discipline is to prioritise the quality of capital and capability over the sheer volume of deals. Delivering that requires collaboration: through the National Investment Forum, we worked with every state and territory this year to present investors with a single, coordinated Team Australia approach.</w:t>
      </w:r>
    </w:p>
    <w:p w14:paraId="6659D7FB" w14:textId="77777777" w:rsidR="00572AF6" w:rsidRPr="00730D21" w:rsidRDefault="004C451D">
      <w:pPr>
        <w:pStyle w:val="Body-copy"/>
        <w:rPr>
          <w:sz w:val="24"/>
          <w:szCs w:val="24"/>
          <w:lang w:val="en-AU"/>
        </w:rPr>
      </w:pPr>
      <w:r w:rsidRPr="00730D21">
        <w:rPr>
          <w:sz w:val="24"/>
          <w:szCs w:val="24"/>
          <w:lang w:val="en-AU"/>
        </w:rPr>
        <w:t>Looking ahead, decarbonisation and economic security remain our two priority areas, and increasingly they intersect. None of this occurs in isolation from the trade work elsewhere in this report – investment follows trust, and trust is built deal by deal, long before any investment decision is made. Forty years in, our trade and investment functions remain two halves of the same story.</w:t>
      </w:r>
    </w:p>
    <w:p w14:paraId="1EF78A34" w14:textId="77777777" w:rsidR="00AA621F" w:rsidRPr="00730D21" w:rsidRDefault="004C451D">
      <w:pPr>
        <w:pStyle w:val="Body-copy"/>
        <w:rPr>
          <w:sz w:val="24"/>
          <w:szCs w:val="24"/>
          <w:lang w:val="en-AU"/>
        </w:rPr>
      </w:pPr>
      <w:r w:rsidRPr="00730D21">
        <w:rPr>
          <w:sz w:val="24"/>
          <w:szCs w:val="24"/>
          <w:lang w:val="en-AU"/>
        </w:rPr>
        <w:t xml:space="preserve">I am proud of what the Investment team delivered this year, grateful to the many partners and investors whose collaboration and confidence underpin these outcomes, and excited by the opportunities ahead as we continue to attract the capital and capability that will shape Australia’s future. </w:t>
      </w:r>
    </w:p>
    <w:p w14:paraId="058EF007" w14:textId="77777777" w:rsidR="00AA621F" w:rsidRPr="00730D21" w:rsidRDefault="004C451D" w:rsidP="00730D21">
      <w:pPr>
        <w:pStyle w:val="Body-copy"/>
        <w:spacing w:before="0" w:after="0"/>
        <w:rPr>
          <w:sz w:val="24"/>
          <w:szCs w:val="24"/>
          <w:lang w:val="en-AU"/>
        </w:rPr>
      </w:pPr>
      <w:r w:rsidRPr="00730D21">
        <w:rPr>
          <w:sz w:val="24"/>
          <w:szCs w:val="24"/>
          <w:lang w:val="en-AU"/>
        </w:rPr>
        <w:t xml:space="preserve">Peter Horn </w:t>
      </w:r>
    </w:p>
    <w:p w14:paraId="2CA5BD9A" w14:textId="197DAE28" w:rsidR="00572AF6" w:rsidRPr="00730D21" w:rsidRDefault="004C451D" w:rsidP="00730D21">
      <w:pPr>
        <w:pStyle w:val="Body-copy"/>
        <w:spacing w:before="0" w:after="0"/>
        <w:rPr>
          <w:sz w:val="24"/>
          <w:szCs w:val="24"/>
          <w:lang w:val="en-AU"/>
        </w:rPr>
      </w:pPr>
      <w:r w:rsidRPr="00730D21">
        <w:rPr>
          <w:sz w:val="24"/>
          <w:szCs w:val="24"/>
          <w:lang w:val="en-AU"/>
        </w:rPr>
        <w:t>General Manager, Investment</w:t>
      </w:r>
    </w:p>
    <w:p w14:paraId="41C8F396" w14:textId="77777777" w:rsidR="00572AF6" w:rsidRDefault="004C451D">
      <w:r>
        <w:br w:type="page"/>
      </w:r>
    </w:p>
    <w:p w14:paraId="72A3D3EC" w14:textId="77777777" w:rsidR="00572AF6" w:rsidRDefault="004C451D">
      <w:pPr>
        <w:spacing w:before="0" w:after="0"/>
        <w:jc w:val="center"/>
      </w:pPr>
      <w:r>
        <w:rPr>
          <w:noProof/>
        </w:rPr>
        <w:lastRenderedPageBreak/>
        <w:drawing>
          <wp:inline distT="0" distB="0" distL="0" distR="0" wp14:anchorId="2E5ECD87" wp14:editId="07777777">
            <wp:extent cx="9372600" cy="6629400"/>
            <wp:effectExtent l="0" t="0" r="0" b="0"/>
            <wp:docPr id="2" name="Picture 2" descr="Austrade year in review sec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6.png"/>
                    <pic:cNvPicPr/>
                  </pic:nvPicPr>
                  <pic:blipFill>
                    <a:blip r:embed="rId11"/>
                    <a:stretch>
                      <a:fillRect/>
                    </a:stretch>
                  </pic:blipFill>
                  <pic:spPr>
                    <a:xfrm>
                      <a:off x="0" y="0"/>
                      <a:ext cx="9372600" cy="6629400"/>
                    </a:xfrm>
                    <a:prstGeom prst="rect">
                      <a:avLst/>
                    </a:prstGeom>
                  </pic:spPr>
                </pic:pic>
              </a:graphicData>
            </a:graphic>
          </wp:inline>
        </w:drawing>
      </w:r>
    </w:p>
    <w:p w14:paraId="0E27B00A" w14:textId="77777777" w:rsidR="00572AF6" w:rsidRDefault="004C451D">
      <w:pPr>
        <w:spacing w:before="0" w:after="0"/>
        <w:jc w:val="center"/>
      </w:pPr>
      <w:r>
        <w:rPr>
          <w:noProof/>
        </w:rPr>
        <w:lastRenderedPageBreak/>
        <w:drawing>
          <wp:inline distT="0" distB="0" distL="0" distR="0" wp14:anchorId="6D665005" wp14:editId="07777777">
            <wp:extent cx="9372600" cy="6629400"/>
            <wp:effectExtent l="0" t="0" r="0" b="0"/>
            <wp:docPr id="3" name="Picture 3" descr="Export outcome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7.png"/>
                    <pic:cNvPicPr/>
                  </pic:nvPicPr>
                  <pic:blipFill>
                    <a:blip r:embed="rId12"/>
                    <a:stretch>
                      <a:fillRect/>
                    </a:stretch>
                  </pic:blipFill>
                  <pic:spPr>
                    <a:xfrm>
                      <a:off x="0" y="0"/>
                      <a:ext cx="9372600" cy="6629400"/>
                    </a:xfrm>
                    <a:prstGeom prst="rect">
                      <a:avLst/>
                    </a:prstGeom>
                  </pic:spPr>
                </pic:pic>
              </a:graphicData>
            </a:graphic>
          </wp:inline>
        </w:drawing>
      </w:r>
    </w:p>
    <w:p w14:paraId="51FD6583" w14:textId="3CBFE251" w:rsidR="00834123" w:rsidRPr="005479E4" w:rsidRDefault="00834123" w:rsidP="00834123">
      <w:pPr>
        <w:pStyle w:val="Heading-level2"/>
        <w:rPr>
          <w:color w:val="7030A0"/>
        </w:rPr>
      </w:pPr>
      <w:r w:rsidRPr="005479E4">
        <w:rPr>
          <w:color w:val="7030A0"/>
        </w:rPr>
        <w:lastRenderedPageBreak/>
        <w:t xml:space="preserve">Austrade’s year in review </w:t>
      </w:r>
      <w:r w:rsidR="008C4757" w:rsidRPr="005479E4">
        <w:rPr>
          <w:color w:val="7030A0"/>
        </w:rPr>
        <w:t xml:space="preserve">– Trade </w:t>
      </w:r>
    </w:p>
    <w:p w14:paraId="30A82A00" w14:textId="77777777" w:rsidR="00834123" w:rsidRPr="00D8607D" w:rsidRDefault="00834123" w:rsidP="00834123">
      <w:pPr>
        <w:rPr>
          <w:sz w:val="24"/>
          <w:szCs w:val="24"/>
        </w:rPr>
      </w:pPr>
      <w:r w:rsidRPr="00D8607D">
        <w:rPr>
          <w:sz w:val="24"/>
          <w:szCs w:val="24"/>
        </w:rPr>
        <w:t>Austrade delivers quality trade and investment services to businesses and policy advice to government to help grow Australia’s prosperity. We support Australian exporters and international investors through our global network, connections and commercial insights.</w:t>
      </w:r>
    </w:p>
    <w:p w14:paraId="0652AD37" w14:textId="3D7007C7" w:rsidR="00834123" w:rsidRPr="00D8607D" w:rsidRDefault="00834123" w:rsidP="00834123">
      <w:pPr>
        <w:rPr>
          <w:sz w:val="24"/>
          <w:szCs w:val="24"/>
        </w:rPr>
      </w:pPr>
      <w:r w:rsidRPr="00D8607D">
        <w:rPr>
          <w:sz w:val="24"/>
          <w:szCs w:val="24"/>
        </w:rPr>
        <w:t>As an open, globally connected economy, Australia benefits from extensive trade links, strong integration with international markets and a broad network of trade agreements. Trade is central to Australia’s prosperity. Around one in 4 Australian jobs are trade-related, and almost one third of Australia’s economic output depends on trade.</w:t>
      </w:r>
      <w:r w:rsidR="00A90225" w:rsidRPr="00D8607D">
        <w:rPr>
          <w:sz w:val="24"/>
          <w:szCs w:val="24"/>
        </w:rPr>
        <w:t xml:space="preserve"> </w:t>
      </w:r>
      <w:r w:rsidRPr="00D8607D">
        <w:rPr>
          <w:sz w:val="24"/>
          <w:szCs w:val="24"/>
        </w:rPr>
        <w:t>By helping Australian businesses succeed internationally, Austrade contributes to stronger industries, higher-value jobs and long-term economic growth.</w:t>
      </w:r>
    </w:p>
    <w:p w14:paraId="2CCBC8F6" w14:textId="77777777" w:rsidR="00834123" w:rsidRPr="00D8607D" w:rsidRDefault="00834123" w:rsidP="00834123">
      <w:pPr>
        <w:rPr>
          <w:sz w:val="24"/>
          <w:szCs w:val="24"/>
        </w:rPr>
      </w:pPr>
      <w:r w:rsidRPr="00D8607D">
        <w:rPr>
          <w:sz w:val="24"/>
          <w:szCs w:val="24"/>
        </w:rPr>
        <w:t>In 2025–26, Austrade helped Australian businesses secure 2,404 export deals valued at an estimated $8.8 billion, a 26% increase on the previous year. Through the $55 million Accessing New Markets Initiative program, Austrade supported 88 trade events to help Australian businesses respond to supply chain disruption, expand into new markets and build trade resilience.</w:t>
      </w:r>
    </w:p>
    <w:p w14:paraId="32DB4A41" w14:textId="77777777" w:rsidR="00416116" w:rsidRPr="00D8607D" w:rsidRDefault="00416116" w:rsidP="00416116">
      <w:pPr>
        <w:rPr>
          <w:sz w:val="24"/>
          <w:szCs w:val="24"/>
        </w:rPr>
      </w:pPr>
      <w:r w:rsidRPr="00D8607D">
        <w:rPr>
          <w:sz w:val="24"/>
          <w:szCs w:val="24"/>
        </w:rPr>
        <w:t>Austrade worked with more than 6,120 Australian businesses during the year, delivering over 43,000 trade services, including market advice, buyer introductions and support at international trade events. Through this support, businesses identified new opportunities, built commercial relationships and expanded into international markets.</w:t>
      </w:r>
    </w:p>
    <w:p w14:paraId="7EAC65A0" w14:textId="77777777" w:rsidR="0027662B" w:rsidRPr="00641813" w:rsidRDefault="0027662B" w:rsidP="00641813">
      <w:pPr>
        <w:rPr>
          <w:b/>
          <w:bCs/>
        </w:rPr>
      </w:pPr>
      <w:r w:rsidRPr="00641813">
        <w:rPr>
          <w:b/>
          <w:bCs/>
        </w:rPr>
        <w:t>Trade results 2025–26</w:t>
      </w:r>
    </w:p>
    <w:tbl>
      <w:tblPr>
        <w:tblStyle w:val="TableGrid"/>
        <w:tblW w:w="0" w:type="auto"/>
        <w:jc w:val="center"/>
        <w:tblLook w:val="04A0" w:firstRow="1" w:lastRow="0" w:firstColumn="1" w:lastColumn="0" w:noHBand="0" w:noVBand="1"/>
      </w:tblPr>
      <w:tblGrid>
        <w:gridCol w:w="7488"/>
        <w:gridCol w:w="6336"/>
      </w:tblGrid>
      <w:tr w:rsidR="00641813" w14:paraId="54DAE01B" w14:textId="77777777" w:rsidTr="005479E4">
        <w:trPr>
          <w:trHeight w:hRule="exact" w:val="567"/>
          <w:jc w:val="center"/>
        </w:trPr>
        <w:tc>
          <w:tcPr>
            <w:tcW w:w="13824" w:type="dxa"/>
            <w:gridSpan w:val="2"/>
            <w:shd w:val="clear" w:color="auto" w:fill="7030A0"/>
            <w:tcMar>
              <w:top w:w="90" w:type="dxa"/>
              <w:left w:w="110" w:type="dxa"/>
              <w:bottom w:w="90" w:type="dxa"/>
              <w:right w:w="110" w:type="dxa"/>
            </w:tcMar>
            <w:vAlign w:val="center"/>
          </w:tcPr>
          <w:p w14:paraId="08A24918" w14:textId="6A90E0DE" w:rsidR="00641813" w:rsidRPr="0027662B" w:rsidRDefault="00641813" w:rsidP="004D1824">
            <w:pPr>
              <w:rPr>
                <w:color w:val="FFFFFF" w:themeColor="background1"/>
              </w:rPr>
            </w:pPr>
            <w:r>
              <w:rPr>
                <w:color w:val="FFFFFF" w:themeColor="background1"/>
              </w:rPr>
              <w:t xml:space="preserve">Total number and value of export deals facilitated in FY2025-26 </w:t>
            </w:r>
          </w:p>
        </w:tc>
      </w:tr>
      <w:tr w:rsidR="0027662B" w14:paraId="466AB9ED" w14:textId="77777777" w:rsidTr="008C4757">
        <w:trPr>
          <w:trHeight w:hRule="exact" w:val="567"/>
          <w:jc w:val="center"/>
        </w:trPr>
        <w:tc>
          <w:tcPr>
            <w:tcW w:w="7488" w:type="dxa"/>
            <w:tcMar>
              <w:top w:w="90" w:type="dxa"/>
              <w:left w:w="110" w:type="dxa"/>
              <w:bottom w:w="90" w:type="dxa"/>
              <w:right w:w="110" w:type="dxa"/>
            </w:tcMar>
            <w:vAlign w:val="center"/>
          </w:tcPr>
          <w:p w14:paraId="6BD44319" w14:textId="77777777" w:rsidR="0027662B" w:rsidRDefault="0027662B" w:rsidP="004D1824">
            <w:r>
              <w:t>Value of export deals (A$)</w:t>
            </w:r>
          </w:p>
        </w:tc>
        <w:tc>
          <w:tcPr>
            <w:tcW w:w="6336" w:type="dxa"/>
            <w:tcMar>
              <w:top w:w="90" w:type="dxa"/>
              <w:left w:w="110" w:type="dxa"/>
              <w:bottom w:w="90" w:type="dxa"/>
              <w:right w:w="110" w:type="dxa"/>
            </w:tcMar>
            <w:vAlign w:val="center"/>
          </w:tcPr>
          <w:p w14:paraId="491F0760" w14:textId="63F1B269" w:rsidR="0027662B" w:rsidRDefault="0027662B" w:rsidP="004D1824">
            <w:r>
              <w:t xml:space="preserve">$8.8 </w:t>
            </w:r>
            <w:r w:rsidR="00B76538">
              <w:t>billion</w:t>
            </w:r>
          </w:p>
        </w:tc>
      </w:tr>
      <w:tr w:rsidR="0027662B" w14:paraId="734574DD" w14:textId="77777777" w:rsidTr="008C4757">
        <w:trPr>
          <w:trHeight w:hRule="exact" w:val="567"/>
          <w:jc w:val="center"/>
        </w:trPr>
        <w:tc>
          <w:tcPr>
            <w:tcW w:w="7488" w:type="dxa"/>
            <w:tcMar>
              <w:top w:w="90" w:type="dxa"/>
              <w:left w:w="110" w:type="dxa"/>
              <w:bottom w:w="90" w:type="dxa"/>
              <w:right w:w="110" w:type="dxa"/>
            </w:tcMar>
            <w:vAlign w:val="center"/>
          </w:tcPr>
          <w:p w14:paraId="076BA0F4" w14:textId="77777777" w:rsidR="0027662B" w:rsidRDefault="0027662B" w:rsidP="004D1824">
            <w:r>
              <w:t>Number of export deals</w:t>
            </w:r>
          </w:p>
        </w:tc>
        <w:tc>
          <w:tcPr>
            <w:tcW w:w="6336" w:type="dxa"/>
            <w:tcMar>
              <w:top w:w="90" w:type="dxa"/>
              <w:left w:w="110" w:type="dxa"/>
              <w:bottom w:w="90" w:type="dxa"/>
              <w:right w:w="110" w:type="dxa"/>
            </w:tcMar>
            <w:vAlign w:val="center"/>
          </w:tcPr>
          <w:p w14:paraId="470A5AAD" w14:textId="77777777" w:rsidR="0027662B" w:rsidRDefault="0027662B" w:rsidP="004D1824">
            <w:r>
              <w:t>2,404</w:t>
            </w:r>
          </w:p>
        </w:tc>
      </w:tr>
      <w:tr w:rsidR="0027662B" w14:paraId="6DB0FC91" w14:textId="77777777" w:rsidTr="008C4757">
        <w:trPr>
          <w:trHeight w:hRule="exact" w:val="567"/>
          <w:jc w:val="center"/>
        </w:trPr>
        <w:tc>
          <w:tcPr>
            <w:tcW w:w="7488" w:type="dxa"/>
            <w:tcMar>
              <w:top w:w="90" w:type="dxa"/>
              <w:left w:w="110" w:type="dxa"/>
              <w:bottom w:w="90" w:type="dxa"/>
              <w:right w:w="110" w:type="dxa"/>
            </w:tcMar>
            <w:vAlign w:val="center"/>
          </w:tcPr>
          <w:p w14:paraId="4AA13034" w14:textId="77777777" w:rsidR="0027662B" w:rsidRDefault="0027662B" w:rsidP="004D1824">
            <w:r>
              <w:t>Year-on-year increase in export deal value</w:t>
            </w:r>
          </w:p>
        </w:tc>
        <w:tc>
          <w:tcPr>
            <w:tcW w:w="6336" w:type="dxa"/>
            <w:tcMar>
              <w:top w:w="90" w:type="dxa"/>
              <w:left w:w="110" w:type="dxa"/>
              <w:bottom w:w="90" w:type="dxa"/>
              <w:right w:w="110" w:type="dxa"/>
            </w:tcMar>
            <w:vAlign w:val="center"/>
          </w:tcPr>
          <w:p w14:paraId="24C326B7" w14:textId="6FDD8942" w:rsidR="0027662B" w:rsidRDefault="0027662B" w:rsidP="004D1824">
            <w:r>
              <w:t>26%</w:t>
            </w:r>
            <w:r w:rsidR="00A90225">
              <w:t xml:space="preserve"> (vs $7 bn in FY2024-25) </w:t>
            </w:r>
          </w:p>
        </w:tc>
      </w:tr>
    </w:tbl>
    <w:p w14:paraId="44EAFD9C" w14:textId="28F21E47" w:rsidR="00572AF6" w:rsidRDefault="00D674D2">
      <w:pPr>
        <w:spacing w:before="0" w:after="0"/>
        <w:jc w:val="center"/>
      </w:pPr>
      <w:r w:rsidRPr="00D674D2">
        <w:rPr>
          <w:noProof/>
        </w:rPr>
        <w:lastRenderedPageBreak/>
        <w:drawing>
          <wp:inline distT="0" distB="0" distL="0" distR="0" wp14:anchorId="6B805BEA" wp14:editId="365313D9">
            <wp:extent cx="8996680" cy="6380480"/>
            <wp:effectExtent l="0" t="0" r="0" b="1270"/>
            <wp:docPr id="1353430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30609" name=""/>
                    <pic:cNvPicPr/>
                  </pic:nvPicPr>
                  <pic:blipFill>
                    <a:blip r:embed="rId13"/>
                    <a:stretch>
                      <a:fillRect/>
                    </a:stretch>
                  </pic:blipFill>
                  <pic:spPr>
                    <a:xfrm>
                      <a:off x="0" y="0"/>
                      <a:ext cx="8996680" cy="6380480"/>
                    </a:xfrm>
                    <a:prstGeom prst="rect">
                      <a:avLst/>
                    </a:prstGeom>
                  </pic:spPr>
                </pic:pic>
              </a:graphicData>
            </a:graphic>
          </wp:inline>
        </w:drawing>
      </w:r>
    </w:p>
    <w:p w14:paraId="0CE1E225" w14:textId="2D68EB3B" w:rsidR="008C4757" w:rsidRPr="005479E4" w:rsidRDefault="008C4757" w:rsidP="008C4757">
      <w:pPr>
        <w:pStyle w:val="Heading-level2"/>
        <w:rPr>
          <w:color w:val="7030A0"/>
        </w:rPr>
      </w:pPr>
      <w:r w:rsidRPr="005479E4">
        <w:rPr>
          <w:color w:val="7030A0"/>
        </w:rPr>
        <w:lastRenderedPageBreak/>
        <w:t xml:space="preserve">Austrade’s year in review – Investment </w:t>
      </w:r>
    </w:p>
    <w:p w14:paraId="50AD6847" w14:textId="77777777" w:rsidR="008C4757" w:rsidRPr="00D8607D" w:rsidRDefault="008C4757" w:rsidP="008C4757">
      <w:pPr>
        <w:rPr>
          <w:sz w:val="24"/>
          <w:szCs w:val="24"/>
        </w:rPr>
      </w:pPr>
      <w:r w:rsidRPr="00D8607D">
        <w:rPr>
          <w:sz w:val="24"/>
          <w:szCs w:val="24"/>
        </w:rPr>
        <w:t>As the Australian Government’s investment promotion agency (IPA), Austrade plays a leading role in promoting, attracting and facilitating the capital and capability that Australia needs. Austrade’s approach to investment attraction is highly targeted, channelling the efforts of staff across more than 60 locations around the world towards sectors where international investment and expertise can deliver the most significant economic and strategic returns. Austrade’s investment focus is guided by Australian Government priorities, especially those tied to decarbonisation, economic security and policy frameworks such as Future Made in Australia.</w:t>
      </w:r>
    </w:p>
    <w:p w14:paraId="654CA7F8" w14:textId="3D1CF9ED" w:rsidR="008C4757" w:rsidRPr="00D8607D" w:rsidRDefault="008C4757" w:rsidP="008C4757">
      <w:pPr>
        <w:rPr>
          <w:sz w:val="24"/>
          <w:szCs w:val="24"/>
        </w:rPr>
      </w:pPr>
      <w:r w:rsidRPr="00D8607D">
        <w:rPr>
          <w:sz w:val="24"/>
          <w:szCs w:val="24"/>
        </w:rPr>
        <w:t>Despite global headwinds, Austrade delivered a record year for investment in 2025–26. The strong result reflects Austrade’s strategic shift to focus on high-quality investment from growth sectors, supported by contributions across a range of markets.</w:t>
      </w:r>
      <w:r w:rsidR="000C4C87">
        <w:rPr>
          <w:sz w:val="24"/>
          <w:szCs w:val="24"/>
        </w:rPr>
        <w:t xml:space="preserve"> </w:t>
      </w:r>
      <w:r w:rsidRPr="00D8607D">
        <w:rPr>
          <w:sz w:val="24"/>
          <w:szCs w:val="24"/>
        </w:rPr>
        <w:t>Austrade facilitated 115 investment outcomes worth an estimated $15.4 billion, supporting 19,093 jobs. These projects bring capital, new technology and know-how to help decarbonise Australian industries, leveraging Australia’s strengths in natural resources, a highly skilled workforce and world-class research capability. Austrade also secured investment that delivers strategic benefits, strengthening supply-chain resilience across critical minerals, artificial intelligence, digital infrastructure and defence industries.</w:t>
      </w:r>
    </w:p>
    <w:p w14:paraId="48D4C9C2" w14:textId="7B035815" w:rsidR="008C4757" w:rsidRPr="00D8607D" w:rsidRDefault="008C4757" w:rsidP="008C4757">
      <w:pPr>
        <w:rPr>
          <w:sz w:val="24"/>
          <w:szCs w:val="24"/>
        </w:rPr>
      </w:pPr>
      <w:r w:rsidRPr="00D8607D">
        <w:rPr>
          <w:sz w:val="24"/>
          <w:szCs w:val="24"/>
        </w:rPr>
        <w:t>Austrade is committed to helping international investors understand Australia’s First Nations history, cultural diversity and the importance of culturally aware engagement. Austrade facilitate</w:t>
      </w:r>
      <w:r w:rsidR="00EA4186">
        <w:rPr>
          <w:sz w:val="24"/>
          <w:szCs w:val="24"/>
        </w:rPr>
        <w:t>s</w:t>
      </w:r>
      <w:r w:rsidRPr="00D8607D">
        <w:rPr>
          <w:sz w:val="24"/>
          <w:szCs w:val="24"/>
        </w:rPr>
        <w:t xml:space="preserve"> </w:t>
      </w:r>
      <w:r w:rsidR="00EA4186">
        <w:rPr>
          <w:sz w:val="24"/>
          <w:szCs w:val="24"/>
        </w:rPr>
        <w:t xml:space="preserve">international investment </w:t>
      </w:r>
      <w:r w:rsidRPr="00D8607D">
        <w:rPr>
          <w:sz w:val="24"/>
          <w:szCs w:val="24"/>
        </w:rPr>
        <w:t>that help</w:t>
      </w:r>
      <w:r w:rsidR="00EA4186">
        <w:rPr>
          <w:sz w:val="24"/>
          <w:szCs w:val="24"/>
        </w:rPr>
        <w:t>s</w:t>
      </w:r>
      <w:r w:rsidRPr="00D8607D">
        <w:rPr>
          <w:sz w:val="24"/>
          <w:szCs w:val="24"/>
        </w:rPr>
        <w:t xml:space="preserve"> advance the economic empowerment and self-determination of First Nations people and communities. </w:t>
      </w:r>
    </w:p>
    <w:p w14:paraId="264CEA33" w14:textId="77777777" w:rsidR="008C4757" w:rsidRPr="00641813" w:rsidRDefault="008C4757" w:rsidP="008C4757">
      <w:pPr>
        <w:rPr>
          <w:b/>
          <w:bCs/>
        </w:rPr>
      </w:pPr>
      <w:r>
        <w:rPr>
          <w:b/>
          <w:bCs/>
        </w:rPr>
        <w:t>Investment</w:t>
      </w:r>
      <w:r w:rsidRPr="00641813">
        <w:rPr>
          <w:b/>
          <w:bCs/>
        </w:rPr>
        <w:t xml:space="preserve"> results 2025–26</w:t>
      </w:r>
    </w:p>
    <w:tbl>
      <w:tblPr>
        <w:tblStyle w:val="TableGrid"/>
        <w:tblW w:w="0" w:type="auto"/>
        <w:jc w:val="center"/>
        <w:tblLook w:val="04A0" w:firstRow="1" w:lastRow="0" w:firstColumn="1" w:lastColumn="0" w:noHBand="0" w:noVBand="1"/>
      </w:tblPr>
      <w:tblGrid>
        <w:gridCol w:w="7488"/>
        <w:gridCol w:w="6336"/>
      </w:tblGrid>
      <w:tr w:rsidR="008C4757" w14:paraId="6AB486DB" w14:textId="77777777" w:rsidTr="005479E4">
        <w:trPr>
          <w:trHeight w:hRule="exact" w:val="567"/>
          <w:jc w:val="center"/>
        </w:trPr>
        <w:tc>
          <w:tcPr>
            <w:tcW w:w="13824" w:type="dxa"/>
            <w:gridSpan w:val="2"/>
            <w:shd w:val="clear" w:color="auto" w:fill="7030A0"/>
            <w:tcMar>
              <w:top w:w="90" w:type="dxa"/>
              <w:left w:w="110" w:type="dxa"/>
              <w:bottom w:w="90" w:type="dxa"/>
              <w:right w:w="110" w:type="dxa"/>
            </w:tcMar>
            <w:vAlign w:val="center"/>
          </w:tcPr>
          <w:p w14:paraId="6FC16E62" w14:textId="17373B51" w:rsidR="008C4757" w:rsidRPr="0027662B" w:rsidRDefault="008C4757" w:rsidP="004D1824">
            <w:pPr>
              <w:rPr>
                <w:color w:val="FFFFFF" w:themeColor="background1"/>
              </w:rPr>
            </w:pPr>
            <w:r>
              <w:rPr>
                <w:color w:val="FFFFFF" w:themeColor="background1"/>
              </w:rPr>
              <w:t>Total number of projects and value of investment facilitated by Austrade in FY2025-2</w:t>
            </w:r>
            <w:r w:rsidR="005B5A19">
              <w:rPr>
                <w:color w:val="FFFFFF" w:themeColor="background1"/>
              </w:rPr>
              <w:t>6</w:t>
            </w:r>
          </w:p>
        </w:tc>
      </w:tr>
      <w:tr w:rsidR="008C4757" w14:paraId="6876D8A9" w14:textId="77777777" w:rsidTr="004D1824">
        <w:trPr>
          <w:trHeight w:hRule="exact" w:val="567"/>
          <w:jc w:val="center"/>
        </w:trPr>
        <w:tc>
          <w:tcPr>
            <w:tcW w:w="7488" w:type="dxa"/>
            <w:tcMar>
              <w:top w:w="90" w:type="dxa"/>
              <w:left w:w="110" w:type="dxa"/>
              <w:bottom w:w="90" w:type="dxa"/>
              <w:right w:w="110" w:type="dxa"/>
            </w:tcMar>
            <w:vAlign w:val="center"/>
          </w:tcPr>
          <w:p w14:paraId="2AA67712" w14:textId="77777777" w:rsidR="008C4757" w:rsidRDefault="008C4757" w:rsidP="00A9384D">
            <w:pPr>
              <w:spacing w:before="0" w:after="0"/>
            </w:pPr>
            <w:r>
              <w:t>Investment value (A$)</w:t>
            </w:r>
          </w:p>
        </w:tc>
        <w:tc>
          <w:tcPr>
            <w:tcW w:w="6336" w:type="dxa"/>
            <w:tcMar>
              <w:top w:w="90" w:type="dxa"/>
              <w:left w:w="110" w:type="dxa"/>
              <w:bottom w:w="90" w:type="dxa"/>
              <w:right w:w="110" w:type="dxa"/>
            </w:tcMar>
            <w:vAlign w:val="center"/>
          </w:tcPr>
          <w:p w14:paraId="4F32BC83" w14:textId="6B8AE513" w:rsidR="008C4757" w:rsidRDefault="008C4757" w:rsidP="00A9384D">
            <w:pPr>
              <w:spacing w:before="0" w:after="0"/>
            </w:pPr>
            <w:r>
              <w:t xml:space="preserve">$15.4 </w:t>
            </w:r>
            <w:r w:rsidR="00B76538">
              <w:t>billion</w:t>
            </w:r>
          </w:p>
        </w:tc>
      </w:tr>
      <w:tr w:rsidR="008C4757" w14:paraId="2A871F63" w14:textId="77777777" w:rsidTr="004D1824">
        <w:trPr>
          <w:trHeight w:hRule="exact" w:val="567"/>
          <w:jc w:val="center"/>
        </w:trPr>
        <w:tc>
          <w:tcPr>
            <w:tcW w:w="7488" w:type="dxa"/>
            <w:tcMar>
              <w:top w:w="90" w:type="dxa"/>
              <w:left w:w="110" w:type="dxa"/>
              <w:bottom w:w="90" w:type="dxa"/>
              <w:right w:w="110" w:type="dxa"/>
            </w:tcMar>
            <w:vAlign w:val="center"/>
          </w:tcPr>
          <w:p w14:paraId="3262BAE4" w14:textId="77777777" w:rsidR="008C4757" w:rsidRDefault="008C4757" w:rsidP="00A9384D">
            <w:pPr>
              <w:spacing w:before="0" w:after="0"/>
            </w:pPr>
            <w:r>
              <w:t xml:space="preserve">Number of projects </w:t>
            </w:r>
          </w:p>
        </w:tc>
        <w:tc>
          <w:tcPr>
            <w:tcW w:w="6336" w:type="dxa"/>
            <w:tcMar>
              <w:top w:w="90" w:type="dxa"/>
              <w:left w:w="110" w:type="dxa"/>
              <w:bottom w:w="90" w:type="dxa"/>
              <w:right w:w="110" w:type="dxa"/>
            </w:tcMar>
            <w:vAlign w:val="center"/>
          </w:tcPr>
          <w:p w14:paraId="10A87B19" w14:textId="77777777" w:rsidR="008C4757" w:rsidRDefault="008C4757" w:rsidP="00A9384D">
            <w:pPr>
              <w:spacing w:before="0" w:after="0"/>
            </w:pPr>
            <w:r>
              <w:t>115</w:t>
            </w:r>
          </w:p>
        </w:tc>
      </w:tr>
      <w:tr w:rsidR="008C4757" w14:paraId="3A408583" w14:textId="77777777" w:rsidTr="004D1824">
        <w:trPr>
          <w:trHeight w:hRule="exact" w:val="567"/>
          <w:jc w:val="center"/>
        </w:trPr>
        <w:tc>
          <w:tcPr>
            <w:tcW w:w="7488" w:type="dxa"/>
            <w:tcMar>
              <w:top w:w="90" w:type="dxa"/>
              <w:left w:w="110" w:type="dxa"/>
              <w:bottom w:w="90" w:type="dxa"/>
              <w:right w:w="110" w:type="dxa"/>
            </w:tcMar>
            <w:vAlign w:val="center"/>
          </w:tcPr>
          <w:p w14:paraId="1CCBE060" w14:textId="77777777" w:rsidR="008C4757" w:rsidRDefault="008C4757" w:rsidP="00A9384D">
            <w:pPr>
              <w:spacing w:before="0" w:after="0"/>
            </w:pPr>
            <w:r>
              <w:t>Jobs</w:t>
            </w:r>
          </w:p>
        </w:tc>
        <w:tc>
          <w:tcPr>
            <w:tcW w:w="6336" w:type="dxa"/>
            <w:tcMar>
              <w:top w:w="90" w:type="dxa"/>
              <w:left w:w="110" w:type="dxa"/>
              <w:bottom w:w="90" w:type="dxa"/>
              <w:right w:w="110" w:type="dxa"/>
            </w:tcMar>
            <w:vAlign w:val="center"/>
          </w:tcPr>
          <w:p w14:paraId="546B7A52" w14:textId="77777777" w:rsidR="008C4757" w:rsidRDefault="008C4757" w:rsidP="00A9384D">
            <w:pPr>
              <w:spacing w:before="0" w:after="0"/>
            </w:pPr>
            <w:r>
              <w:t>19,093</w:t>
            </w:r>
          </w:p>
        </w:tc>
      </w:tr>
    </w:tbl>
    <w:p w14:paraId="1DA86A79" w14:textId="77777777" w:rsidR="008C4757" w:rsidRPr="0087622D" w:rsidRDefault="004C451D" w:rsidP="008C4757">
      <w:pPr>
        <w:pStyle w:val="Heading-level3"/>
        <w:rPr>
          <w:color w:val="7030A0"/>
          <w:sz w:val="24"/>
          <w:szCs w:val="24"/>
        </w:rPr>
      </w:pPr>
      <w:r w:rsidRPr="0087622D">
        <w:rPr>
          <w:color w:val="7030A0"/>
          <w:sz w:val="24"/>
          <w:szCs w:val="24"/>
        </w:rPr>
        <w:lastRenderedPageBreak/>
        <w:t xml:space="preserve">Advancing outcomes through partnerships and agreements </w:t>
      </w:r>
    </w:p>
    <w:p w14:paraId="5EA43CE9" w14:textId="248BAE3F" w:rsidR="00572AF6" w:rsidRPr="0087622D" w:rsidRDefault="004C451D">
      <w:pPr>
        <w:pStyle w:val="Body-copy"/>
        <w:rPr>
          <w:sz w:val="24"/>
          <w:szCs w:val="24"/>
        </w:rPr>
      </w:pPr>
      <w:r w:rsidRPr="0087622D">
        <w:rPr>
          <w:sz w:val="24"/>
          <w:szCs w:val="24"/>
          <w:lang w:val="en-AU"/>
        </w:rPr>
        <w:t xml:space="preserve">Australia has a broad network of free trade agreements (FTAs) with some of the world’s largest economies. Our new FTAs and bilateral partnerships continue to open doors and remove barriers to international trade and investment. </w:t>
      </w:r>
      <w:r w:rsidRPr="0087622D">
        <w:rPr>
          <w:sz w:val="24"/>
          <w:szCs w:val="24"/>
        </w:rPr>
        <w:t>These include:</w:t>
      </w:r>
    </w:p>
    <w:p w14:paraId="4D6E7026" w14:textId="22657C80" w:rsidR="00572AF6" w:rsidRPr="0087622D" w:rsidRDefault="004C451D" w:rsidP="00D767F5">
      <w:pPr>
        <w:pStyle w:val="Bulletlist0"/>
        <w:numPr>
          <w:ilvl w:val="0"/>
          <w:numId w:val="23"/>
        </w:numPr>
        <w:rPr>
          <w:sz w:val="24"/>
          <w:szCs w:val="24"/>
          <w:lang w:val="en-AU"/>
        </w:rPr>
      </w:pPr>
      <w:r w:rsidRPr="0087622D">
        <w:rPr>
          <w:sz w:val="24"/>
          <w:szCs w:val="24"/>
          <w:lang w:val="en-AU"/>
        </w:rPr>
        <w:t>The Comprehensive Economic Partnership</w:t>
      </w:r>
      <w:r w:rsidR="00C644A3" w:rsidRPr="0087622D">
        <w:rPr>
          <w:sz w:val="24"/>
          <w:szCs w:val="24"/>
          <w:lang w:val="en-AU"/>
        </w:rPr>
        <w:t xml:space="preserve"> </w:t>
      </w:r>
      <w:r w:rsidRPr="0087622D">
        <w:rPr>
          <w:sz w:val="24"/>
          <w:szCs w:val="24"/>
          <w:lang w:val="en-AU"/>
        </w:rPr>
        <w:t>Agreement (CEPA) with the United Arab Emirates (UAE), which entered into force in October 2025</w:t>
      </w:r>
    </w:p>
    <w:p w14:paraId="6754F410" w14:textId="0B340DE2" w:rsidR="00C644A3" w:rsidRPr="00D767F5" w:rsidRDefault="004C451D" w:rsidP="00D767F5">
      <w:pPr>
        <w:pStyle w:val="Bulletlist0"/>
        <w:numPr>
          <w:ilvl w:val="0"/>
          <w:numId w:val="23"/>
        </w:numPr>
        <w:rPr>
          <w:sz w:val="24"/>
          <w:szCs w:val="24"/>
          <w:lang w:val="en-AU"/>
        </w:rPr>
      </w:pPr>
      <w:r w:rsidRPr="0087622D">
        <w:rPr>
          <w:sz w:val="24"/>
          <w:szCs w:val="24"/>
          <w:lang w:val="en-AU"/>
        </w:rPr>
        <w:t>The Australia-European Union Free Trade</w:t>
      </w:r>
      <w:r w:rsidR="00C644A3" w:rsidRPr="0087622D">
        <w:rPr>
          <w:sz w:val="24"/>
          <w:szCs w:val="24"/>
          <w:lang w:val="en-AU"/>
        </w:rPr>
        <w:t xml:space="preserve"> </w:t>
      </w:r>
      <w:r w:rsidRPr="0087622D">
        <w:rPr>
          <w:sz w:val="24"/>
          <w:szCs w:val="24"/>
          <w:lang w:val="en-AU"/>
        </w:rPr>
        <w:t xml:space="preserve">Agreement (A-EU FTA), negotiations for which concluded in March 2026. Once in force, the agreement will enable 98 per cent of the current value of Australia’s exports to enter the European Union duty- free. </w:t>
      </w:r>
    </w:p>
    <w:p w14:paraId="3B3FAE9C" w14:textId="36DDC5A2" w:rsidR="00D767F5" w:rsidRPr="00D767F5" w:rsidRDefault="00D767F5" w:rsidP="00D767F5">
      <w:pPr>
        <w:pStyle w:val="Heading-level3"/>
        <w:rPr>
          <w:b w:val="0"/>
          <w:bCs w:val="0"/>
          <w:color w:val="7030A0"/>
          <w:sz w:val="24"/>
          <w:szCs w:val="24"/>
        </w:rPr>
      </w:pPr>
      <w:r w:rsidRPr="0087622D">
        <w:rPr>
          <w:b w:val="0"/>
          <w:bCs w:val="0"/>
          <w:color w:val="7030A0"/>
          <w:sz w:val="24"/>
          <w:szCs w:val="24"/>
        </w:rPr>
        <w:t>Austrade in action: Helping trade agreements unlock global investment</w:t>
      </w:r>
    </w:p>
    <w:p w14:paraId="01A732EB" w14:textId="63DBAA97" w:rsidR="00C644A3" w:rsidRPr="0087622D" w:rsidRDefault="00D767F5" w:rsidP="00D767F5">
      <w:pPr>
        <w:pStyle w:val="Body-copy"/>
        <w:rPr>
          <w:sz w:val="24"/>
          <w:szCs w:val="24"/>
          <w:lang w:val="en-AU"/>
        </w:rPr>
      </w:pPr>
      <w:r>
        <w:rPr>
          <w:sz w:val="24"/>
          <w:szCs w:val="24"/>
          <w:lang w:val="en-AU"/>
        </w:rPr>
        <w:t>A</w:t>
      </w:r>
      <w:r w:rsidR="004C451D" w:rsidRPr="0087622D">
        <w:rPr>
          <w:sz w:val="24"/>
          <w:szCs w:val="24"/>
          <w:lang w:val="en-AU"/>
        </w:rPr>
        <w:t xml:space="preserve">ustrade is leveraging major trade agreements and economic partnerships to translate policy settings into tangible investment outcomes. Australia and the European Union’s two-way investment stock reached $1.5 trillion in 2025, and the UAE is already Australia’s largest investment partner in the Middle East, with $26.5 billion in two-way investment in 2025. </w:t>
      </w:r>
    </w:p>
    <w:p w14:paraId="44A02007" w14:textId="76F7942B" w:rsidR="00C644A3" w:rsidRPr="0087622D" w:rsidRDefault="004C451D" w:rsidP="00D767F5">
      <w:pPr>
        <w:pStyle w:val="Body-copy"/>
        <w:rPr>
          <w:sz w:val="24"/>
          <w:szCs w:val="24"/>
          <w:lang w:val="en-AU"/>
        </w:rPr>
      </w:pPr>
      <w:r w:rsidRPr="0087622D">
        <w:rPr>
          <w:sz w:val="24"/>
          <w:szCs w:val="24"/>
          <w:lang w:val="en-AU"/>
        </w:rPr>
        <w:t xml:space="preserve">The UAE CEPA and the A-EU FTA continue to build on existing investment relationships and provide a platform for Austrade to further scale investor engagement. From an investment perspective, both agreements improve certainty and reduce barriers for international investors. When in force, the A-EU FTA will provide greater predictability for EU investors and raise foreign investment screening thresholds. It will support investment in sectors such as renewable energy and critical minerals. </w:t>
      </w:r>
    </w:p>
    <w:p w14:paraId="77DED832" w14:textId="4CFBDB20" w:rsidR="00C644A3" w:rsidRDefault="004C451D" w:rsidP="00D767F5">
      <w:pPr>
        <w:pStyle w:val="Body-copy"/>
        <w:rPr>
          <w:sz w:val="24"/>
          <w:szCs w:val="24"/>
          <w:lang w:val="en-AU"/>
        </w:rPr>
      </w:pPr>
      <w:r w:rsidRPr="0087622D">
        <w:rPr>
          <w:sz w:val="24"/>
          <w:szCs w:val="24"/>
          <w:lang w:val="en-AU"/>
        </w:rPr>
        <w:t>The UAE CEPA is already strengthening investment flows through 5 dedicated Investment Cooperation MOUs. These agreements provide a practical framework for progressing priority investments, alongside improved labour mobility and alignment with priority sectors such as clean energy. Austrade is using these frameworks to deepen engagement with global investors and convert interest into commercial outcomes.</w:t>
      </w:r>
    </w:p>
    <w:p w14:paraId="5F6E7C39" w14:textId="77777777" w:rsidR="0087622D" w:rsidRDefault="0087622D" w:rsidP="00F6417C">
      <w:pPr>
        <w:pStyle w:val="Bulletlist0"/>
        <w:numPr>
          <w:ilvl w:val="0"/>
          <w:numId w:val="0"/>
        </w:numPr>
        <w:ind w:left="227"/>
        <w:rPr>
          <w:sz w:val="24"/>
          <w:szCs w:val="24"/>
          <w:lang w:val="en-AU"/>
        </w:rPr>
      </w:pPr>
    </w:p>
    <w:p w14:paraId="4CBB3A2D" w14:textId="77777777" w:rsidR="000C4C87" w:rsidRDefault="000C4C87" w:rsidP="00F6417C">
      <w:pPr>
        <w:pStyle w:val="Bulletlist0"/>
        <w:numPr>
          <w:ilvl w:val="0"/>
          <w:numId w:val="0"/>
        </w:numPr>
        <w:ind w:left="227"/>
        <w:rPr>
          <w:sz w:val="24"/>
          <w:szCs w:val="24"/>
          <w:lang w:val="en-AU"/>
        </w:rPr>
      </w:pPr>
    </w:p>
    <w:p w14:paraId="16899CA6" w14:textId="77777777" w:rsidR="000C4C87" w:rsidRDefault="000C4C87" w:rsidP="00F6417C">
      <w:pPr>
        <w:pStyle w:val="Bulletlist0"/>
        <w:numPr>
          <w:ilvl w:val="0"/>
          <w:numId w:val="0"/>
        </w:numPr>
        <w:ind w:left="227"/>
        <w:rPr>
          <w:sz w:val="24"/>
          <w:szCs w:val="24"/>
          <w:lang w:val="en-AU"/>
        </w:rPr>
      </w:pPr>
    </w:p>
    <w:p w14:paraId="3CF409A2" w14:textId="77777777" w:rsidR="000C4C87" w:rsidRPr="0087622D" w:rsidRDefault="000C4C87" w:rsidP="00F6417C">
      <w:pPr>
        <w:pStyle w:val="Bulletlist0"/>
        <w:numPr>
          <w:ilvl w:val="0"/>
          <w:numId w:val="0"/>
        </w:numPr>
        <w:ind w:left="227"/>
        <w:rPr>
          <w:sz w:val="24"/>
          <w:szCs w:val="24"/>
          <w:lang w:val="en-AU"/>
        </w:rPr>
      </w:pPr>
    </w:p>
    <w:p w14:paraId="57E7D02E" w14:textId="4BC359E5" w:rsidR="00572AF6" w:rsidRPr="0087622D" w:rsidRDefault="004C451D">
      <w:pPr>
        <w:pStyle w:val="Heading-level3"/>
        <w:rPr>
          <w:b w:val="0"/>
          <w:bCs w:val="0"/>
          <w:color w:val="7030A0"/>
          <w:sz w:val="24"/>
          <w:szCs w:val="24"/>
        </w:rPr>
      </w:pPr>
      <w:r w:rsidRPr="0087622D">
        <w:rPr>
          <w:b w:val="0"/>
          <w:bCs w:val="0"/>
          <w:color w:val="7030A0"/>
          <w:sz w:val="24"/>
          <w:szCs w:val="24"/>
        </w:rPr>
        <w:lastRenderedPageBreak/>
        <w:t>Austrade in action</w:t>
      </w:r>
      <w:r w:rsidR="00F6417C" w:rsidRPr="0087622D">
        <w:rPr>
          <w:b w:val="0"/>
          <w:bCs w:val="0"/>
          <w:color w:val="7030A0"/>
          <w:sz w:val="24"/>
          <w:szCs w:val="24"/>
        </w:rPr>
        <w:t xml:space="preserve">: </w:t>
      </w:r>
      <w:r w:rsidR="00CD69A5">
        <w:rPr>
          <w:b w:val="0"/>
          <w:bCs w:val="0"/>
          <w:color w:val="7030A0"/>
          <w:sz w:val="24"/>
          <w:szCs w:val="24"/>
        </w:rPr>
        <w:t xml:space="preserve">New export markets delivered commercial results </w:t>
      </w:r>
    </w:p>
    <w:p w14:paraId="149CD9E5" w14:textId="5379474C" w:rsidR="00D81B18" w:rsidRPr="0087622D" w:rsidRDefault="004C451D" w:rsidP="00D81B18">
      <w:pPr>
        <w:rPr>
          <w:sz w:val="24"/>
          <w:szCs w:val="24"/>
        </w:rPr>
      </w:pPr>
      <w:r w:rsidRPr="0087622D">
        <w:rPr>
          <w:sz w:val="24"/>
          <w:szCs w:val="24"/>
        </w:rPr>
        <w:t xml:space="preserve">Within months of the Australia UAE-CEPA entering into force on 1 October 2025, Australian exporters were already securing new business. At Gulfood 2026 in Dubai, First Nations-owned Kakadu Organics used CEPA’s tariff-free access to secure its first buyers in the Gulf, providing an early example of new market access translating into commercial opportunity. CEPA improved access to Australia’s largest trade and investment partner in the Middle East. It is Australia’s first trade agreement to include a dedicated chapter on First Nations trade and investment. Austrade helped businesses translate new market access into commercial outcomes by providing advice, connecting exporters with buyers at major events such as Gulfood and supporting Australian businesses in international markets. </w:t>
      </w:r>
    </w:p>
    <w:p w14:paraId="60662C53" w14:textId="61F52517" w:rsidR="00572AF6" w:rsidRPr="0087622D" w:rsidRDefault="004C451D" w:rsidP="00D81B18">
      <w:pPr>
        <w:rPr>
          <w:sz w:val="24"/>
          <w:szCs w:val="24"/>
        </w:rPr>
      </w:pPr>
      <w:r w:rsidRPr="0087622D">
        <w:rPr>
          <w:sz w:val="24"/>
          <w:szCs w:val="24"/>
        </w:rPr>
        <w:t>Austrade also helped exporters prepare for opportunities under the Australia–European Union Free Trade Agreement by building awareness of future market opportunities and helping businesses position themselves to compete when the agreement enters into force. The agreement will provide improved access to a market of around 450 million consumers across 27 countries.</w:t>
      </w:r>
    </w:p>
    <w:p w14:paraId="79C8B761" w14:textId="28DCC3A7" w:rsidR="003B2983" w:rsidRPr="0087622D" w:rsidRDefault="003B2983" w:rsidP="003B2983">
      <w:pPr>
        <w:pStyle w:val="Heading-level3"/>
        <w:rPr>
          <w:color w:val="7030A0"/>
          <w:sz w:val="24"/>
          <w:szCs w:val="24"/>
        </w:rPr>
      </w:pPr>
      <w:r w:rsidRPr="0087622D">
        <w:rPr>
          <w:color w:val="7030A0"/>
          <w:sz w:val="24"/>
          <w:szCs w:val="24"/>
        </w:rPr>
        <w:t>Deepening engagement with Southeast Asia and South Asia</w:t>
      </w:r>
      <w:r w:rsidRPr="0087622D">
        <w:rPr>
          <w:b w:val="0"/>
          <w:bCs w:val="0"/>
          <w:color w:val="7030A0"/>
          <w:sz w:val="24"/>
          <w:szCs w:val="24"/>
        </w:rPr>
        <w:t xml:space="preserve"> </w:t>
      </w:r>
    </w:p>
    <w:p w14:paraId="598D7C8F" w14:textId="2B9B2434" w:rsidR="003B2983" w:rsidRPr="0087622D" w:rsidRDefault="003B2983" w:rsidP="003B2983">
      <w:pPr>
        <w:pStyle w:val="Body-copy"/>
        <w:rPr>
          <w:sz w:val="24"/>
          <w:szCs w:val="24"/>
          <w:lang w:val="en-AU"/>
        </w:rPr>
      </w:pPr>
      <w:r w:rsidRPr="0087622D">
        <w:rPr>
          <w:sz w:val="24"/>
          <w:szCs w:val="24"/>
          <w:lang w:val="en-AU"/>
        </w:rPr>
        <w:t>Austrade continues to strengthen Australia’s economic engagement in high-growth markets, including Southeast Asia and South Asia. We support the Government’s broader objective of building economic resilience through diversification and outward investment. Leveraging these partnerships, Austrade is working with exporters, investors and businesses to identify opportunities, build commercial relationships and support two-way investment in priority sectors.</w:t>
      </w:r>
    </w:p>
    <w:p w14:paraId="346F42FD" w14:textId="77777777" w:rsidR="006A7AE2" w:rsidRPr="0087622D" w:rsidRDefault="006A7AE2" w:rsidP="006A7AE2">
      <w:pPr>
        <w:pStyle w:val="Heading-level3"/>
        <w:rPr>
          <w:b w:val="0"/>
          <w:bCs w:val="0"/>
          <w:color w:val="7030A0"/>
          <w:sz w:val="24"/>
          <w:szCs w:val="24"/>
        </w:rPr>
      </w:pPr>
      <w:r w:rsidRPr="0087622D">
        <w:rPr>
          <w:b w:val="0"/>
          <w:bCs w:val="0"/>
          <w:color w:val="7030A0"/>
          <w:sz w:val="24"/>
          <w:szCs w:val="24"/>
        </w:rPr>
        <w:t>Austrade in action: Export deals grew across global markets</w:t>
      </w:r>
    </w:p>
    <w:p w14:paraId="5D2168D7" w14:textId="3D05DD92" w:rsidR="0089560E" w:rsidRPr="0087622D" w:rsidRDefault="0089560E" w:rsidP="0089560E">
      <w:pPr>
        <w:pStyle w:val="Body-copy"/>
        <w:rPr>
          <w:sz w:val="24"/>
          <w:szCs w:val="24"/>
          <w:lang w:val="en-AU"/>
        </w:rPr>
      </w:pPr>
      <w:r w:rsidRPr="0087622D">
        <w:rPr>
          <w:sz w:val="24"/>
          <w:szCs w:val="24"/>
          <w:lang w:val="en-AU"/>
        </w:rPr>
        <w:t>Austrade’s diversification efforts delivered some of the strongest results in 2025–26. The Australia–Southeast Asia Business Exchange (A-SEABX) and South Asia Business Exchange (SABX) created new commercial opportunities across two of the world’s fastest-growing regions.</w:t>
      </w:r>
    </w:p>
    <w:p w14:paraId="65BFE39C" w14:textId="77777777" w:rsidR="0089560E" w:rsidRPr="0087622D" w:rsidRDefault="0089560E" w:rsidP="0089560E">
      <w:pPr>
        <w:pStyle w:val="Body-copy"/>
        <w:rPr>
          <w:sz w:val="24"/>
          <w:szCs w:val="24"/>
          <w:lang w:val="en-AU"/>
        </w:rPr>
      </w:pPr>
      <w:r w:rsidRPr="0087622D">
        <w:rPr>
          <w:sz w:val="24"/>
          <w:szCs w:val="24"/>
          <w:lang w:val="en-AU"/>
        </w:rPr>
        <w:t>• Southeast Asia recorded 659 Austrade-facilitated export deals valued at $1.6 billion.</w:t>
      </w:r>
    </w:p>
    <w:p w14:paraId="0D8BB9E8" w14:textId="77777777" w:rsidR="0089560E" w:rsidRPr="0087622D" w:rsidRDefault="0089560E" w:rsidP="0089560E">
      <w:pPr>
        <w:pStyle w:val="Body-copy"/>
        <w:rPr>
          <w:sz w:val="24"/>
          <w:szCs w:val="24"/>
          <w:lang w:val="en-AU"/>
        </w:rPr>
      </w:pPr>
      <w:r w:rsidRPr="0087622D">
        <w:rPr>
          <w:sz w:val="24"/>
          <w:szCs w:val="24"/>
          <w:lang w:val="en-AU"/>
        </w:rPr>
        <w:t>• South Asia recorded 333 Austrade-facilitated export deals valued at $1.5 billion.</w:t>
      </w:r>
    </w:p>
    <w:p w14:paraId="591BF77B" w14:textId="2C3D13C0" w:rsidR="0089560E" w:rsidRPr="0087622D" w:rsidRDefault="0089560E" w:rsidP="0089560E">
      <w:pPr>
        <w:pStyle w:val="Body-copy"/>
        <w:rPr>
          <w:sz w:val="24"/>
          <w:szCs w:val="24"/>
          <w:lang w:val="en-AU"/>
        </w:rPr>
      </w:pPr>
      <w:r w:rsidRPr="0087622D">
        <w:rPr>
          <w:sz w:val="24"/>
          <w:szCs w:val="24"/>
          <w:lang w:val="en-AU"/>
        </w:rPr>
        <w:lastRenderedPageBreak/>
        <w:t>Austrade supported this expansion through targeted market development programs, tailored exporter support and an expanded network of in-market advisers.</w:t>
      </w:r>
    </w:p>
    <w:p w14:paraId="040A28FB" w14:textId="0B4059CF" w:rsidR="0089560E" w:rsidRPr="0087622D" w:rsidRDefault="0089560E" w:rsidP="0089560E">
      <w:pPr>
        <w:pStyle w:val="Heading-level3"/>
        <w:rPr>
          <w:b w:val="0"/>
          <w:bCs w:val="0"/>
          <w:color w:val="7030A0"/>
          <w:sz w:val="24"/>
          <w:szCs w:val="24"/>
        </w:rPr>
      </w:pPr>
      <w:r w:rsidRPr="0087622D">
        <w:rPr>
          <w:b w:val="0"/>
          <w:bCs w:val="0"/>
          <w:color w:val="7030A0"/>
          <w:sz w:val="24"/>
          <w:szCs w:val="24"/>
        </w:rPr>
        <w:t>Austrade in action: Delivering strategic outbound investment into Southeast Asia</w:t>
      </w:r>
    </w:p>
    <w:p w14:paraId="799211F9" w14:textId="77777777" w:rsidR="0089560E" w:rsidRPr="0087622D" w:rsidRDefault="006A7AE2" w:rsidP="006A7AE2">
      <w:pPr>
        <w:pStyle w:val="Body-copy"/>
        <w:rPr>
          <w:sz w:val="24"/>
          <w:szCs w:val="24"/>
          <w:lang w:val="en-AU"/>
        </w:rPr>
      </w:pPr>
      <w:r w:rsidRPr="0087622D">
        <w:rPr>
          <w:sz w:val="24"/>
          <w:szCs w:val="24"/>
          <w:lang w:val="en-AU"/>
        </w:rPr>
        <w:t xml:space="preserve">Austrade supports Australian businesses with inward and outward investment, particularly across Southeast Asia and the Pacific. </w:t>
      </w:r>
    </w:p>
    <w:p w14:paraId="69F49752" w14:textId="77777777" w:rsidR="0089560E" w:rsidRPr="0087622D" w:rsidRDefault="006A7AE2" w:rsidP="006A7AE2">
      <w:pPr>
        <w:pStyle w:val="Body-copy"/>
        <w:rPr>
          <w:sz w:val="24"/>
          <w:szCs w:val="24"/>
          <w:lang w:val="en-AU"/>
        </w:rPr>
      </w:pPr>
      <w:r w:rsidRPr="0087622D">
        <w:rPr>
          <w:sz w:val="24"/>
          <w:szCs w:val="24"/>
          <w:lang w:val="en-AU"/>
        </w:rPr>
        <w:t xml:space="preserve">Together with Export Finance Australia and the Department of Foreign Affairs and Trade (DFAT), Austrade is helping to grow Australian investment in Southeast Asia through the Southeast Asia Investment Deal Teams. The Deal Teams’ unique capabilities – drawn from the 3 participating agencies – support institutional and corporate investors to invest in the region. This work supports the implementation of Invested: Australia’s Southeast Asia Economic Strategy to 2040, developed by Australia’s Special Envoy for Southeast Asia, Mr Nicholas Moore AO. </w:t>
      </w:r>
    </w:p>
    <w:p w14:paraId="59111443" w14:textId="73C865C1" w:rsidR="006A7AE2" w:rsidRPr="0087622D" w:rsidRDefault="006A7AE2" w:rsidP="006A7AE2">
      <w:pPr>
        <w:pStyle w:val="Body-copy"/>
        <w:rPr>
          <w:sz w:val="24"/>
          <w:szCs w:val="24"/>
          <w:lang w:val="en-AU"/>
        </w:rPr>
      </w:pPr>
      <w:r w:rsidRPr="0087622D">
        <w:rPr>
          <w:sz w:val="24"/>
          <w:szCs w:val="24"/>
          <w:lang w:val="en-AU"/>
        </w:rPr>
        <w:t>During 2025–26, 20 outcomes were achieved totalling $3.6 billion. Over the life of the program, Deal Teams have supported 27 investments into Southeast Asia, totalling $4 billion.</w:t>
      </w:r>
    </w:p>
    <w:p w14:paraId="53128261" w14:textId="77777777" w:rsidR="00572AF6" w:rsidRDefault="004C451D">
      <w:pPr>
        <w:spacing w:before="0" w:after="0"/>
        <w:jc w:val="center"/>
      </w:pPr>
      <w:r>
        <w:rPr>
          <w:noProof/>
        </w:rPr>
        <w:lastRenderedPageBreak/>
        <w:drawing>
          <wp:inline distT="0" distB="0" distL="0" distR="0" wp14:anchorId="5F007AEE" wp14:editId="07777777">
            <wp:extent cx="9372600" cy="6629400"/>
            <wp:effectExtent l="0" t="0" r="0" b="0"/>
            <wp:docPr id="5" name="Picture 5" descr="Trade sec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3.png"/>
                    <pic:cNvPicPr/>
                  </pic:nvPicPr>
                  <pic:blipFill>
                    <a:blip r:embed="rId14"/>
                    <a:stretch>
                      <a:fillRect/>
                    </a:stretch>
                  </pic:blipFill>
                  <pic:spPr>
                    <a:xfrm>
                      <a:off x="0" y="0"/>
                      <a:ext cx="9372600" cy="6629400"/>
                    </a:xfrm>
                    <a:prstGeom prst="rect">
                      <a:avLst/>
                    </a:prstGeom>
                  </pic:spPr>
                </pic:pic>
              </a:graphicData>
            </a:graphic>
          </wp:inline>
        </w:drawing>
      </w:r>
    </w:p>
    <w:p w14:paraId="2D379306" w14:textId="3D888FAE" w:rsidR="00B85793" w:rsidRPr="005479E4" w:rsidRDefault="00B85793" w:rsidP="00B85793">
      <w:pPr>
        <w:pStyle w:val="Heading-level2"/>
        <w:rPr>
          <w:color w:val="7030A0"/>
        </w:rPr>
      </w:pPr>
      <w:r w:rsidRPr="005479E4">
        <w:rPr>
          <w:color w:val="7030A0"/>
        </w:rPr>
        <w:lastRenderedPageBreak/>
        <w:t>Trade</w:t>
      </w:r>
    </w:p>
    <w:p w14:paraId="33A0D9F1" w14:textId="7A0FD40F" w:rsidR="00D16FBE" w:rsidRPr="0087622D" w:rsidRDefault="00D16FBE" w:rsidP="00B85793">
      <w:pPr>
        <w:pStyle w:val="SmallQuote"/>
        <w:rPr>
          <w:color w:val="7030A0"/>
          <w:szCs w:val="24"/>
        </w:rPr>
      </w:pPr>
      <w:r w:rsidRPr="0087622D">
        <w:rPr>
          <w:color w:val="7030A0"/>
          <w:szCs w:val="24"/>
        </w:rPr>
        <w:t>Austrade helps Australian businesses succeed internationally by overcoming the practical challenges of exporting and connecting Australian capability with global opportunities.</w:t>
      </w:r>
    </w:p>
    <w:p w14:paraId="4AB29CB3" w14:textId="77777777" w:rsidR="00930E77" w:rsidRPr="0087622D" w:rsidRDefault="004C451D">
      <w:pPr>
        <w:pStyle w:val="Body-copy"/>
        <w:rPr>
          <w:sz w:val="24"/>
          <w:szCs w:val="24"/>
          <w:lang w:val="en-AU"/>
        </w:rPr>
      </w:pPr>
      <w:r w:rsidRPr="0087622D">
        <w:rPr>
          <w:sz w:val="24"/>
          <w:szCs w:val="24"/>
          <w:lang w:val="en-AU"/>
        </w:rPr>
        <w:t xml:space="preserve">Through its global network, Austrade provides market intelligence and practical in-market support that helps businesses identify opportunities, understand overseas markets and build trusted commercial relationships. This support includes tailored advice, buyer introductions, trade missions and support to help businesses make the most of Australia’s free trade agreements, enabling them to enter new markets, secure export deals and grow exports. Austrade helps Australian businesses succeed internationally by overcoming the practical challenges of exporting and connecting Australian capability with global opportunities. </w:t>
      </w:r>
    </w:p>
    <w:p w14:paraId="49381F1E" w14:textId="0FC66F90" w:rsidR="00572AF6" w:rsidRPr="0087622D" w:rsidRDefault="004C451D" w:rsidP="00930E77">
      <w:pPr>
        <w:pStyle w:val="SmallQuote"/>
        <w:rPr>
          <w:color w:val="7030A0"/>
          <w:szCs w:val="24"/>
        </w:rPr>
      </w:pPr>
      <w:r w:rsidRPr="0087622D">
        <w:rPr>
          <w:color w:val="7030A0"/>
          <w:szCs w:val="24"/>
        </w:rPr>
        <w:t>Exporting businesses are, on average, more productive, employ more people and pay higher wages than businesses that do not export.</w:t>
      </w:r>
    </w:p>
    <w:p w14:paraId="25237BC9" w14:textId="77777777" w:rsidR="00635CF9" w:rsidRPr="0087622D" w:rsidRDefault="00635CF9" w:rsidP="00635CF9">
      <w:pPr>
        <w:pStyle w:val="Body-copy"/>
        <w:rPr>
          <w:b/>
          <w:bCs/>
          <w:sz w:val="24"/>
          <w:szCs w:val="24"/>
          <w:lang w:val="en-AU"/>
        </w:rPr>
      </w:pPr>
      <w:r w:rsidRPr="0087622D">
        <w:rPr>
          <w:b/>
          <w:bCs/>
          <w:sz w:val="24"/>
          <w:szCs w:val="24"/>
          <w:lang w:val="en-AU"/>
        </w:rPr>
        <w:t>Trade impacts</w:t>
      </w:r>
    </w:p>
    <w:p w14:paraId="78A3A758" w14:textId="083B44C5" w:rsidR="00635CF9" w:rsidRPr="0087622D" w:rsidRDefault="00635CF9" w:rsidP="00635CF9">
      <w:pPr>
        <w:pStyle w:val="Body-copy"/>
        <w:numPr>
          <w:ilvl w:val="0"/>
          <w:numId w:val="22"/>
        </w:numPr>
        <w:rPr>
          <w:b/>
          <w:bCs/>
          <w:sz w:val="24"/>
          <w:szCs w:val="24"/>
          <w:lang w:val="en-AU"/>
        </w:rPr>
      </w:pPr>
      <w:r w:rsidRPr="0087622D">
        <w:rPr>
          <w:b/>
          <w:bCs/>
          <w:sz w:val="24"/>
          <w:szCs w:val="24"/>
          <w:lang w:val="en-AU"/>
        </w:rPr>
        <w:t xml:space="preserve">Grow export markets - </w:t>
      </w:r>
      <w:r w:rsidRPr="0087622D">
        <w:rPr>
          <w:sz w:val="24"/>
          <w:szCs w:val="24"/>
          <w:lang w:val="en-AU"/>
        </w:rPr>
        <w:t xml:space="preserve">Through the Accessing New Markets Initiative, Austrade partnered with </w:t>
      </w:r>
      <w:r w:rsidRPr="0087622D">
        <w:rPr>
          <w:b/>
          <w:bCs/>
          <w:sz w:val="24"/>
          <w:szCs w:val="24"/>
          <w:lang w:val="en-AU"/>
        </w:rPr>
        <w:t>40 industry peak bodies</w:t>
      </w:r>
      <w:r w:rsidRPr="0087622D">
        <w:rPr>
          <w:sz w:val="24"/>
          <w:szCs w:val="24"/>
          <w:lang w:val="en-AU"/>
        </w:rPr>
        <w:t xml:space="preserve"> to deliver </w:t>
      </w:r>
      <w:r w:rsidRPr="0087622D">
        <w:rPr>
          <w:b/>
          <w:bCs/>
          <w:sz w:val="24"/>
          <w:szCs w:val="24"/>
          <w:lang w:val="en-AU"/>
        </w:rPr>
        <w:t>88 trade events</w:t>
      </w:r>
      <w:r w:rsidRPr="0087622D">
        <w:rPr>
          <w:sz w:val="24"/>
          <w:szCs w:val="24"/>
          <w:lang w:val="en-AU"/>
        </w:rPr>
        <w:t>.</w:t>
      </w:r>
    </w:p>
    <w:p w14:paraId="77FEF57E" w14:textId="3522B94D" w:rsidR="00635CF9" w:rsidRPr="0087622D" w:rsidRDefault="00635CF9" w:rsidP="00635CF9">
      <w:pPr>
        <w:pStyle w:val="Body-copy"/>
        <w:numPr>
          <w:ilvl w:val="0"/>
          <w:numId w:val="22"/>
        </w:numPr>
        <w:rPr>
          <w:b/>
          <w:bCs/>
          <w:sz w:val="24"/>
          <w:szCs w:val="24"/>
          <w:lang w:val="en-AU"/>
        </w:rPr>
      </w:pPr>
      <w:r w:rsidRPr="0087622D">
        <w:rPr>
          <w:b/>
          <w:bCs/>
          <w:sz w:val="24"/>
          <w:szCs w:val="24"/>
          <w:lang w:val="en-AU"/>
        </w:rPr>
        <w:t>Build exporter capability -</w:t>
      </w:r>
      <w:r w:rsidRPr="0087622D">
        <w:rPr>
          <w:sz w:val="24"/>
          <w:szCs w:val="24"/>
          <w:lang w:val="en-AU"/>
        </w:rPr>
        <w:t xml:space="preserve">Almost </w:t>
      </w:r>
      <w:r w:rsidRPr="0087622D">
        <w:rPr>
          <w:b/>
          <w:bCs/>
          <w:sz w:val="24"/>
          <w:szCs w:val="24"/>
          <w:lang w:val="en-AU"/>
        </w:rPr>
        <w:t>250,000 users</w:t>
      </w:r>
      <w:r w:rsidRPr="0087622D">
        <w:rPr>
          <w:sz w:val="24"/>
          <w:szCs w:val="24"/>
          <w:lang w:val="en-AU"/>
        </w:rPr>
        <w:t xml:space="preserve"> accessed the Go Global Toolkit and Trade Resilience Service, an increase of </w:t>
      </w:r>
      <w:r w:rsidRPr="0087622D">
        <w:rPr>
          <w:b/>
          <w:bCs/>
          <w:sz w:val="24"/>
          <w:szCs w:val="24"/>
          <w:lang w:val="en-AU"/>
        </w:rPr>
        <w:t>15%</w:t>
      </w:r>
      <w:r w:rsidRPr="0087622D">
        <w:rPr>
          <w:sz w:val="24"/>
          <w:szCs w:val="24"/>
          <w:lang w:val="en-AU"/>
        </w:rPr>
        <w:t xml:space="preserve"> on the previous year.</w:t>
      </w:r>
    </w:p>
    <w:p w14:paraId="0B430500" w14:textId="5E57BC98" w:rsidR="00635CF9" w:rsidRPr="0087622D" w:rsidRDefault="00635CF9" w:rsidP="00635CF9">
      <w:pPr>
        <w:pStyle w:val="Body-copy"/>
        <w:numPr>
          <w:ilvl w:val="0"/>
          <w:numId w:val="22"/>
        </w:numPr>
        <w:rPr>
          <w:b/>
          <w:bCs/>
          <w:sz w:val="24"/>
          <w:szCs w:val="24"/>
          <w:lang w:val="en-AU"/>
        </w:rPr>
      </w:pPr>
      <w:r w:rsidRPr="0087622D">
        <w:rPr>
          <w:b/>
          <w:bCs/>
          <w:sz w:val="24"/>
          <w:szCs w:val="24"/>
          <w:lang w:val="en-AU"/>
        </w:rPr>
        <w:t>Invest in future growth -</w:t>
      </w:r>
      <w:r w:rsidRPr="0087622D">
        <w:rPr>
          <w:sz w:val="24"/>
          <w:szCs w:val="24"/>
          <w:lang w:val="en-AU"/>
        </w:rPr>
        <w:t xml:space="preserve">More than </w:t>
      </w:r>
      <w:r w:rsidRPr="0087622D">
        <w:rPr>
          <w:b/>
          <w:bCs/>
          <w:sz w:val="24"/>
          <w:szCs w:val="24"/>
          <w:lang w:val="en-AU"/>
        </w:rPr>
        <w:t>2,200 businesses</w:t>
      </w:r>
      <w:r w:rsidRPr="0087622D">
        <w:rPr>
          <w:sz w:val="24"/>
          <w:szCs w:val="24"/>
          <w:lang w:val="en-AU"/>
        </w:rPr>
        <w:t xml:space="preserve"> received Export Market Development Grants. The average grant value increased to </w:t>
      </w:r>
      <w:r w:rsidRPr="0087622D">
        <w:rPr>
          <w:b/>
          <w:bCs/>
          <w:sz w:val="24"/>
          <w:szCs w:val="24"/>
          <w:lang w:val="en-AU"/>
        </w:rPr>
        <w:t>$54,000</w:t>
      </w:r>
      <w:r w:rsidRPr="0087622D">
        <w:rPr>
          <w:sz w:val="24"/>
          <w:szCs w:val="24"/>
          <w:lang w:val="en-AU"/>
        </w:rPr>
        <w:t>, more than double the value of recent rounds.</w:t>
      </w:r>
    </w:p>
    <w:p w14:paraId="4B7D65FF" w14:textId="77777777" w:rsidR="00635CF9" w:rsidRDefault="00635CF9">
      <w:pPr>
        <w:spacing w:before="0" w:after="160" w:line="259" w:lineRule="auto"/>
        <w:rPr>
          <w:b/>
          <w:bCs/>
        </w:rPr>
      </w:pPr>
      <w:r>
        <w:rPr>
          <w:b/>
          <w:bCs/>
        </w:rPr>
        <w:br w:type="page"/>
      </w:r>
    </w:p>
    <w:p w14:paraId="10CC5169" w14:textId="5032E4B9" w:rsidR="00A96920" w:rsidRPr="00B322E1" w:rsidRDefault="00A96920" w:rsidP="00BB51D5">
      <w:pPr>
        <w:pStyle w:val="Heading-level3"/>
        <w:rPr>
          <w:color w:val="7030A0"/>
          <w:szCs w:val="20"/>
        </w:rPr>
      </w:pPr>
      <w:r w:rsidRPr="00B322E1">
        <w:rPr>
          <w:color w:val="7030A0"/>
          <w:szCs w:val="20"/>
        </w:rPr>
        <w:lastRenderedPageBreak/>
        <w:t>Top sectors for Austrade-facilitated export deals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0"/>
        <w:gridCol w:w="2740"/>
        <w:gridCol w:w="3170"/>
      </w:tblGrid>
      <w:tr w:rsidR="00A96920" w:rsidRPr="00A96920" w14:paraId="4BD2DE3F"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095BDAFA" w14:textId="77777777" w:rsidR="00A96920" w:rsidRPr="00A96920" w:rsidRDefault="00A96920" w:rsidP="00A96920">
            <w:pPr>
              <w:pStyle w:val="Body-copy"/>
              <w:rPr>
                <w:b/>
                <w:bCs/>
                <w:color w:val="FFFFFF" w:themeColor="background1"/>
              </w:rPr>
            </w:pPr>
            <w:r w:rsidRPr="00A96920">
              <w:rPr>
                <w:b/>
                <w:bCs/>
                <w:color w:val="FFFFFF" w:themeColor="background1"/>
              </w:rPr>
              <w:t>Sector</w:t>
            </w:r>
          </w:p>
        </w:tc>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23EC5448" w14:textId="77777777" w:rsidR="00A96920" w:rsidRPr="00A96920" w:rsidRDefault="00A96920" w:rsidP="00A96920">
            <w:pPr>
              <w:pStyle w:val="Body-copy"/>
              <w:rPr>
                <w:b/>
                <w:bCs/>
                <w:color w:val="FFFFFF" w:themeColor="background1"/>
              </w:rPr>
            </w:pPr>
            <w:r w:rsidRPr="00A96920">
              <w:rPr>
                <w:b/>
                <w:bCs/>
                <w:color w:val="FFFFFF" w:themeColor="background1"/>
              </w:rPr>
              <w:t>Number of export deals</w:t>
            </w:r>
          </w:p>
        </w:tc>
        <w:tc>
          <w:tcPr>
            <w:tcW w:w="3125"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3C6A0F1F" w14:textId="77777777" w:rsidR="00A96920" w:rsidRPr="00A96920" w:rsidRDefault="00A96920" w:rsidP="00A96920">
            <w:pPr>
              <w:pStyle w:val="Body-copy"/>
              <w:rPr>
                <w:b/>
                <w:bCs/>
                <w:color w:val="FFFFFF" w:themeColor="background1"/>
              </w:rPr>
            </w:pPr>
            <w:r w:rsidRPr="00A96920">
              <w:rPr>
                <w:b/>
                <w:bCs/>
                <w:color w:val="FFFFFF" w:themeColor="background1"/>
              </w:rPr>
              <w:t>Value</w:t>
            </w:r>
          </w:p>
        </w:tc>
      </w:tr>
      <w:tr w:rsidR="00A96920" w:rsidRPr="00A96920" w14:paraId="4AB57B24"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A4E363" w14:textId="77777777" w:rsidR="00A96920" w:rsidRPr="00A96920" w:rsidRDefault="00A96920" w:rsidP="00A96920">
            <w:pPr>
              <w:pStyle w:val="Body-copy"/>
            </w:pPr>
            <w:r w:rsidRPr="00A96920">
              <w:t>Agribusiness &amp; Food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B43844" w14:textId="77777777" w:rsidR="00A96920" w:rsidRPr="00A96920" w:rsidRDefault="00A96920" w:rsidP="00A96920">
            <w:pPr>
              <w:pStyle w:val="Body-copy"/>
            </w:pPr>
            <w:r w:rsidRPr="00A96920">
              <w:t>755</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77DF405F" w14:textId="20ABB99C" w:rsidR="00A96920" w:rsidRPr="00A96920" w:rsidRDefault="00A96920" w:rsidP="00A96920">
            <w:pPr>
              <w:pStyle w:val="Body-copy"/>
            </w:pPr>
            <w:r w:rsidRPr="00A96920">
              <w:t xml:space="preserve">$1.7 </w:t>
            </w:r>
            <w:r w:rsidR="00B76538">
              <w:t>billion</w:t>
            </w:r>
          </w:p>
        </w:tc>
      </w:tr>
      <w:tr w:rsidR="00A96920" w:rsidRPr="00A96920" w14:paraId="3973B6C2"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41ED05" w14:textId="77777777" w:rsidR="00A96920" w:rsidRPr="00A96920" w:rsidRDefault="00A96920" w:rsidP="00A96920">
            <w:pPr>
              <w:pStyle w:val="Body-copy"/>
            </w:pPr>
            <w:r w:rsidRPr="00A96920">
              <w:t>Consumer &amp; Retail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2EA399" w14:textId="77777777" w:rsidR="00A96920" w:rsidRPr="00A96920" w:rsidRDefault="00A96920" w:rsidP="00A96920">
            <w:pPr>
              <w:pStyle w:val="Body-copy"/>
            </w:pPr>
            <w:r w:rsidRPr="00A96920">
              <w:t>78</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0B46E2B3" w14:textId="2F3A54DF" w:rsidR="00A96920" w:rsidRPr="00A96920" w:rsidRDefault="00A96920" w:rsidP="00A96920">
            <w:pPr>
              <w:pStyle w:val="Body-copy"/>
            </w:pPr>
            <w:r w:rsidRPr="00A96920">
              <w:t>$444 m</w:t>
            </w:r>
            <w:r w:rsidR="00B76538">
              <w:t>illion</w:t>
            </w:r>
          </w:p>
        </w:tc>
      </w:tr>
      <w:tr w:rsidR="00A96920" w:rsidRPr="00A96920" w14:paraId="26881B9C"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370021" w14:textId="77777777" w:rsidR="00A96920" w:rsidRPr="00A96920" w:rsidRDefault="00A96920" w:rsidP="00A96920">
            <w:pPr>
              <w:pStyle w:val="Body-copy"/>
            </w:pPr>
            <w:r w:rsidRPr="00A96920">
              <w:t>Defence, Advanced Manufacturing &amp; Space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0CA8B1" w14:textId="77777777" w:rsidR="00A96920" w:rsidRPr="00A96920" w:rsidRDefault="00A96920" w:rsidP="00A96920">
            <w:pPr>
              <w:pStyle w:val="Body-copy"/>
            </w:pPr>
            <w:r w:rsidRPr="00A96920">
              <w:t>197</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74B03257" w14:textId="48DF5958" w:rsidR="00A96920" w:rsidRPr="00A96920" w:rsidRDefault="00A96920" w:rsidP="00A96920">
            <w:pPr>
              <w:pStyle w:val="Body-copy"/>
            </w:pPr>
            <w:r w:rsidRPr="00A96920">
              <w:t xml:space="preserve">$2 </w:t>
            </w:r>
            <w:r w:rsidR="00B76538">
              <w:t>billion</w:t>
            </w:r>
          </w:p>
        </w:tc>
      </w:tr>
      <w:tr w:rsidR="00A96920" w:rsidRPr="00A96920" w14:paraId="4ECF2782"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97E7A5" w14:textId="77777777" w:rsidR="00A96920" w:rsidRPr="00A96920" w:rsidRDefault="00A96920" w:rsidP="00A96920">
            <w:pPr>
              <w:pStyle w:val="Body-copy"/>
            </w:pPr>
            <w:r w:rsidRPr="00A96920">
              <w:t>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9E72B8" w14:textId="77777777" w:rsidR="00A96920" w:rsidRPr="00A96920" w:rsidRDefault="00A96920" w:rsidP="00A96920">
            <w:pPr>
              <w:pStyle w:val="Body-copy"/>
            </w:pPr>
            <w:r w:rsidRPr="00A96920">
              <w:t>829</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3DA3C526" w14:textId="5675E0F0" w:rsidR="00A96920" w:rsidRPr="00A96920" w:rsidRDefault="00A96920" w:rsidP="00A96920">
            <w:pPr>
              <w:pStyle w:val="Body-copy"/>
            </w:pPr>
            <w:r w:rsidRPr="00A96920">
              <w:t xml:space="preserve">$1.3 </w:t>
            </w:r>
            <w:r w:rsidR="00B76538">
              <w:t>billion</w:t>
            </w:r>
          </w:p>
        </w:tc>
      </w:tr>
      <w:tr w:rsidR="00A96920" w:rsidRPr="00A96920" w14:paraId="6C30D0A6"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2B84DC" w14:textId="77777777" w:rsidR="00A96920" w:rsidRPr="00A96920" w:rsidRDefault="00A96920" w:rsidP="00A96920">
            <w:pPr>
              <w:pStyle w:val="Body-copy"/>
            </w:pPr>
            <w:r w:rsidRPr="00A96920">
              <w:t>Energy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4D593" w14:textId="77777777" w:rsidR="00A96920" w:rsidRPr="00A96920" w:rsidRDefault="00A96920" w:rsidP="00A96920">
            <w:pPr>
              <w:pStyle w:val="Body-copy"/>
            </w:pPr>
            <w:r w:rsidRPr="00A96920">
              <w:t>44</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64D2205F" w14:textId="4A38CCE8" w:rsidR="00A96920" w:rsidRPr="00A96920" w:rsidRDefault="00A96920" w:rsidP="00A96920">
            <w:pPr>
              <w:pStyle w:val="Body-copy"/>
            </w:pPr>
            <w:r w:rsidRPr="00A96920">
              <w:t xml:space="preserve">$66 </w:t>
            </w:r>
            <w:r w:rsidR="00B76538" w:rsidRPr="00A96920">
              <w:t>m</w:t>
            </w:r>
            <w:r w:rsidR="00B76538">
              <w:t>illion</w:t>
            </w:r>
          </w:p>
        </w:tc>
      </w:tr>
      <w:tr w:rsidR="00A96920" w:rsidRPr="00A96920" w14:paraId="7A851894"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C15EFA" w14:textId="77777777" w:rsidR="00A96920" w:rsidRPr="00A96920" w:rsidRDefault="00A96920" w:rsidP="00A96920">
            <w:pPr>
              <w:pStyle w:val="Body-copy"/>
            </w:pPr>
            <w:r w:rsidRPr="00A96920">
              <w:t>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55B3C" w14:textId="77777777" w:rsidR="00A96920" w:rsidRPr="00A96920" w:rsidRDefault="00A96920" w:rsidP="00A96920">
            <w:pPr>
              <w:pStyle w:val="Body-copy"/>
            </w:pPr>
            <w:r w:rsidRPr="00A96920">
              <w:t>93</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0B69F267" w14:textId="42807971" w:rsidR="00A96920" w:rsidRPr="00A96920" w:rsidRDefault="00A96920" w:rsidP="00A96920">
            <w:pPr>
              <w:pStyle w:val="Body-copy"/>
            </w:pPr>
            <w:r w:rsidRPr="00A96920">
              <w:t xml:space="preserve">$1 </w:t>
            </w:r>
            <w:r w:rsidR="00B76538">
              <w:t>billion</w:t>
            </w:r>
          </w:p>
        </w:tc>
      </w:tr>
      <w:tr w:rsidR="00A96920" w:rsidRPr="00A96920" w14:paraId="1CD40A01"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0CEAB0" w14:textId="77777777" w:rsidR="00A96920" w:rsidRPr="00A96920" w:rsidRDefault="00A96920" w:rsidP="00A96920">
            <w:pPr>
              <w:pStyle w:val="Body-copy"/>
            </w:pPr>
            <w:r w:rsidRPr="00A96920">
              <w:t>Infrastructure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9444C5" w14:textId="77777777" w:rsidR="00A96920" w:rsidRPr="00A96920" w:rsidRDefault="00A96920" w:rsidP="00A96920">
            <w:pPr>
              <w:pStyle w:val="Body-copy"/>
            </w:pPr>
            <w:r w:rsidRPr="00A96920">
              <w:t>155</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0C1F0373" w14:textId="7481FA64" w:rsidR="00A96920" w:rsidRPr="00A96920" w:rsidRDefault="00A96920" w:rsidP="00A96920">
            <w:pPr>
              <w:pStyle w:val="Body-copy"/>
            </w:pPr>
            <w:r w:rsidRPr="00A96920">
              <w:t xml:space="preserve">$544 </w:t>
            </w:r>
            <w:r w:rsidR="00B76538" w:rsidRPr="00A96920">
              <w:t>m</w:t>
            </w:r>
            <w:r w:rsidR="00B76538">
              <w:t>illion</w:t>
            </w:r>
          </w:p>
        </w:tc>
      </w:tr>
      <w:tr w:rsidR="00A96920" w:rsidRPr="00A96920" w14:paraId="43FBA15D"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9076D2" w14:textId="77777777" w:rsidR="00A96920" w:rsidRPr="00A96920" w:rsidRDefault="00A96920" w:rsidP="00A96920">
            <w:pPr>
              <w:pStyle w:val="Body-copy"/>
            </w:pPr>
            <w:r w:rsidRPr="00A96920">
              <w:t>Resources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B2170" w14:textId="77777777" w:rsidR="00A96920" w:rsidRPr="00A96920" w:rsidRDefault="00A96920" w:rsidP="00A96920">
            <w:pPr>
              <w:pStyle w:val="Body-copy"/>
            </w:pPr>
            <w:r w:rsidRPr="00A96920">
              <w:t>87</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63AECD02" w14:textId="0E64D89F" w:rsidR="00A96920" w:rsidRPr="00A96920" w:rsidRDefault="00A96920" w:rsidP="00A96920">
            <w:pPr>
              <w:pStyle w:val="Body-copy"/>
            </w:pPr>
            <w:r w:rsidRPr="00A96920">
              <w:t xml:space="preserve">$809 </w:t>
            </w:r>
            <w:r w:rsidR="00B76538" w:rsidRPr="00A96920">
              <w:t>m</w:t>
            </w:r>
            <w:r w:rsidR="00B76538">
              <w:t>illion</w:t>
            </w:r>
          </w:p>
        </w:tc>
      </w:tr>
      <w:tr w:rsidR="00A96920" w:rsidRPr="00A96920" w14:paraId="4FA91BEF"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6A4C3F" w14:textId="77777777" w:rsidR="00A96920" w:rsidRPr="00A96920" w:rsidRDefault="00A96920" w:rsidP="00A96920">
            <w:pPr>
              <w:pStyle w:val="Body-copy"/>
            </w:pPr>
            <w:r w:rsidRPr="00A96920">
              <w:t>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FBD019" w14:textId="77777777" w:rsidR="00A96920" w:rsidRPr="00A96920" w:rsidRDefault="00A96920" w:rsidP="00A96920">
            <w:pPr>
              <w:pStyle w:val="Body-copy"/>
            </w:pPr>
            <w:r w:rsidRPr="00A96920">
              <w:t>16</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5E6B264C" w14:textId="4E9CDB37" w:rsidR="00A96920" w:rsidRPr="00A96920" w:rsidRDefault="00A96920" w:rsidP="00A96920">
            <w:pPr>
              <w:pStyle w:val="Body-copy"/>
            </w:pPr>
            <w:r w:rsidRPr="00A96920">
              <w:t xml:space="preserve">$322 </w:t>
            </w:r>
            <w:r w:rsidR="00B76538" w:rsidRPr="00A96920">
              <w:t>m</w:t>
            </w:r>
            <w:r w:rsidR="00B76538">
              <w:t>illion</w:t>
            </w:r>
          </w:p>
        </w:tc>
      </w:tr>
      <w:tr w:rsidR="00A96920" w:rsidRPr="00A96920" w14:paraId="4F0B01C3" w14:textId="77777777" w:rsidTr="00B76538">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A17000" w14:textId="77777777" w:rsidR="00A96920" w:rsidRPr="00A96920" w:rsidRDefault="00A96920" w:rsidP="00A96920">
            <w:pPr>
              <w:pStyle w:val="Body-copy"/>
            </w:pPr>
            <w:r w:rsidRPr="00A96920">
              <w:t>Technology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52711D" w14:textId="77777777" w:rsidR="00A96920" w:rsidRPr="00A96920" w:rsidRDefault="00A96920" w:rsidP="00A96920">
            <w:pPr>
              <w:pStyle w:val="Body-copy"/>
            </w:pPr>
            <w:r w:rsidRPr="00A96920">
              <w:t>208</w:t>
            </w:r>
          </w:p>
        </w:tc>
        <w:tc>
          <w:tcPr>
            <w:tcW w:w="3125" w:type="dxa"/>
            <w:tcBorders>
              <w:top w:val="single" w:sz="6" w:space="0" w:color="E6E6E6"/>
              <w:left w:val="single" w:sz="6" w:space="0" w:color="E6E6E6"/>
              <w:bottom w:val="single" w:sz="6" w:space="0" w:color="E6E6E6"/>
              <w:right w:val="single" w:sz="6" w:space="0" w:color="E6E6E6"/>
            </w:tcBorders>
            <w:vAlign w:val="center"/>
            <w:hideMark/>
          </w:tcPr>
          <w:p w14:paraId="1ECA3975" w14:textId="01529E3B" w:rsidR="00A96920" w:rsidRPr="00A96920" w:rsidRDefault="00A96920" w:rsidP="00A96920">
            <w:pPr>
              <w:pStyle w:val="Body-copy"/>
            </w:pPr>
            <w:r w:rsidRPr="00A96920">
              <w:t xml:space="preserve">$692 </w:t>
            </w:r>
            <w:r w:rsidR="00B76538" w:rsidRPr="00A96920">
              <w:t>m</w:t>
            </w:r>
            <w:r w:rsidR="00B76538">
              <w:t>illion</w:t>
            </w:r>
          </w:p>
        </w:tc>
      </w:tr>
    </w:tbl>
    <w:p w14:paraId="744F81E2" w14:textId="77777777" w:rsidR="00A96920" w:rsidRPr="00A96920" w:rsidRDefault="00A96920" w:rsidP="00A96920">
      <w:pPr>
        <w:pStyle w:val="Body-copy"/>
        <w:rPr>
          <w:lang w:val="en-AU"/>
        </w:rPr>
      </w:pPr>
      <w:r w:rsidRPr="00A96920">
        <w:rPr>
          <w:i/>
          <w:iCs/>
          <w:lang w:val="en-AU"/>
        </w:rPr>
        <w:t>Figures may not add to totals due to rounding.</w:t>
      </w:r>
    </w:p>
    <w:p w14:paraId="05285617" w14:textId="77777777" w:rsidR="00A96920" w:rsidRPr="00DD3E1F" w:rsidRDefault="00A96920">
      <w:pPr>
        <w:pStyle w:val="Body-copy"/>
        <w:rPr>
          <w:lang w:val="en-AU"/>
        </w:rPr>
      </w:pPr>
    </w:p>
    <w:p w14:paraId="4101652C" w14:textId="77777777" w:rsidR="00572AF6" w:rsidRDefault="004C451D" w:rsidP="00D16FBE">
      <w:pPr>
        <w:pStyle w:val="QuoteSource"/>
      </w:pPr>
      <w:r>
        <w:br w:type="page"/>
      </w:r>
    </w:p>
    <w:p w14:paraId="4B99056E" w14:textId="77777777" w:rsidR="00572AF6" w:rsidRDefault="004C451D">
      <w:pPr>
        <w:spacing w:before="0" w:after="0"/>
        <w:jc w:val="center"/>
      </w:pPr>
      <w:r>
        <w:rPr>
          <w:noProof/>
        </w:rPr>
        <w:lastRenderedPageBreak/>
        <w:drawing>
          <wp:inline distT="0" distB="0" distL="0" distR="0" wp14:anchorId="04E1BEFA" wp14:editId="07777777">
            <wp:extent cx="9372600" cy="6629400"/>
            <wp:effectExtent l="0" t="0" r="0" b="0"/>
            <wp:docPr id="6" name="Picture 6" descr="Trade sectors and impact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5.png"/>
                    <pic:cNvPicPr/>
                  </pic:nvPicPr>
                  <pic:blipFill>
                    <a:blip r:embed="rId15"/>
                    <a:stretch>
                      <a:fillRect/>
                    </a:stretch>
                  </pic:blipFill>
                  <pic:spPr>
                    <a:xfrm>
                      <a:off x="0" y="0"/>
                      <a:ext cx="9372600" cy="6629400"/>
                    </a:xfrm>
                    <a:prstGeom prst="rect">
                      <a:avLst/>
                    </a:prstGeom>
                  </pic:spPr>
                </pic:pic>
              </a:graphicData>
            </a:graphic>
          </wp:inline>
        </w:drawing>
      </w:r>
    </w:p>
    <w:p w14:paraId="3E56FA5D" w14:textId="77777777" w:rsidR="00FD1ED0" w:rsidRPr="00B322E1" w:rsidRDefault="00FD1ED0" w:rsidP="00BB51D5">
      <w:pPr>
        <w:pStyle w:val="Heading-level3"/>
        <w:rPr>
          <w:rFonts w:asciiTheme="minorHAnsi" w:hAnsiTheme="minorHAnsi"/>
          <w:b w:val="0"/>
          <w:bCs w:val="0"/>
          <w:color w:val="7030A0"/>
          <w:sz w:val="32"/>
          <w:szCs w:val="32"/>
        </w:rPr>
      </w:pPr>
      <w:r w:rsidRPr="00B322E1">
        <w:rPr>
          <w:rFonts w:asciiTheme="minorHAnsi" w:hAnsiTheme="minorHAnsi"/>
          <w:b w:val="0"/>
          <w:bCs w:val="0"/>
          <w:color w:val="7030A0"/>
          <w:sz w:val="32"/>
          <w:szCs w:val="32"/>
        </w:rPr>
        <w:lastRenderedPageBreak/>
        <w:t>Trade highlights 2025–26</w:t>
      </w:r>
    </w:p>
    <w:p w14:paraId="29CF9B8D" w14:textId="77777777" w:rsidR="00FD1ED0" w:rsidRPr="00FD1ED0" w:rsidRDefault="00FD1ED0" w:rsidP="00FD1ED0">
      <w:pPr>
        <w:rPr>
          <w:b/>
          <w:bCs/>
        </w:rPr>
      </w:pPr>
      <w:r w:rsidRPr="00FD1ED0">
        <w:rPr>
          <w:b/>
          <w:bCs/>
        </w:rPr>
        <w:t>Top markets for Austrade-facilitated export deals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8"/>
        <w:gridCol w:w="2740"/>
        <w:gridCol w:w="1423"/>
      </w:tblGrid>
      <w:tr w:rsidR="00FD1ED0" w:rsidRPr="00FD1ED0" w14:paraId="07CEE4F5" w14:textId="77777777" w:rsidTr="005479E4">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1C8F3AEE" w14:textId="77777777" w:rsidR="00FD1ED0" w:rsidRPr="00FD1ED0" w:rsidRDefault="00FD1ED0" w:rsidP="00FD1ED0">
            <w:pPr>
              <w:rPr>
                <w:b/>
                <w:bCs/>
                <w:color w:val="FFFFFF" w:themeColor="background1"/>
              </w:rPr>
            </w:pPr>
            <w:r w:rsidRPr="00FD1ED0">
              <w:rPr>
                <w:b/>
                <w:bCs/>
                <w:color w:val="FFFFFF" w:themeColor="background1"/>
              </w:rPr>
              <w:t>Region</w:t>
            </w:r>
          </w:p>
        </w:tc>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3DD4739C" w14:textId="77777777" w:rsidR="00FD1ED0" w:rsidRPr="00FD1ED0" w:rsidRDefault="00FD1ED0" w:rsidP="00FD1ED0">
            <w:pPr>
              <w:rPr>
                <w:b/>
                <w:bCs/>
                <w:color w:val="FFFFFF" w:themeColor="background1"/>
              </w:rPr>
            </w:pPr>
            <w:r w:rsidRPr="00FD1ED0">
              <w:rPr>
                <w:b/>
                <w:bCs/>
                <w:color w:val="FFFFFF" w:themeColor="background1"/>
              </w:rPr>
              <w:t>Number of export deals</w:t>
            </w:r>
          </w:p>
        </w:tc>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1A63F586" w14:textId="77777777" w:rsidR="00FD1ED0" w:rsidRPr="00FD1ED0" w:rsidRDefault="00FD1ED0" w:rsidP="00FD1ED0">
            <w:pPr>
              <w:rPr>
                <w:b/>
                <w:bCs/>
                <w:color w:val="FFFFFF" w:themeColor="background1"/>
              </w:rPr>
            </w:pPr>
            <w:r w:rsidRPr="00FD1ED0">
              <w:rPr>
                <w:b/>
                <w:bCs/>
                <w:color w:val="FFFFFF" w:themeColor="background1"/>
              </w:rPr>
              <w:t>Trade value</w:t>
            </w:r>
          </w:p>
        </w:tc>
      </w:tr>
      <w:tr w:rsidR="00FD1ED0" w:rsidRPr="00FD1ED0" w14:paraId="472DBE40"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32453A" w14:textId="77777777" w:rsidR="00FD1ED0" w:rsidRPr="00FD1ED0" w:rsidRDefault="00FD1ED0" w:rsidP="00FD1ED0">
            <w:r w:rsidRPr="00FD1ED0">
              <w:t>Southeast Asia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967AB7" w14:textId="77777777" w:rsidR="00FD1ED0" w:rsidRPr="00FD1ED0" w:rsidRDefault="00FD1ED0" w:rsidP="00FD1ED0">
            <w:r w:rsidRPr="00FD1ED0">
              <w:t>659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EEA49B" w14:textId="77777777" w:rsidR="00FD1ED0" w:rsidRPr="00FD1ED0" w:rsidRDefault="00FD1ED0" w:rsidP="00FD1ED0">
            <w:r w:rsidRPr="00FD1ED0">
              <w:t>$1.6 billion</w:t>
            </w:r>
          </w:p>
        </w:tc>
      </w:tr>
      <w:tr w:rsidR="00FD1ED0" w:rsidRPr="00FD1ED0" w14:paraId="6CF2ADFA"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E8857A" w14:textId="77777777" w:rsidR="00FD1ED0" w:rsidRPr="00FD1ED0" w:rsidRDefault="00FD1ED0" w:rsidP="00FD1ED0">
            <w:r w:rsidRPr="00FD1ED0">
              <w:t>Mainland China, Hong Kong and Taiwan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556633" w14:textId="77777777" w:rsidR="00FD1ED0" w:rsidRPr="00FD1ED0" w:rsidRDefault="00FD1ED0" w:rsidP="00FD1ED0">
            <w:r w:rsidRPr="00FD1ED0">
              <w:t>439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3E73F0" w14:textId="77777777" w:rsidR="00FD1ED0" w:rsidRPr="00FD1ED0" w:rsidRDefault="00FD1ED0" w:rsidP="00FD1ED0">
            <w:r w:rsidRPr="00FD1ED0">
              <w:t>$2.1 billion</w:t>
            </w:r>
          </w:p>
        </w:tc>
      </w:tr>
      <w:tr w:rsidR="00FD1ED0" w:rsidRPr="00FD1ED0" w14:paraId="5E4A266B"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095053" w14:textId="77777777" w:rsidR="00FD1ED0" w:rsidRPr="00FD1ED0" w:rsidRDefault="00FD1ED0" w:rsidP="00FD1ED0">
            <w:r w:rsidRPr="00FD1ED0">
              <w:t>Americas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5B4769" w14:textId="77777777" w:rsidR="00FD1ED0" w:rsidRPr="00FD1ED0" w:rsidRDefault="00FD1ED0" w:rsidP="00FD1ED0">
            <w:r w:rsidRPr="00FD1ED0">
              <w:t>342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CF5704" w14:textId="77777777" w:rsidR="00FD1ED0" w:rsidRPr="00FD1ED0" w:rsidRDefault="00FD1ED0" w:rsidP="00FD1ED0">
            <w:r w:rsidRPr="00FD1ED0">
              <w:t>$1.3 billion</w:t>
            </w:r>
          </w:p>
        </w:tc>
      </w:tr>
      <w:tr w:rsidR="00FD1ED0" w:rsidRPr="00FD1ED0" w14:paraId="33B90BBF"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B0BB46" w14:textId="77777777" w:rsidR="00FD1ED0" w:rsidRPr="00FD1ED0" w:rsidRDefault="00FD1ED0" w:rsidP="00FD1ED0">
            <w:r w:rsidRPr="00FD1ED0">
              <w:t>South Asia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0D558D" w14:textId="77777777" w:rsidR="00FD1ED0" w:rsidRPr="00FD1ED0" w:rsidRDefault="00FD1ED0" w:rsidP="00FD1ED0">
            <w:r w:rsidRPr="00FD1ED0">
              <w:t>333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7FC5A" w14:textId="77777777" w:rsidR="00FD1ED0" w:rsidRPr="00FD1ED0" w:rsidRDefault="00FD1ED0" w:rsidP="00FD1ED0">
            <w:r w:rsidRPr="00FD1ED0">
              <w:t>$1.5 billion</w:t>
            </w:r>
          </w:p>
        </w:tc>
      </w:tr>
      <w:tr w:rsidR="00FD1ED0" w:rsidRPr="00FD1ED0" w14:paraId="6BE564B2"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046C63" w14:textId="77777777" w:rsidR="00FD1ED0" w:rsidRPr="00FD1ED0" w:rsidRDefault="00FD1ED0" w:rsidP="00FD1ED0">
            <w:r w:rsidRPr="00FD1ED0">
              <w:t>Northeast Asia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BEEF2E" w14:textId="77777777" w:rsidR="00FD1ED0" w:rsidRPr="00FD1ED0" w:rsidRDefault="00FD1ED0" w:rsidP="00FD1ED0">
            <w:r w:rsidRPr="00FD1ED0">
              <w:t>210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A69AF" w14:textId="77777777" w:rsidR="00FD1ED0" w:rsidRPr="00FD1ED0" w:rsidRDefault="00FD1ED0" w:rsidP="00FD1ED0">
            <w:r w:rsidRPr="00FD1ED0">
              <w:t>$528 million</w:t>
            </w:r>
          </w:p>
        </w:tc>
      </w:tr>
      <w:tr w:rsidR="00FD1ED0" w:rsidRPr="00FD1ED0" w14:paraId="649A409C"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54DFE6" w14:textId="77777777" w:rsidR="00FD1ED0" w:rsidRPr="00FD1ED0" w:rsidRDefault="00FD1ED0" w:rsidP="00FD1ED0">
            <w:r w:rsidRPr="00FD1ED0">
              <w:t>Middle East and Africa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1E4F4D" w14:textId="77777777" w:rsidR="00FD1ED0" w:rsidRPr="00FD1ED0" w:rsidRDefault="00FD1ED0" w:rsidP="00FD1ED0">
            <w:r w:rsidRPr="00FD1ED0">
              <w:t>189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D50128" w14:textId="77777777" w:rsidR="00FD1ED0" w:rsidRPr="00FD1ED0" w:rsidRDefault="00FD1ED0" w:rsidP="00FD1ED0">
            <w:r w:rsidRPr="00FD1ED0">
              <w:t>$686 million</w:t>
            </w:r>
          </w:p>
        </w:tc>
      </w:tr>
      <w:tr w:rsidR="00FD1ED0" w:rsidRPr="00FD1ED0" w14:paraId="769D9BE1"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AD7BDD" w14:textId="77777777" w:rsidR="00FD1ED0" w:rsidRPr="00FD1ED0" w:rsidRDefault="00FD1ED0" w:rsidP="00FD1ED0">
            <w:r w:rsidRPr="00FD1ED0">
              <w:t>Pacific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582EE" w14:textId="77777777" w:rsidR="00FD1ED0" w:rsidRPr="00FD1ED0" w:rsidRDefault="00FD1ED0" w:rsidP="00FD1ED0">
            <w:r w:rsidRPr="00FD1ED0">
              <w:t>139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CE6C4" w14:textId="77777777" w:rsidR="00FD1ED0" w:rsidRPr="00FD1ED0" w:rsidRDefault="00FD1ED0" w:rsidP="00FD1ED0">
            <w:r w:rsidRPr="00FD1ED0">
              <w:t>$157 million</w:t>
            </w:r>
          </w:p>
        </w:tc>
      </w:tr>
      <w:tr w:rsidR="00FD1ED0" w:rsidRPr="00FD1ED0" w14:paraId="53C17AEB" w14:textId="77777777" w:rsidTr="00FD1ED0">
        <w:trPr>
          <w:trHeight w:hRule="exact" w:val="56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720D2A" w14:textId="77777777" w:rsidR="00FD1ED0" w:rsidRPr="00FD1ED0" w:rsidRDefault="00FD1ED0" w:rsidP="00FD1ED0">
            <w:r w:rsidRPr="00FD1ED0">
              <w:t>United Kingdom and Europe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6FB2A4" w14:textId="77777777" w:rsidR="00FD1ED0" w:rsidRPr="00FD1ED0" w:rsidRDefault="00FD1ED0" w:rsidP="00FD1ED0">
            <w:r w:rsidRPr="00FD1ED0">
              <w:t>93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501C4" w14:textId="77777777" w:rsidR="00FD1ED0" w:rsidRPr="00FD1ED0" w:rsidRDefault="00FD1ED0" w:rsidP="00FD1ED0">
            <w:r w:rsidRPr="00FD1ED0">
              <w:t>$982 million</w:t>
            </w:r>
          </w:p>
        </w:tc>
      </w:tr>
    </w:tbl>
    <w:p w14:paraId="4095647C" w14:textId="77777777" w:rsidR="00FD1ED0" w:rsidRPr="00FD1ED0" w:rsidRDefault="00FD1ED0" w:rsidP="00FD1ED0">
      <w:pPr>
        <w:rPr>
          <w:b/>
          <w:bCs/>
        </w:rPr>
      </w:pPr>
      <w:r w:rsidRPr="00FD1ED0">
        <w:rPr>
          <w:b/>
          <w:bCs/>
        </w:rPr>
        <w:t>Top 5 markets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2693"/>
        <w:gridCol w:w="1418"/>
      </w:tblGrid>
      <w:tr w:rsidR="00FD1ED0" w:rsidRPr="00072312" w14:paraId="77A3550E" w14:textId="77777777" w:rsidTr="005479E4">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3E3CBE17" w14:textId="77777777" w:rsidR="00FD1ED0" w:rsidRPr="00072312" w:rsidRDefault="00FD1ED0" w:rsidP="00FD1ED0">
            <w:pPr>
              <w:rPr>
                <w:b/>
                <w:bCs/>
                <w:color w:val="FFFFFF" w:themeColor="background1"/>
              </w:rPr>
            </w:pPr>
            <w:r w:rsidRPr="00072312">
              <w:rPr>
                <w:b/>
                <w:bCs/>
                <w:color w:val="FFFFFF" w:themeColor="background1"/>
              </w:rPr>
              <w:t>Market</w:t>
            </w:r>
          </w:p>
        </w:tc>
        <w:tc>
          <w:tcPr>
            <w:tcW w:w="2663"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3B55586A" w14:textId="77777777" w:rsidR="00FD1ED0" w:rsidRPr="00072312" w:rsidRDefault="00FD1ED0" w:rsidP="00FD1ED0">
            <w:pPr>
              <w:rPr>
                <w:b/>
                <w:bCs/>
                <w:color w:val="FFFFFF" w:themeColor="background1"/>
              </w:rPr>
            </w:pPr>
            <w:r w:rsidRPr="00072312">
              <w:rPr>
                <w:b/>
                <w:bCs/>
                <w:color w:val="FFFFFF" w:themeColor="background1"/>
              </w:rPr>
              <w:t>Trade value</w:t>
            </w:r>
          </w:p>
        </w:tc>
        <w:tc>
          <w:tcPr>
            <w:tcW w:w="1373"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542DAF1A" w14:textId="77777777" w:rsidR="00FD1ED0" w:rsidRPr="00072312" w:rsidRDefault="00FD1ED0" w:rsidP="00FD1ED0">
            <w:pPr>
              <w:rPr>
                <w:b/>
                <w:bCs/>
                <w:color w:val="FFFFFF" w:themeColor="background1"/>
              </w:rPr>
            </w:pPr>
            <w:r w:rsidRPr="00072312">
              <w:rPr>
                <w:b/>
                <w:bCs/>
                <w:color w:val="FFFFFF" w:themeColor="background1"/>
              </w:rPr>
              <w:t>Export deals</w:t>
            </w:r>
          </w:p>
        </w:tc>
      </w:tr>
      <w:tr w:rsidR="00FD1ED0" w:rsidRPr="00FD1ED0" w14:paraId="2BEB65D7" w14:textId="77777777" w:rsidTr="00072312">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002E768" w14:textId="77777777" w:rsidR="00FD1ED0" w:rsidRPr="00FD1ED0" w:rsidRDefault="00FD1ED0" w:rsidP="00FD1ED0">
            <w:r w:rsidRPr="00FD1ED0">
              <w:t>China</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1A745B39" w14:textId="77777777" w:rsidR="00FD1ED0" w:rsidRPr="00FD1ED0" w:rsidRDefault="00FD1ED0" w:rsidP="00FD1ED0">
            <w:r w:rsidRPr="00FD1ED0">
              <w:t>$1.9 billion</w:t>
            </w:r>
          </w:p>
        </w:tc>
        <w:tc>
          <w:tcPr>
            <w:tcW w:w="1373" w:type="dxa"/>
            <w:tcBorders>
              <w:top w:val="single" w:sz="6" w:space="0" w:color="E6E6E6"/>
              <w:left w:val="single" w:sz="6" w:space="0" w:color="E6E6E6"/>
              <w:bottom w:val="single" w:sz="6" w:space="0" w:color="E6E6E6"/>
              <w:right w:val="single" w:sz="6" w:space="0" w:color="E6E6E6"/>
            </w:tcBorders>
            <w:vAlign w:val="center"/>
            <w:hideMark/>
          </w:tcPr>
          <w:p w14:paraId="7CDC5665" w14:textId="77777777" w:rsidR="00FD1ED0" w:rsidRPr="00FD1ED0" w:rsidRDefault="00FD1ED0" w:rsidP="00FD1ED0">
            <w:r w:rsidRPr="00FD1ED0">
              <w:t>238</w:t>
            </w:r>
          </w:p>
        </w:tc>
      </w:tr>
      <w:tr w:rsidR="00FD1ED0" w:rsidRPr="00FD1ED0" w14:paraId="6F5E6EAC" w14:textId="77777777" w:rsidTr="00072312">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0AEBA68" w14:textId="77777777" w:rsidR="00FD1ED0" w:rsidRPr="00FD1ED0" w:rsidRDefault="00FD1ED0" w:rsidP="00FD1ED0">
            <w:r w:rsidRPr="00FD1ED0">
              <w:t>India</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4A31DE54" w14:textId="77777777" w:rsidR="00FD1ED0" w:rsidRPr="00FD1ED0" w:rsidRDefault="00FD1ED0" w:rsidP="00FD1ED0">
            <w:r w:rsidRPr="00FD1ED0">
              <w:t>$1.2 billion</w:t>
            </w:r>
          </w:p>
        </w:tc>
        <w:tc>
          <w:tcPr>
            <w:tcW w:w="1373" w:type="dxa"/>
            <w:tcBorders>
              <w:top w:val="single" w:sz="6" w:space="0" w:color="E6E6E6"/>
              <w:left w:val="single" w:sz="6" w:space="0" w:color="E6E6E6"/>
              <w:bottom w:val="single" w:sz="6" w:space="0" w:color="E6E6E6"/>
              <w:right w:val="single" w:sz="6" w:space="0" w:color="E6E6E6"/>
            </w:tcBorders>
            <w:vAlign w:val="center"/>
            <w:hideMark/>
          </w:tcPr>
          <w:p w14:paraId="762B1F58" w14:textId="77777777" w:rsidR="00FD1ED0" w:rsidRPr="00FD1ED0" w:rsidRDefault="00FD1ED0" w:rsidP="00FD1ED0">
            <w:r w:rsidRPr="00FD1ED0">
              <w:t>235</w:t>
            </w:r>
          </w:p>
        </w:tc>
      </w:tr>
      <w:tr w:rsidR="00FD1ED0" w:rsidRPr="00FD1ED0" w14:paraId="0C2749BA" w14:textId="77777777" w:rsidTr="00072312">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4C8B87E" w14:textId="77777777" w:rsidR="00FD1ED0" w:rsidRPr="00FD1ED0" w:rsidRDefault="00FD1ED0" w:rsidP="00FD1ED0">
            <w:r w:rsidRPr="00FD1ED0">
              <w:lastRenderedPageBreak/>
              <w:t>United States</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735A84EC" w14:textId="77777777" w:rsidR="00FD1ED0" w:rsidRPr="00FD1ED0" w:rsidRDefault="00FD1ED0" w:rsidP="00FD1ED0">
            <w:r w:rsidRPr="00FD1ED0">
              <w:t>$1 billion</w:t>
            </w:r>
          </w:p>
        </w:tc>
        <w:tc>
          <w:tcPr>
            <w:tcW w:w="1373" w:type="dxa"/>
            <w:tcBorders>
              <w:top w:val="single" w:sz="6" w:space="0" w:color="E6E6E6"/>
              <w:left w:val="single" w:sz="6" w:space="0" w:color="E6E6E6"/>
              <w:bottom w:val="single" w:sz="6" w:space="0" w:color="E6E6E6"/>
              <w:right w:val="single" w:sz="6" w:space="0" w:color="E6E6E6"/>
            </w:tcBorders>
            <w:vAlign w:val="center"/>
            <w:hideMark/>
          </w:tcPr>
          <w:p w14:paraId="72AA590D" w14:textId="77777777" w:rsidR="00FD1ED0" w:rsidRPr="00FD1ED0" w:rsidRDefault="00FD1ED0" w:rsidP="00FD1ED0">
            <w:r w:rsidRPr="00FD1ED0">
              <w:t>177</w:t>
            </w:r>
          </w:p>
        </w:tc>
      </w:tr>
      <w:tr w:rsidR="00FD1ED0" w:rsidRPr="00FD1ED0" w14:paraId="28D6E340" w14:textId="77777777" w:rsidTr="00072312">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A441DBD" w14:textId="77777777" w:rsidR="00FD1ED0" w:rsidRPr="00FD1ED0" w:rsidRDefault="00FD1ED0" w:rsidP="00FD1ED0">
            <w:r w:rsidRPr="00FD1ED0">
              <w:t>Japan</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0235CC35" w14:textId="77777777" w:rsidR="00FD1ED0" w:rsidRPr="00FD1ED0" w:rsidRDefault="00FD1ED0" w:rsidP="00FD1ED0">
            <w:r w:rsidRPr="00FD1ED0">
              <w:t>$441 million</w:t>
            </w:r>
          </w:p>
        </w:tc>
        <w:tc>
          <w:tcPr>
            <w:tcW w:w="1373" w:type="dxa"/>
            <w:tcBorders>
              <w:top w:val="single" w:sz="6" w:space="0" w:color="E6E6E6"/>
              <w:left w:val="single" w:sz="6" w:space="0" w:color="E6E6E6"/>
              <w:bottom w:val="single" w:sz="6" w:space="0" w:color="E6E6E6"/>
              <w:right w:val="single" w:sz="6" w:space="0" w:color="E6E6E6"/>
            </w:tcBorders>
            <w:vAlign w:val="center"/>
            <w:hideMark/>
          </w:tcPr>
          <w:p w14:paraId="64E7B9FC" w14:textId="77777777" w:rsidR="00FD1ED0" w:rsidRPr="00FD1ED0" w:rsidRDefault="00FD1ED0" w:rsidP="00FD1ED0">
            <w:r w:rsidRPr="00FD1ED0">
              <w:t>142</w:t>
            </w:r>
          </w:p>
        </w:tc>
      </w:tr>
      <w:tr w:rsidR="00FD1ED0" w:rsidRPr="00FD1ED0" w14:paraId="741D5ECB" w14:textId="77777777" w:rsidTr="00072312">
        <w:trPr>
          <w:trHeight w:hRule="exact" w:val="567"/>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6D8CB8A" w14:textId="77777777" w:rsidR="00FD1ED0" w:rsidRPr="00FD1ED0" w:rsidRDefault="00FD1ED0" w:rsidP="00FD1ED0">
            <w:r w:rsidRPr="00FD1ED0">
              <w:t>Philippines</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56055D4D" w14:textId="77777777" w:rsidR="00FD1ED0" w:rsidRPr="00FD1ED0" w:rsidRDefault="00FD1ED0" w:rsidP="00FD1ED0">
            <w:r w:rsidRPr="00FD1ED0">
              <w:t>$196 million</w:t>
            </w:r>
          </w:p>
        </w:tc>
        <w:tc>
          <w:tcPr>
            <w:tcW w:w="1373" w:type="dxa"/>
            <w:tcBorders>
              <w:top w:val="single" w:sz="6" w:space="0" w:color="E6E6E6"/>
              <w:left w:val="single" w:sz="6" w:space="0" w:color="E6E6E6"/>
              <w:bottom w:val="single" w:sz="6" w:space="0" w:color="E6E6E6"/>
              <w:right w:val="single" w:sz="6" w:space="0" w:color="E6E6E6"/>
            </w:tcBorders>
            <w:vAlign w:val="center"/>
            <w:hideMark/>
          </w:tcPr>
          <w:p w14:paraId="26D92997" w14:textId="77777777" w:rsidR="00FD1ED0" w:rsidRPr="00FD1ED0" w:rsidRDefault="00FD1ED0" w:rsidP="00FD1ED0">
            <w:r w:rsidRPr="00FD1ED0">
              <w:t>139</w:t>
            </w:r>
          </w:p>
        </w:tc>
      </w:tr>
    </w:tbl>
    <w:p w14:paraId="25CA82E4" w14:textId="77777777" w:rsidR="00FD1ED0" w:rsidRPr="00FD1ED0" w:rsidRDefault="00FD1ED0" w:rsidP="00FD1ED0">
      <w:r w:rsidRPr="00FD1ED0">
        <w:rPr>
          <w:i/>
          <w:iCs/>
        </w:rPr>
        <w:t>The top 5 markets are ranked by the number of export deals facilitated by Austrade.</w:t>
      </w:r>
    </w:p>
    <w:p w14:paraId="650C2317" w14:textId="77777777" w:rsidR="00FD1ED0" w:rsidRPr="00FD1ED0" w:rsidRDefault="00FD1ED0" w:rsidP="00FD1ED0">
      <w:r w:rsidRPr="00FD1ED0">
        <w:rPr>
          <w:i/>
          <w:iCs/>
        </w:rPr>
        <w:t>Figures may not add to totals due to rounding.</w:t>
      </w:r>
    </w:p>
    <w:p w14:paraId="1299C43A" w14:textId="1F5E6403" w:rsidR="00572AF6" w:rsidRDefault="00072312">
      <w:r>
        <w:rPr>
          <w:noProof/>
        </w:rPr>
        <w:drawing>
          <wp:inline distT="0" distB="0" distL="0" distR="0" wp14:anchorId="032F8BA7" wp14:editId="6A3AD440">
            <wp:extent cx="5622057" cy="3976577"/>
            <wp:effectExtent l="0" t="0" r="0" b="5080"/>
            <wp:docPr id="7" name="Picture 7" descr="Export markets map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6.png"/>
                    <pic:cNvPicPr/>
                  </pic:nvPicPr>
                  <pic:blipFill>
                    <a:blip r:embed="rId16"/>
                    <a:stretch>
                      <a:fillRect/>
                    </a:stretch>
                  </pic:blipFill>
                  <pic:spPr>
                    <a:xfrm>
                      <a:off x="0" y="0"/>
                      <a:ext cx="5640219" cy="3989424"/>
                    </a:xfrm>
                    <a:prstGeom prst="rect">
                      <a:avLst/>
                    </a:prstGeom>
                  </pic:spPr>
                </pic:pic>
              </a:graphicData>
            </a:graphic>
          </wp:inline>
        </w:drawing>
      </w:r>
      <w:r>
        <w:br w:type="page"/>
      </w:r>
    </w:p>
    <w:p w14:paraId="3CF2D8B6" w14:textId="4A52DE4E" w:rsidR="00572AF6" w:rsidRDefault="004C451D" w:rsidP="00072312">
      <w:r>
        <w:rPr>
          <w:noProof/>
        </w:rPr>
        <w:lastRenderedPageBreak/>
        <w:drawing>
          <wp:inline distT="0" distB="0" distL="0" distR="0" wp14:anchorId="4AD6D24C" wp14:editId="07777777">
            <wp:extent cx="9372600" cy="6629400"/>
            <wp:effectExtent l="0" t="0" r="0" b="0"/>
            <wp:docPr id="8" name="Picture 8" descr="Investment sec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7.png"/>
                    <pic:cNvPicPr/>
                  </pic:nvPicPr>
                  <pic:blipFill>
                    <a:blip r:embed="rId17"/>
                    <a:stretch>
                      <a:fillRect/>
                    </a:stretch>
                  </pic:blipFill>
                  <pic:spPr>
                    <a:xfrm>
                      <a:off x="0" y="0"/>
                      <a:ext cx="9372600" cy="6629400"/>
                    </a:xfrm>
                    <a:prstGeom prst="rect">
                      <a:avLst/>
                    </a:prstGeom>
                  </pic:spPr>
                </pic:pic>
              </a:graphicData>
            </a:graphic>
          </wp:inline>
        </w:drawing>
      </w:r>
    </w:p>
    <w:p w14:paraId="412E0E81" w14:textId="0AB3991A" w:rsidR="00072312" w:rsidRPr="005479E4" w:rsidRDefault="00072312" w:rsidP="00072312">
      <w:pPr>
        <w:pStyle w:val="Heading-level2"/>
        <w:rPr>
          <w:color w:val="7030A0"/>
        </w:rPr>
      </w:pPr>
      <w:r w:rsidRPr="005479E4">
        <w:rPr>
          <w:color w:val="7030A0"/>
        </w:rPr>
        <w:lastRenderedPageBreak/>
        <w:t xml:space="preserve">Investment </w:t>
      </w:r>
    </w:p>
    <w:p w14:paraId="2472133A" w14:textId="48057499" w:rsidR="007D37D6" w:rsidRPr="0087622D" w:rsidRDefault="007D37D6" w:rsidP="007D37D6">
      <w:pPr>
        <w:pStyle w:val="SmallQuote"/>
        <w:rPr>
          <w:color w:val="7030A0"/>
          <w:szCs w:val="24"/>
        </w:rPr>
      </w:pPr>
      <w:r w:rsidRPr="0087622D">
        <w:rPr>
          <w:color w:val="7030A0"/>
          <w:szCs w:val="24"/>
        </w:rPr>
        <w:t xml:space="preserve">Over the past 10 years, international investment has supported nearly 400,000 Australian jobs. Beyond capital and jobs, these investments have helped deliver infrastructure, drive innovation and bring new capabilities that enable Australian industries to grow. </w:t>
      </w:r>
    </w:p>
    <w:p w14:paraId="26FF2850" w14:textId="77777777" w:rsidR="00726614" w:rsidRPr="0087622D" w:rsidRDefault="004C451D" w:rsidP="00072312">
      <w:pPr>
        <w:rPr>
          <w:sz w:val="24"/>
          <w:szCs w:val="24"/>
        </w:rPr>
      </w:pPr>
      <w:r w:rsidRPr="0087622D">
        <w:rPr>
          <w:sz w:val="24"/>
          <w:szCs w:val="24"/>
        </w:rPr>
        <w:t xml:space="preserve">Austrade channels the efforts of staff across more than 60 locations around the world towards sectors where international investment and expertise can yield the most significant economic and strategic returns. We also support Australian businesses to expand internationally, particularly in Southeast Asia, the Pacific and other markets where strong export opportunities exist. In addition to outward investment by Australian corporates, Austrade also supports two- way investment by institutional investors, reflecting the growing importance and opportunity this pool of capital presents to the Australian economy. </w:t>
      </w:r>
    </w:p>
    <w:p w14:paraId="0EBC2EF2" w14:textId="25BA5982" w:rsidR="00572AF6" w:rsidRPr="0087622D" w:rsidRDefault="004C451D" w:rsidP="00072312">
      <w:pPr>
        <w:rPr>
          <w:sz w:val="24"/>
          <w:szCs w:val="24"/>
        </w:rPr>
      </w:pPr>
      <w:r w:rsidRPr="0087622D">
        <w:rPr>
          <w:sz w:val="24"/>
          <w:szCs w:val="24"/>
        </w:rPr>
        <w:t xml:space="preserve">Working </w:t>
      </w:r>
      <w:proofErr w:type="gramStart"/>
      <w:r w:rsidRPr="0087622D">
        <w:rPr>
          <w:sz w:val="24"/>
          <w:szCs w:val="24"/>
        </w:rPr>
        <w:t>hand-in-hand</w:t>
      </w:r>
      <w:proofErr w:type="gramEnd"/>
      <w:r w:rsidRPr="0087622D">
        <w:rPr>
          <w:sz w:val="24"/>
          <w:szCs w:val="24"/>
        </w:rPr>
        <w:t xml:space="preserve"> with state and territory governments, we streamline investment processes for overseas investors—guiding them through regulatory landscapes, helping identify optimal sites and connecting them with essential partners, including industry stakeholders, the Investor Front Door and financial entities such as Commonwealth special investment vehicles. </w:t>
      </w:r>
    </w:p>
    <w:p w14:paraId="3C675EA6" w14:textId="1F6AE4C7" w:rsidR="00E51955" w:rsidRPr="0087622D" w:rsidRDefault="00E51955" w:rsidP="00072312">
      <w:pPr>
        <w:rPr>
          <w:sz w:val="24"/>
          <w:szCs w:val="24"/>
        </w:rPr>
      </w:pPr>
      <w:r w:rsidRPr="0087622D">
        <w:rPr>
          <w:sz w:val="24"/>
          <w:szCs w:val="24"/>
        </w:rPr>
        <w:t>Austrade plays a broader system role by generating commercial insights from engagement with global firms and feeding these into policy development across government, helping to improve the overall investment climate. We coordinate nationally through mechanisms such as the National Investment Forum, aligning Commonwealth, state and territory efforts and promoting a 'Team Australia' approach to investment attraction.</w:t>
      </w:r>
    </w:p>
    <w:p w14:paraId="0705EB18" w14:textId="46449435" w:rsidR="00072312" w:rsidRPr="0087622D" w:rsidRDefault="00726614" w:rsidP="00E51955">
      <w:pPr>
        <w:pStyle w:val="Body-copy"/>
        <w:rPr>
          <w:b/>
          <w:bCs/>
          <w:sz w:val="24"/>
          <w:szCs w:val="24"/>
          <w:lang w:val="en-AU"/>
        </w:rPr>
      </w:pPr>
      <w:r w:rsidRPr="0087622D">
        <w:rPr>
          <w:b/>
          <w:bCs/>
          <w:sz w:val="24"/>
          <w:szCs w:val="24"/>
          <w:lang w:val="en-AU"/>
        </w:rPr>
        <w:t xml:space="preserve">Investment impacts </w:t>
      </w:r>
    </w:p>
    <w:p w14:paraId="04D10798" w14:textId="694BE3B1" w:rsidR="00726614" w:rsidRPr="0087622D" w:rsidRDefault="00726614" w:rsidP="00726614">
      <w:pPr>
        <w:pStyle w:val="Body-copy"/>
        <w:rPr>
          <w:sz w:val="24"/>
          <w:szCs w:val="24"/>
          <w:lang w:val="en-AU"/>
        </w:rPr>
      </w:pPr>
      <w:r w:rsidRPr="0087622D">
        <w:rPr>
          <w:sz w:val="24"/>
          <w:szCs w:val="24"/>
          <w:lang w:val="en-AU"/>
        </w:rPr>
        <w:t xml:space="preserve">Austrade continues to attract international investment that delivers on our national priorities. The transition to net zero is one of the defining economic opportunities of our time. In 2025–26, </w:t>
      </w:r>
      <w:r w:rsidRPr="0087622D">
        <w:rPr>
          <w:b/>
          <w:bCs/>
          <w:sz w:val="24"/>
          <w:szCs w:val="24"/>
          <w:lang w:val="en-AU"/>
        </w:rPr>
        <w:t>Austrade facilitated 62 investment outcomes valued at $9 billion supporting our decarbonisation priorities</w:t>
      </w:r>
      <w:r w:rsidRPr="0087622D">
        <w:rPr>
          <w:sz w:val="24"/>
          <w:szCs w:val="24"/>
          <w:lang w:val="en-AU"/>
        </w:rPr>
        <w:t xml:space="preserve">. These investments help Australia turn its renewable energy advantages into investable industries that drive decarbonisation. </w:t>
      </w:r>
      <w:r w:rsidRPr="0087622D">
        <w:rPr>
          <w:b/>
          <w:bCs/>
          <w:sz w:val="24"/>
          <w:szCs w:val="24"/>
          <w:lang w:val="en-AU"/>
        </w:rPr>
        <w:t>Austrade facilitated 53 outcomes valued at $5 billion that support the Australian Government’s economic security agenda.</w:t>
      </w:r>
      <w:r w:rsidRPr="0087622D">
        <w:rPr>
          <w:sz w:val="24"/>
          <w:szCs w:val="24"/>
          <w:lang w:val="en-AU"/>
        </w:rPr>
        <w:t xml:space="preserve"> Austrade plays a pivotal role in securing this future by targeting international investment in key industries – from advanced manufacturing and critical minerals processing to critical technologies and defence innovation. </w:t>
      </w:r>
    </w:p>
    <w:p w14:paraId="0562CB0E" w14:textId="77777777" w:rsidR="00572AF6" w:rsidRDefault="004C451D">
      <w:pPr>
        <w:spacing w:before="0" w:after="0"/>
        <w:jc w:val="center"/>
      </w:pPr>
      <w:r>
        <w:rPr>
          <w:noProof/>
        </w:rPr>
        <w:lastRenderedPageBreak/>
        <w:drawing>
          <wp:inline distT="0" distB="0" distL="0" distR="0" wp14:anchorId="393D27CF" wp14:editId="07777777">
            <wp:extent cx="9372600" cy="6629400"/>
            <wp:effectExtent l="0" t="0" r="0" b="0"/>
            <wp:docPr id="9" name="Picture 9" descr="Investment prioritie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19.png"/>
                    <pic:cNvPicPr/>
                  </pic:nvPicPr>
                  <pic:blipFill>
                    <a:blip r:embed="rId18"/>
                    <a:stretch>
                      <a:fillRect/>
                    </a:stretch>
                  </pic:blipFill>
                  <pic:spPr>
                    <a:xfrm>
                      <a:off x="0" y="0"/>
                      <a:ext cx="9372600" cy="6629400"/>
                    </a:xfrm>
                    <a:prstGeom prst="rect">
                      <a:avLst/>
                    </a:prstGeom>
                  </pic:spPr>
                </pic:pic>
              </a:graphicData>
            </a:graphic>
          </wp:inline>
        </w:drawing>
      </w:r>
    </w:p>
    <w:p w14:paraId="5BEFA214" w14:textId="77777777" w:rsidR="00E51955" w:rsidRDefault="00E51955" w:rsidP="00E51955"/>
    <w:p w14:paraId="02BA51D4" w14:textId="77777777" w:rsidR="00572AF6" w:rsidRPr="00B322E1" w:rsidRDefault="004C451D" w:rsidP="00BB51D5">
      <w:pPr>
        <w:pStyle w:val="Heading-level3"/>
        <w:rPr>
          <w:rFonts w:asciiTheme="minorHAnsi" w:hAnsiTheme="minorHAnsi"/>
          <w:b w:val="0"/>
          <w:bCs w:val="0"/>
          <w:color w:val="7030A0"/>
          <w:sz w:val="32"/>
          <w:szCs w:val="32"/>
        </w:rPr>
      </w:pPr>
      <w:r w:rsidRPr="00B322E1">
        <w:rPr>
          <w:rFonts w:asciiTheme="minorHAnsi" w:hAnsiTheme="minorHAnsi"/>
          <w:b w:val="0"/>
          <w:bCs w:val="0"/>
          <w:color w:val="7030A0"/>
          <w:sz w:val="32"/>
          <w:szCs w:val="32"/>
        </w:rPr>
        <w:t>Australia’s National Investment Forum</w:t>
      </w:r>
    </w:p>
    <w:p w14:paraId="1F7A6F8B" w14:textId="77777777" w:rsidR="00BB51D5" w:rsidRPr="0087622D" w:rsidRDefault="004C451D" w:rsidP="00BB51D5">
      <w:pPr>
        <w:pStyle w:val="SmallQuote"/>
        <w:rPr>
          <w:color w:val="7030A0"/>
          <w:szCs w:val="24"/>
        </w:rPr>
      </w:pPr>
      <w:r w:rsidRPr="0087622D">
        <w:rPr>
          <w:color w:val="7030A0"/>
          <w:szCs w:val="24"/>
        </w:rPr>
        <w:t xml:space="preserve">Advancing our national approach to international investment attraction </w:t>
      </w:r>
    </w:p>
    <w:p w14:paraId="513BFB42" w14:textId="77777777" w:rsidR="00404B97" w:rsidRPr="0087622D" w:rsidRDefault="00BB51D5">
      <w:pPr>
        <w:pStyle w:val="Body-copy"/>
        <w:rPr>
          <w:sz w:val="24"/>
          <w:szCs w:val="24"/>
          <w:lang w:val="en-AU"/>
        </w:rPr>
      </w:pPr>
      <w:r w:rsidRPr="0087622D">
        <w:rPr>
          <w:sz w:val="24"/>
          <w:szCs w:val="24"/>
          <w:lang w:val="en-AU"/>
        </w:rPr>
        <w:t xml:space="preserve">Chaired by Austrade, the National Investment Forum (NIF) brings together state and territory investment promotion agencies to coordinate a national approach to international investment attraction and facilitation. </w:t>
      </w:r>
    </w:p>
    <w:p w14:paraId="2A98A06F" w14:textId="77777777" w:rsidR="00404B97" w:rsidRPr="0087622D" w:rsidRDefault="00BB51D5">
      <w:pPr>
        <w:pStyle w:val="Body-copy"/>
        <w:rPr>
          <w:sz w:val="24"/>
          <w:szCs w:val="24"/>
          <w:lang w:val="en-AU"/>
        </w:rPr>
      </w:pPr>
      <w:r w:rsidRPr="0087622D">
        <w:rPr>
          <w:sz w:val="24"/>
          <w:szCs w:val="24"/>
          <w:lang w:val="en-AU"/>
        </w:rPr>
        <w:t xml:space="preserve">The Forum promotes a Team Australia approach to align investment priorities, strengthen investor services and build capability across agencies. The NIF enables state and territory partners to engage collectively with Commonwealth departments and agencies on topics of mutual priority. In 2025–26, discussions were facilitated with the Department of Industry, Science and Resources, the Investor Front Door, and the National Reconstruction Fund Corporation, among others. </w:t>
      </w:r>
    </w:p>
    <w:p w14:paraId="4FF9A48C" w14:textId="77777777" w:rsidR="00404B97" w:rsidRPr="0087622D" w:rsidRDefault="00BB51D5">
      <w:pPr>
        <w:pStyle w:val="Body-copy"/>
        <w:rPr>
          <w:sz w:val="24"/>
          <w:szCs w:val="24"/>
          <w:lang w:val="en-AU"/>
        </w:rPr>
      </w:pPr>
      <w:r w:rsidRPr="0087622D">
        <w:rPr>
          <w:sz w:val="24"/>
          <w:szCs w:val="24"/>
          <w:lang w:val="en-AU"/>
        </w:rPr>
        <w:t xml:space="preserve">Austrade delivers the Investment Practitioner Program to build capability through online modules, webinars and peer-based activities. In 2025–26, 64 staff members completed the program, including 29 staff from state and territory agencies. </w:t>
      </w:r>
    </w:p>
    <w:p w14:paraId="15C64B5F" w14:textId="2E00316C" w:rsidR="00572AF6" w:rsidRPr="0087622D" w:rsidRDefault="00BB51D5">
      <w:pPr>
        <w:pStyle w:val="Body-copy"/>
        <w:rPr>
          <w:sz w:val="24"/>
          <w:szCs w:val="24"/>
          <w:lang w:val="en-AU"/>
        </w:rPr>
      </w:pPr>
      <w:r w:rsidRPr="0087622D">
        <w:rPr>
          <w:sz w:val="24"/>
          <w:szCs w:val="24"/>
          <w:lang w:val="en-AU"/>
        </w:rPr>
        <w:t>This year, Austrade co-hosted a virtual meeting with the Western Australian Government. It also hosted an in-person meeting in</w:t>
      </w:r>
      <w:r w:rsidR="00984AA7" w:rsidRPr="0087622D">
        <w:rPr>
          <w:sz w:val="24"/>
          <w:szCs w:val="24"/>
          <w:lang w:val="en-AU"/>
        </w:rPr>
        <w:t xml:space="preserve"> </w:t>
      </w:r>
      <w:r w:rsidRPr="0087622D">
        <w:rPr>
          <w:sz w:val="24"/>
          <w:szCs w:val="24"/>
          <w:lang w:val="en-AU"/>
        </w:rPr>
        <w:t xml:space="preserve">Canberra with the Australian Capital Territory Government. Discussions at these meetings focused on sharpening Australia’s investment proposition in a competitive global environment. Our objectives are to align approaches to investor engagement and project </w:t>
      </w:r>
      <w:r w:rsidR="007D0FFB" w:rsidRPr="0087622D">
        <w:rPr>
          <w:sz w:val="24"/>
          <w:szCs w:val="24"/>
          <w:lang w:val="en-AU"/>
        </w:rPr>
        <w:t>delivery and</w:t>
      </w:r>
      <w:r w:rsidRPr="0087622D">
        <w:rPr>
          <w:sz w:val="24"/>
          <w:szCs w:val="24"/>
          <w:lang w:val="en-AU"/>
        </w:rPr>
        <w:t xml:space="preserve"> share market intelligence and best practice.</w:t>
      </w:r>
    </w:p>
    <w:p w14:paraId="62EBF3C5" w14:textId="77777777" w:rsidR="00572AF6" w:rsidRPr="0087622D" w:rsidRDefault="004C451D">
      <w:pPr>
        <w:rPr>
          <w:sz w:val="24"/>
          <w:szCs w:val="24"/>
        </w:rPr>
      </w:pPr>
      <w:r w:rsidRPr="0087622D">
        <w:rPr>
          <w:sz w:val="24"/>
          <w:szCs w:val="24"/>
        </w:rPr>
        <w:br w:type="page"/>
      </w:r>
    </w:p>
    <w:p w14:paraId="6D98A12B" w14:textId="77777777" w:rsidR="00572AF6" w:rsidRDefault="004C451D">
      <w:pPr>
        <w:spacing w:before="0" w:after="0"/>
        <w:jc w:val="center"/>
      </w:pPr>
      <w:r>
        <w:rPr>
          <w:noProof/>
        </w:rPr>
        <w:lastRenderedPageBreak/>
        <w:drawing>
          <wp:inline distT="0" distB="0" distL="0" distR="0" wp14:anchorId="65CE16F7" wp14:editId="07777777">
            <wp:extent cx="9372600" cy="6629400"/>
            <wp:effectExtent l="0" t="0" r="0" b="0"/>
            <wp:docPr id="10" name="Picture 10" descr="Investment markets map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21.png"/>
                    <pic:cNvPicPr/>
                  </pic:nvPicPr>
                  <pic:blipFill>
                    <a:blip r:embed="rId19"/>
                    <a:stretch>
                      <a:fillRect/>
                    </a:stretch>
                  </pic:blipFill>
                  <pic:spPr>
                    <a:xfrm>
                      <a:off x="0" y="0"/>
                      <a:ext cx="9372600" cy="6629400"/>
                    </a:xfrm>
                    <a:prstGeom prst="rect">
                      <a:avLst/>
                    </a:prstGeom>
                  </pic:spPr>
                </pic:pic>
              </a:graphicData>
            </a:graphic>
          </wp:inline>
        </w:drawing>
      </w:r>
    </w:p>
    <w:p w14:paraId="7A8465B8" w14:textId="510ACAE9" w:rsidR="007F2125" w:rsidRPr="00B322E1" w:rsidRDefault="007F2125" w:rsidP="007F2125">
      <w:pPr>
        <w:pStyle w:val="Heading-level3"/>
        <w:rPr>
          <w:rFonts w:asciiTheme="minorHAnsi" w:hAnsiTheme="minorHAnsi"/>
          <w:b w:val="0"/>
          <w:bCs w:val="0"/>
          <w:color w:val="7030A0"/>
          <w:sz w:val="32"/>
          <w:szCs w:val="32"/>
        </w:rPr>
      </w:pPr>
      <w:r w:rsidRPr="00B322E1">
        <w:rPr>
          <w:rFonts w:asciiTheme="minorHAnsi" w:hAnsiTheme="minorHAnsi"/>
          <w:b w:val="0"/>
          <w:bCs w:val="0"/>
          <w:color w:val="7030A0"/>
          <w:sz w:val="32"/>
          <w:szCs w:val="32"/>
        </w:rPr>
        <w:lastRenderedPageBreak/>
        <w:t>Investment highlights 2025–26</w:t>
      </w:r>
    </w:p>
    <w:p w14:paraId="4E5EEE9C" w14:textId="1B104D92" w:rsidR="0002450E" w:rsidRPr="0002450E" w:rsidRDefault="007F2125" w:rsidP="0002450E">
      <w:pPr>
        <w:rPr>
          <w:b/>
          <w:bCs/>
        </w:rPr>
      </w:pPr>
      <w:r w:rsidRPr="00FD1ED0">
        <w:rPr>
          <w:b/>
          <w:bCs/>
        </w:rPr>
        <w:t xml:space="preserve">Top markets for Austrade-facilitated </w:t>
      </w:r>
      <w:r>
        <w:rPr>
          <w:b/>
          <w:bCs/>
        </w:rPr>
        <w:t xml:space="preserve">international investment projects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37"/>
        <w:gridCol w:w="2410"/>
        <w:gridCol w:w="2126"/>
        <w:gridCol w:w="4111"/>
      </w:tblGrid>
      <w:tr w:rsidR="0002450E" w:rsidRPr="0002450E" w14:paraId="79057861" w14:textId="77777777" w:rsidTr="005479E4">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2AF4B6F5" w14:textId="77777777" w:rsidR="0002450E" w:rsidRPr="00110A2C" w:rsidRDefault="0002450E" w:rsidP="0002450E">
            <w:pPr>
              <w:rPr>
                <w:b/>
                <w:bCs/>
                <w:color w:val="FFFFFF" w:themeColor="background1"/>
              </w:rPr>
            </w:pPr>
            <w:r w:rsidRPr="00110A2C">
              <w:rPr>
                <w:b/>
                <w:bCs/>
                <w:color w:val="FFFFFF" w:themeColor="background1"/>
              </w:rPr>
              <w:t>Region</w:t>
            </w:r>
          </w:p>
        </w:tc>
        <w:tc>
          <w:tcPr>
            <w:tcW w:w="2380"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091B9825" w14:textId="77777777" w:rsidR="0002450E" w:rsidRPr="00110A2C" w:rsidRDefault="0002450E" w:rsidP="0002450E">
            <w:pPr>
              <w:rPr>
                <w:b/>
                <w:bCs/>
                <w:color w:val="FFFFFF" w:themeColor="background1"/>
              </w:rPr>
            </w:pPr>
            <w:r w:rsidRPr="00110A2C">
              <w:rPr>
                <w:b/>
                <w:bCs/>
                <w:color w:val="FFFFFF" w:themeColor="background1"/>
              </w:rPr>
              <w:t>Number of projects</w:t>
            </w:r>
          </w:p>
        </w:tc>
        <w:tc>
          <w:tcPr>
            <w:tcW w:w="2096"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02A86D55" w14:textId="77777777" w:rsidR="0002450E" w:rsidRPr="00110A2C" w:rsidRDefault="0002450E" w:rsidP="0002450E">
            <w:pPr>
              <w:rPr>
                <w:b/>
                <w:bCs/>
                <w:color w:val="FFFFFF" w:themeColor="background1"/>
              </w:rPr>
            </w:pPr>
            <w:r w:rsidRPr="00110A2C">
              <w:rPr>
                <w:b/>
                <w:bCs/>
                <w:color w:val="FFFFFF" w:themeColor="background1"/>
              </w:rPr>
              <w:t>Investment value</w:t>
            </w:r>
          </w:p>
        </w:tc>
        <w:tc>
          <w:tcPr>
            <w:tcW w:w="4066"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1276F79A" w14:textId="77777777" w:rsidR="0002450E" w:rsidRPr="00110A2C" w:rsidRDefault="0002450E" w:rsidP="0002450E">
            <w:pPr>
              <w:rPr>
                <w:b/>
                <w:bCs/>
                <w:color w:val="FFFFFF" w:themeColor="background1"/>
              </w:rPr>
            </w:pPr>
            <w:r w:rsidRPr="00110A2C">
              <w:rPr>
                <w:b/>
                <w:bCs/>
                <w:color w:val="FFFFFF" w:themeColor="background1"/>
              </w:rPr>
              <w:t>Jobs</w:t>
            </w:r>
          </w:p>
        </w:tc>
      </w:tr>
      <w:tr w:rsidR="0002450E" w:rsidRPr="0002450E" w14:paraId="154C9403"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61E8233D" w14:textId="77777777" w:rsidR="0002450E" w:rsidRPr="0002450E" w:rsidRDefault="0002450E" w:rsidP="0002450E">
            <w:r w:rsidRPr="0002450E">
              <w:t>Americas</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219CBAB2" w14:textId="77777777" w:rsidR="0002450E" w:rsidRPr="0002450E" w:rsidRDefault="0002450E" w:rsidP="0002450E">
            <w:r w:rsidRPr="0002450E">
              <w:t>35</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14B308D9" w14:textId="77777777" w:rsidR="0002450E" w:rsidRPr="0002450E" w:rsidRDefault="0002450E" w:rsidP="0002450E">
            <w:r w:rsidRPr="0002450E">
              <w:t>$7.9 billion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33671991" w14:textId="77777777" w:rsidR="0002450E" w:rsidRPr="0002450E" w:rsidRDefault="0002450E" w:rsidP="0002450E">
            <w:r w:rsidRPr="0002450E">
              <w:t>12,664</w:t>
            </w:r>
          </w:p>
        </w:tc>
      </w:tr>
      <w:tr w:rsidR="0002450E" w:rsidRPr="0002450E" w14:paraId="72E4D20E"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35D703BE" w14:textId="77777777" w:rsidR="0002450E" w:rsidRPr="0002450E" w:rsidRDefault="0002450E" w:rsidP="0002450E">
            <w:r w:rsidRPr="0002450E">
              <w:t>United Kingdom and Europe</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14B762E6" w14:textId="77777777" w:rsidR="0002450E" w:rsidRPr="0002450E" w:rsidRDefault="0002450E" w:rsidP="0002450E">
            <w:r w:rsidRPr="0002450E">
              <w:t>35</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5A59C0FC" w14:textId="77777777" w:rsidR="0002450E" w:rsidRPr="0002450E" w:rsidRDefault="0002450E" w:rsidP="0002450E">
            <w:r w:rsidRPr="0002450E">
              <w:t>$3.3 billion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404D5C90" w14:textId="77777777" w:rsidR="0002450E" w:rsidRPr="0002450E" w:rsidRDefault="0002450E" w:rsidP="0002450E">
            <w:r w:rsidRPr="0002450E">
              <w:t>3,178</w:t>
            </w:r>
          </w:p>
        </w:tc>
      </w:tr>
      <w:tr w:rsidR="0002450E" w:rsidRPr="0002450E" w14:paraId="7465011E"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4F5B69CE" w14:textId="77777777" w:rsidR="0002450E" w:rsidRPr="0002450E" w:rsidRDefault="0002450E" w:rsidP="0002450E">
            <w:r w:rsidRPr="0002450E">
              <w:t>Northeast Asia</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00F6F475" w14:textId="77777777" w:rsidR="0002450E" w:rsidRPr="0002450E" w:rsidRDefault="0002450E" w:rsidP="0002450E">
            <w:r w:rsidRPr="0002450E">
              <w:t>18</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1D0CE035" w14:textId="77777777" w:rsidR="0002450E" w:rsidRPr="0002450E" w:rsidRDefault="0002450E" w:rsidP="0002450E">
            <w:r w:rsidRPr="0002450E">
              <w:t>$340 million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12021179" w14:textId="77777777" w:rsidR="0002450E" w:rsidRPr="0002450E" w:rsidRDefault="0002450E" w:rsidP="0002450E">
            <w:r w:rsidRPr="0002450E">
              <w:t>433</w:t>
            </w:r>
          </w:p>
        </w:tc>
      </w:tr>
      <w:tr w:rsidR="0002450E" w:rsidRPr="0002450E" w14:paraId="750F9F34"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61E8E042" w14:textId="77777777" w:rsidR="0002450E" w:rsidRPr="0002450E" w:rsidRDefault="0002450E" w:rsidP="0002450E">
            <w:r w:rsidRPr="0002450E">
              <w:t>Mainland China, Hong Kong and Taiwan</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3DF02C0D" w14:textId="77777777" w:rsidR="0002450E" w:rsidRPr="0002450E" w:rsidRDefault="0002450E" w:rsidP="0002450E">
            <w:r w:rsidRPr="0002450E">
              <w:t>11</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41D6D407" w14:textId="77777777" w:rsidR="0002450E" w:rsidRPr="0002450E" w:rsidRDefault="0002450E" w:rsidP="0002450E">
            <w:r w:rsidRPr="0002450E">
              <w:t>$1.5 billion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6990DA32" w14:textId="77777777" w:rsidR="0002450E" w:rsidRPr="0002450E" w:rsidRDefault="0002450E" w:rsidP="0002450E">
            <w:r w:rsidRPr="0002450E">
              <w:t>1,593</w:t>
            </w:r>
          </w:p>
        </w:tc>
      </w:tr>
      <w:tr w:rsidR="0002450E" w:rsidRPr="0002450E" w14:paraId="2E64248C"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735B956F" w14:textId="77777777" w:rsidR="0002450E" w:rsidRPr="0002450E" w:rsidRDefault="0002450E" w:rsidP="0002450E">
            <w:r w:rsidRPr="0002450E">
              <w:t>Southeast Asia</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1B80B3CB" w14:textId="77777777" w:rsidR="0002450E" w:rsidRPr="0002450E" w:rsidRDefault="0002450E" w:rsidP="0002450E">
            <w:r w:rsidRPr="0002450E">
              <w:t>8</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337E3EF3" w14:textId="77777777" w:rsidR="0002450E" w:rsidRPr="0002450E" w:rsidRDefault="0002450E" w:rsidP="0002450E">
            <w:r w:rsidRPr="0002450E">
              <w:t>$1.1 billion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0D41BFB4" w14:textId="77777777" w:rsidR="0002450E" w:rsidRPr="0002450E" w:rsidRDefault="0002450E" w:rsidP="0002450E">
            <w:r w:rsidRPr="0002450E">
              <w:t>586</w:t>
            </w:r>
          </w:p>
        </w:tc>
      </w:tr>
      <w:tr w:rsidR="0002450E" w:rsidRPr="0002450E" w14:paraId="00C9CFC9"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52DAE5A0" w14:textId="77777777" w:rsidR="0002450E" w:rsidRPr="0002450E" w:rsidRDefault="0002450E" w:rsidP="0002450E">
            <w:r w:rsidRPr="0002450E">
              <w:t>South Asia</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32A81201" w14:textId="77777777" w:rsidR="0002450E" w:rsidRPr="0002450E" w:rsidRDefault="0002450E" w:rsidP="0002450E">
            <w:r w:rsidRPr="0002450E">
              <w:t>6</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74C772E6" w14:textId="77777777" w:rsidR="0002450E" w:rsidRPr="0002450E" w:rsidRDefault="0002450E" w:rsidP="0002450E">
            <w:r w:rsidRPr="0002450E">
              <w:t>$190 million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228FC6C9" w14:textId="77777777" w:rsidR="0002450E" w:rsidRPr="0002450E" w:rsidRDefault="0002450E" w:rsidP="0002450E">
            <w:r w:rsidRPr="0002450E">
              <w:t>339</w:t>
            </w:r>
          </w:p>
        </w:tc>
      </w:tr>
      <w:tr w:rsidR="0002450E" w:rsidRPr="0002450E" w14:paraId="706508C3" w14:textId="77777777" w:rsidTr="00110A2C">
        <w:trPr>
          <w:trHeight w:val="567"/>
          <w:tblCellSpacing w:w="15" w:type="dxa"/>
        </w:trPr>
        <w:tc>
          <w:tcPr>
            <w:tcW w:w="5192" w:type="dxa"/>
            <w:tcBorders>
              <w:top w:val="single" w:sz="6" w:space="0" w:color="E6E6E6"/>
              <w:left w:val="single" w:sz="6" w:space="0" w:color="E6E6E6"/>
              <w:bottom w:val="single" w:sz="6" w:space="0" w:color="E6E6E6"/>
              <w:right w:val="single" w:sz="6" w:space="0" w:color="E6E6E6"/>
            </w:tcBorders>
            <w:vAlign w:val="center"/>
            <w:hideMark/>
          </w:tcPr>
          <w:p w14:paraId="5934FF6D" w14:textId="77777777" w:rsidR="0002450E" w:rsidRPr="0002450E" w:rsidRDefault="0002450E" w:rsidP="0002450E">
            <w:r w:rsidRPr="0002450E">
              <w:t>Middle East and Africa</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6137D549" w14:textId="77777777" w:rsidR="0002450E" w:rsidRPr="0002450E" w:rsidRDefault="0002450E" w:rsidP="0002450E">
            <w:r w:rsidRPr="0002450E">
              <w:t>2</w:t>
            </w: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35FE2AE9" w14:textId="77777777" w:rsidR="0002450E" w:rsidRPr="0002450E" w:rsidRDefault="0002450E" w:rsidP="0002450E">
            <w:r w:rsidRPr="0002450E">
              <w:t>$999 million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72C0FADE" w14:textId="77777777" w:rsidR="0002450E" w:rsidRPr="0002450E" w:rsidRDefault="0002450E" w:rsidP="0002450E">
            <w:r w:rsidRPr="0002450E">
              <w:t>300</w:t>
            </w:r>
          </w:p>
        </w:tc>
      </w:tr>
    </w:tbl>
    <w:p w14:paraId="54C68D31" w14:textId="77777777" w:rsidR="00110A2C" w:rsidRDefault="00110A2C" w:rsidP="0002450E">
      <w:pPr>
        <w:rPr>
          <w:b/>
          <w:bCs/>
        </w:rPr>
      </w:pPr>
    </w:p>
    <w:p w14:paraId="4C7C47B2" w14:textId="77777777" w:rsidR="00110A2C" w:rsidRDefault="00110A2C">
      <w:pPr>
        <w:spacing w:before="0" w:after="160" w:line="259" w:lineRule="auto"/>
        <w:rPr>
          <w:b/>
          <w:bCs/>
        </w:rPr>
      </w:pPr>
      <w:r>
        <w:rPr>
          <w:b/>
          <w:bCs/>
        </w:rPr>
        <w:br w:type="page"/>
      </w:r>
    </w:p>
    <w:p w14:paraId="6F0E1341" w14:textId="60237CEC" w:rsidR="0002450E" w:rsidRPr="0002450E" w:rsidRDefault="0002450E" w:rsidP="0002450E">
      <w:pPr>
        <w:rPr>
          <w:b/>
          <w:bCs/>
        </w:rPr>
      </w:pPr>
      <w:r w:rsidRPr="0002450E">
        <w:rPr>
          <w:b/>
          <w:bCs/>
        </w:rPr>
        <w:lastRenderedPageBreak/>
        <w:t>Top 5 markets by investment value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7"/>
        <w:gridCol w:w="2395"/>
        <w:gridCol w:w="4678"/>
        <w:gridCol w:w="4394"/>
      </w:tblGrid>
      <w:tr w:rsidR="0002450E" w:rsidRPr="0002450E" w14:paraId="4E9BB0F9" w14:textId="77777777" w:rsidTr="005479E4">
        <w:trPr>
          <w:trHeight w:val="567"/>
          <w:tblCellSpacing w:w="15" w:type="dxa"/>
        </w:trPr>
        <w:tc>
          <w:tcPr>
            <w:tcW w:w="1932"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0A058C8B" w14:textId="77777777" w:rsidR="0002450E" w:rsidRPr="00110A2C" w:rsidRDefault="0002450E" w:rsidP="0002450E">
            <w:pPr>
              <w:rPr>
                <w:b/>
                <w:bCs/>
                <w:color w:val="FFFFFF" w:themeColor="background1"/>
              </w:rPr>
            </w:pPr>
            <w:r w:rsidRPr="00110A2C">
              <w:rPr>
                <w:b/>
                <w:bCs/>
                <w:color w:val="FFFFFF" w:themeColor="background1"/>
              </w:rPr>
              <w:t>Market</w:t>
            </w:r>
          </w:p>
        </w:tc>
        <w:tc>
          <w:tcPr>
            <w:tcW w:w="2365"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11ED6194" w14:textId="77777777" w:rsidR="0002450E" w:rsidRPr="00110A2C" w:rsidRDefault="0002450E" w:rsidP="0002450E">
            <w:pPr>
              <w:rPr>
                <w:b/>
                <w:bCs/>
                <w:color w:val="FFFFFF" w:themeColor="background1"/>
              </w:rPr>
            </w:pPr>
            <w:r w:rsidRPr="00110A2C">
              <w:rPr>
                <w:b/>
                <w:bCs/>
                <w:color w:val="FFFFFF" w:themeColor="background1"/>
              </w:rPr>
              <w:t>Number of projects</w:t>
            </w:r>
          </w:p>
        </w:tc>
        <w:tc>
          <w:tcPr>
            <w:tcW w:w="4648"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5AC51D44" w14:textId="77777777" w:rsidR="0002450E" w:rsidRPr="00110A2C" w:rsidRDefault="0002450E" w:rsidP="0002450E">
            <w:pPr>
              <w:rPr>
                <w:b/>
                <w:bCs/>
                <w:color w:val="FFFFFF" w:themeColor="background1"/>
              </w:rPr>
            </w:pPr>
            <w:r w:rsidRPr="00110A2C">
              <w:rPr>
                <w:b/>
                <w:bCs/>
                <w:color w:val="FFFFFF" w:themeColor="background1"/>
              </w:rPr>
              <w:t>Investment value</w:t>
            </w:r>
          </w:p>
        </w:tc>
        <w:tc>
          <w:tcPr>
            <w:tcW w:w="4349"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5700A3E0" w14:textId="77777777" w:rsidR="0002450E" w:rsidRPr="00110A2C" w:rsidRDefault="0002450E" w:rsidP="0002450E">
            <w:pPr>
              <w:rPr>
                <w:b/>
                <w:bCs/>
                <w:color w:val="FFFFFF" w:themeColor="background1"/>
              </w:rPr>
            </w:pPr>
            <w:r w:rsidRPr="00110A2C">
              <w:rPr>
                <w:b/>
                <w:bCs/>
                <w:color w:val="FFFFFF" w:themeColor="background1"/>
              </w:rPr>
              <w:t>Jobs</w:t>
            </w:r>
          </w:p>
        </w:tc>
      </w:tr>
      <w:tr w:rsidR="0002450E" w:rsidRPr="0002450E" w14:paraId="5DA7E25C" w14:textId="77777777" w:rsidTr="00D8738A">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45E1302D" w14:textId="77777777" w:rsidR="0002450E" w:rsidRPr="00110A2C" w:rsidRDefault="0002450E" w:rsidP="0002450E">
            <w:r w:rsidRPr="00110A2C">
              <w:t>United States</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6B020184" w14:textId="77777777" w:rsidR="0002450E" w:rsidRPr="00110A2C" w:rsidRDefault="0002450E" w:rsidP="0002450E">
            <w:r w:rsidRPr="00110A2C">
              <w:t>29</w:t>
            </w:r>
          </w:p>
        </w:tc>
        <w:tc>
          <w:tcPr>
            <w:tcW w:w="4648" w:type="dxa"/>
            <w:tcBorders>
              <w:top w:val="single" w:sz="6" w:space="0" w:color="E6E6E6"/>
              <w:left w:val="single" w:sz="6" w:space="0" w:color="E6E6E6"/>
              <w:bottom w:val="single" w:sz="6" w:space="0" w:color="E6E6E6"/>
              <w:right w:val="single" w:sz="6" w:space="0" w:color="E6E6E6"/>
            </w:tcBorders>
            <w:vAlign w:val="center"/>
            <w:hideMark/>
          </w:tcPr>
          <w:p w14:paraId="4701169F" w14:textId="77777777" w:rsidR="0002450E" w:rsidRPr="00110A2C" w:rsidRDefault="0002450E" w:rsidP="0002450E">
            <w:r w:rsidRPr="00110A2C">
              <w:t>$4.5 billion</w:t>
            </w:r>
          </w:p>
        </w:tc>
        <w:tc>
          <w:tcPr>
            <w:tcW w:w="4349" w:type="dxa"/>
            <w:tcBorders>
              <w:top w:val="single" w:sz="6" w:space="0" w:color="E6E6E6"/>
              <w:left w:val="single" w:sz="6" w:space="0" w:color="E6E6E6"/>
              <w:bottom w:val="single" w:sz="6" w:space="0" w:color="E6E6E6"/>
              <w:right w:val="single" w:sz="6" w:space="0" w:color="E6E6E6"/>
            </w:tcBorders>
            <w:vAlign w:val="center"/>
            <w:hideMark/>
          </w:tcPr>
          <w:p w14:paraId="0FCD9A5F" w14:textId="77777777" w:rsidR="0002450E" w:rsidRPr="00110A2C" w:rsidRDefault="0002450E" w:rsidP="0002450E">
            <w:r w:rsidRPr="00110A2C">
              <w:t>10,657</w:t>
            </w:r>
          </w:p>
        </w:tc>
      </w:tr>
      <w:tr w:rsidR="0002450E" w:rsidRPr="0002450E" w14:paraId="1CB346C4" w14:textId="77777777" w:rsidTr="00D8738A">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0CA3D7F0" w14:textId="77777777" w:rsidR="0002450E" w:rsidRPr="00110A2C" w:rsidRDefault="0002450E" w:rsidP="0002450E">
            <w:r w:rsidRPr="00110A2C">
              <w:t>Canada</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049FD6FA" w14:textId="77777777" w:rsidR="0002450E" w:rsidRPr="00110A2C" w:rsidRDefault="0002450E" w:rsidP="0002450E">
            <w:r w:rsidRPr="00110A2C">
              <w:t>6</w:t>
            </w:r>
          </w:p>
        </w:tc>
        <w:tc>
          <w:tcPr>
            <w:tcW w:w="4648" w:type="dxa"/>
            <w:tcBorders>
              <w:top w:val="single" w:sz="6" w:space="0" w:color="E6E6E6"/>
              <w:left w:val="single" w:sz="6" w:space="0" w:color="E6E6E6"/>
              <w:bottom w:val="single" w:sz="6" w:space="0" w:color="E6E6E6"/>
              <w:right w:val="single" w:sz="6" w:space="0" w:color="E6E6E6"/>
            </w:tcBorders>
            <w:vAlign w:val="center"/>
            <w:hideMark/>
          </w:tcPr>
          <w:p w14:paraId="0306DE8F" w14:textId="77777777" w:rsidR="0002450E" w:rsidRPr="00110A2C" w:rsidRDefault="0002450E" w:rsidP="0002450E">
            <w:r w:rsidRPr="00110A2C">
              <w:t>$3.4 billion</w:t>
            </w:r>
          </w:p>
        </w:tc>
        <w:tc>
          <w:tcPr>
            <w:tcW w:w="4349" w:type="dxa"/>
            <w:tcBorders>
              <w:top w:val="single" w:sz="6" w:space="0" w:color="E6E6E6"/>
              <w:left w:val="single" w:sz="6" w:space="0" w:color="E6E6E6"/>
              <w:bottom w:val="single" w:sz="6" w:space="0" w:color="E6E6E6"/>
              <w:right w:val="single" w:sz="6" w:space="0" w:color="E6E6E6"/>
            </w:tcBorders>
            <w:vAlign w:val="center"/>
            <w:hideMark/>
          </w:tcPr>
          <w:p w14:paraId="3994CE18" w14:textId="77777777" w:rsidR="0002450E" w:rsidRPr="00110A2C" w:rsidRDefault="0002450E" w:rsidP="0002450E">
            <w:r w:rsidRPr="00110A2C">
              <w:t>2,007</w:t>
            </w:r>
          </w:p>
        </w:tc>
      </w:tr>
      <w:tr w:rsidR="0002450E" w:rsidRPr="0002450E" w14:paraId="621D25EB" w14:textId="77777777" w:rsidTr="00D8738A">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24AE81BB" w14:textId="77777777" w:rsidR="0002450E" w:rsidRPr="00110A2C" w:rsidRDefault="0002450E" w:rsidP="0002450E">
            <w:r w:rsidRPr="00110A2C">
              <w:t>Spain</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55B3A312" w14:textId="77777777" w:rsidR="0002450E" w:rsidRPr="00110A2C" w:rsidRDefault="0002450E" w:rsidP="0002450E">
            <w:r w:rsidRPr="00110A2C">
              <w:t>8</w:t>
            </w:r>
          </w:p>
        </w:tc>
        <w:tc>
          <w:tcPr>
            <w:tcW w:w="4648" w:type="dxa"/>
            <w:tcBorders>
              <w:top w:val="single" w:sz="6" w:space="0" w:color="E6E6E6"/>
              <w:left w:val="single" w:sz="6" w:space="0" w:color="E6E6E6"/>
              <w:bottom w:val="single" w:sz="6" w:space="0" w:color="E6E6E6"/>
              <w:right w:val="single" w:sz="6" w:space="0" w:color="E6E6E6"/>
            </w:tcBorders>
            <w:vAlign w:val="center"/>
            <w:hideMark/>
          </w:tcPr>
          <w:p w14:paraId="6783D5F5" w14:textId="77777777" w:rsidR="0002450E" w:rsidRPr="00110A2C" w:rsidRDefault="0002450E" w:rsidP="0002450E">
            <w:r w:rsidRPr="00110A2C">
              <w:t>$1.3 billion</w:t>
            </w:r>
          </w:p>
        </w:tc>
        <w:tc>
          <w:tcPr>
            <w:tcW w:w="4349" w:type="dxa"/>
            <w:tcBorders>
              <w:top w:val="single" w:sz="6" w:space="0" w:color="E6E6E6"/>
              <w:left w:val="single" w:sz="6" w:space="0" w:color="E6E6E6"/>
              <w:bottom w:val="single" w:sz="6" w:space="0" w:color="E6E6E6"/>
              <w:right w:val="single" w:sz="6" w:space="0" w:color="E6E6E6"/>
            </w:tcBorders>
            <w:vAlign w:val="center"/>
            <w:hideMark/>
          </w:tcPr>
          <w:p w14:paraId="47B411D6" w14:textId="77777777" w:rsidR="0002450E" w:rsidRPr="00110A2C" w:rsidRDefault="0002450E" w:rsidP="0002450E">
            <w:r w:rsidRPr="00110A2C">
              <w:t>1,024</w:t>
            </w:r>
          </w:p>
        </w:tc>
      </w:tr>
      <w:tr w:rsidR="0002450E" w:rsidRPr="0002450E" w14:paraId="71B9A84A" w14:textId="77777777" w:rsidTr="00D8738A">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134486C9" w14:textId="77777777" w:rsidR="0002450E" w:rsidRPr="00110A2C" w:rsidRDefault="0002450E" w:rsidP="0002450E">
            <w:r w:rsidRPr="00110A2C">
              <w:t>China</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46F37B66" w14:textId="77777777" w:rsidR="0002450E" w:rsidRPr="00110A2C" w:rsidRDefault="0002450E" w:rsidP="0002450E">
            <w:r w:rsidRPr="00110A2C">
              <w:t>7</w:t>
            </w:r>
          </w:p>
        </w:tc>
        <w:tc>
          <w:tcPr>
            <w:tcW w:w="4648" w:type="dxa"/>
            <w:tcBorders>
              <w:top w:val="single" w:sz="6" w:space="0" w:color="E6E6E6"/>
              <w:left w:val="single" w:sz="6" w:space="0" w:color="E6E6E6"/>
              <w:bottom w:val="single" w:sz="6" w:space="0" w:color="E6E6E6"/>
              <w:right w:val="single" w:sz="6" w:space="0" w:color="E6E6E6"/>
            </w:tcBorders>
            <w:vAlign w:val="center"/>
            <w:hideMark/>
          </w:tcPr>
          <w:p w14:paraId="05D1E29B" w14:textId="77777777" w:rsidR="0002450E" w:rsidRPr="00110A2C" w:rsidRDefault="0002450E" w:rsidP="0002450E">
            <w:r w:rsidRPr="00110A2C">
              <w:t>$1.2 billion</w:t>
            </w:r>
          </w:p>
        </w:tc>
        <w:tc>
          <w:tcPr>
            <w:tcW w:w="4349" w:type="dxa"/>
            <w:tcBorders>
              <w:top w:val="single" w:sz="6" w:space="0" w:color="E6E6E6"/>
              <w:left w:val="single" w:sz="6" w:space="0" w:color="E6E6E6"/>
              <w:bottom w:val="single" w:sz="6" w:space="0" w:color="E6E6E6"/>
              <w:right w:val="single" w:sz="6" w:space="0" w:color="E6E6E6"/>
            </w:tcBorders>
            <w:vAlign w:val="center"/>
            <w:hideMark/>
          </w:tcPr>
          <w:p w14:paraId="5FEF1306" w14:textId="77777777" w:rsidR="0002450E" w:rsidRPr="00110A2C" w:rsidRDefault="0002450E" w:rsidP="0002450E">
            <w:r w:rsidRPr="00110A2C">
              <w:t>1,366</w:t>
            </w:r>
          </w:p>
        </w:tc>
      </w:tr>
      <w:tr w:rsidR="0002450E" w:rsidRPr="0002450E" w14:paraId="07A66C24" w14:textId="77777777" w:rsidTr="00D8738A">
        <w:trPr>
          <w:tblCellSpacing w:w="15" w:type="dxa"/>
        </w:trPr>
        <w:tc>
          <w:tcPr>
            <w:tcW w:w="1932" w:type="dxa"/>
            <w:tcBorders>
              <w:top w:val="single" w:sz="6" w:space="0" w:color="E6E6E6"/>
              <w:left w:val="single" w:sz="6" w:space="0" w:color="E6E6E6"/>
              <w:bottom w:val="single" w:sz="6" w:space="0" w:color="E6E6E6"/>
              <w:right w:val="single" w:sz="6" w:space="0" w:color="E6E6E6"/>
            </w:tcBorders>
            <w:vAlign w:val="center"/>
            <w:hideMark/>
          </w:tcPr>
          <w:p w14:paraId="7A7A1A49" w14:textId="77777777" w:rsidR="0002450E" w:rsidRPr="00110A2C" w:rsidRDefault="0002450E" w:rsidP="0002450E">
            <w:r w:rsidRPr="00110A2C">
              <w:t>Singapore</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394F6904" w14:textId="77777777" w:rsidR="0002450E" w:rsidRPr="00110A2C" w:rsidRDefault="0002450E" w:rsidP="0002450E">
            <w:r w:rsidRPr="00110A2C">
              <w:t>4</w:t>
            </w:r>
          </w:p>
        </w:tc>
        <w:tc>
          <w:tcPr>
            <w:tcW w:w="4648" w:type="dxa"/>
            <w:tcBorders>
              <w:top w:val="single" w:sz="6" w:space="0" w:color="E6E6E6"/>
              <w:left w:val="single" w:sz="6" w:space="0" w:color="E6E6E6"/>
              <w:bottom w:val="single" w:sz="6" w:space="0" w:color="E6E6E6"/>
              <w:right w:val="single" w:sz="6" w:space="0" w:color="E6E6E6"/>
            </w:tcBorders>
            <w:vAlign w:val="center"/>
            <w:hideMark/>
          </w:tcPr>
          <w:p w14:paraId="367C9A17" w14:textId="77777777" w:rsidR="0002450E" w:rsidRPr="00110A2C" w:rsidRDefault="0002450E" w:rsidP="0002450E">
            <w:r w:rsidRPr="00110A2C">
              <w:t>$1.1 billion</w:t>
            </w:r>
          </w:p>
        </w:tc>
        <w:tc>
          <w:tcPr>
            <w:tcW w:w="4349" w:type="dxa"/>
            <w:tcBorders>
              <w:top w:val="single" w:sz="6" w:space="0" w:color="E6E6E6"/>
              <w:left w:val="single" w:sz="6" w:space="0" w:color="E6E6E6"/>
              <w:bottom w:val="single" w:sz="6" w:space="0" w:color="E6E6E6"/>
              <w:right w:val="single" w:sz="6" w:space="0" w:color="E6E6E6"/>
            </w:tcBorders>
            <w:vAlign w:val="center"/>
            <w:hideMark/>
          </w:tcPr>
          <w:p w14:paraId="653043D0" w14:textId="77777777" w:rsidR="0002450E" w:rsidRPr="00110A2C" w:rsidRDefault="0002450E" w:rsidP="0002450E">
            <w:r w:rsidRPr="00110A2C">
              <w:t>486</w:t>
            </w:r>
          </w:p>
        </w:tc>
      </w:tr>
    </w:tbl>
    <w:p w14:paraId="168F51EF" w14:textId="77777777" w:rsidR="0002450E" w:rsidRPr="00110A2C" w:rsidRDefault="0002450E" w:rsidP="0002450E">
      <w:r w:rsidRPr="00110A2C">
        <w:rPr>
          <w:i/>
          <w:iCs/>
        </w:rPr>
        <w:t>Figures may not add to totals due to rounding.</w:t>
      </w:r>
    </w:p>
    <w:p w14:paraId="4D9B61CB" w14:textId="77777777" w:rsidR="007F2125" w:rsidRPr="00FD1ED0" w:rsidRDefault="007F2125" w:rsidP="007F2125">
      <w:pPr>
        <w:rPr>
          <w:b/>
          <w:bCs/>
        </w:rPr>
      </w:pPr>
    </w:p>
    <w:p w14:paraId="252BFCEF" w14:textId="77777777" w:rsidR="005F0BA0" w:rsidRPr="005F0BA0" w:rsidRDefault="005F0BA0" w:rsidP="005F0BA0">
      <w:pPr>
        <w:rPr>
          <w:b/>
          <w:bCs/>
        </w:rPr>
      </w:pPr>
      <w:r w:rsidRPr="005F0BA0">
        <w:rPr>
          <w:b/>
          <w:bCs/>
        </w:rPr>
        <w:t>Top sectors by value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04"/>
        <w:gridCol w:w="2262"/>
        <w:gridCol w:w="2652"/>
        <w:gridCol w:w="3499"/>
      </w:tblGrid>
      <w:tr w:rsidR="005F0BA0" w:rsidRPr="00D8738A" w14:paraId="1982855C" w14:textId="77777777" w:rsidTr="005479E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23932595" w14:textId="77777777" w:rsidR="005F0BA0" w:rsidRPr="00D8738A" w:rsidRDefault="005F0BA0" w:rsidP="005F0BA0">
            <w:pPr>
              <w:rPr>
                <w:b/>
                <w:bCs/>
                <w:color w:val="FFFFFF" w:themeColor="background1"/>
              </w:rPr>
            </w:pPr>
            <w:r w:rsidRPr="00D8738A">
              <w:rPr>
                <w:b/>
                <w:bCs/>
                <w:color w:val="FFFFFF" w:themeColor="background1"/>
              </w:rPr>
              <w:t>Sector</w:t>
            </w:r>
          </w:p>
        </w:tc>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5F1586EA" w14:textId="77777777" w:rsidR="005F0BA0" w:rsidRPr="00D8738A" w:rsidRDefault="005F0BA0" w:rsidP="005F0BA0">
            <w:pPr>
              <w:rPr>
                <w:b/>
                <w:bCs/>
                <w:color w:val="FFFFFF" w:themeColor="background1"/>
              </w:rPr>
            </w:pPr>
            <w:r w:rsidRPr="00D8738A">
              <w:rPr>
                <w:b/>
                <w:bCs/>
                <w:color w:val="FFFFFF" w:themeColor="background1"/>
              </w:rPr>
              <w:t>Number of projects</w:t>
            </w:r>
          </w:p>
        </w:tc>
        <w:tc>
          <w:tcPr>
            <w:tcW w:w="0" w:type="auto"/>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57E5AB47" w14:textId="77777777" w:rsidR="005F0BA0" w:rsidRPr="00D8738A" w:rsidRDefault="005F0BA0" w:rsidP="005F0BA0">
            <w:pPr>
              <w:rPr>
                <w:b/>
                <w:bCs/>
                <w:color w:val="FFFFFF" w:themeColor="background1"/>
              </w:rPr>
            </w:pPr>
            <w:r w:rsidRPr="00D8738A">
              <w:rPr>
                <w:b/>
                <w:bCs/>
                <w:color w:val="FFFFFF" w:themeColor="background1"/>
              </w:rPr>
              <w:t>Investment value (A$)</w:t>
            </w:r>
          </w:p>
        </w:tc>
        <w:tc>
          <w:tcPr>
            <w:tcW w:w="3454" w:type="dxa"/>
            <w:tcBorders>
              <w:top w:val="single" w:sz="6" w:space="0" w:color="E6E6E6"/>
              <w:left w:val="single" w:sz="6" w:space="0" w:color="E6E6E6"/>
              <w:bottom w:val="single" w:sz="6" w:space="0" w:color="E6E6E6"/>
              <w:right w:val="single" w:sz="6" w:space="0" w:color="E6E6E6"/>
            </w:tcBorders>
            <w:shd w:val="clear" w:color="auto" w:fill="7030A0"/>
            <w:vAlign w:val="center"/>
            <w:hideMark/>
          </w:tcPr>
          <w:p w14:paraId="20E8AEB1" w14:textId="77777777" w:rsidR="005F0BA0" w:rsidRPr="00D8738A" w:rsidRDefault="005F0BA0" w:rsidP="005F0BA0">
            <w:pPr>
              <w:rPr>
                <w:b/>
                <w:bCs/>
                <w:color w:val="FFFFFF" w:themeColor="background1"/>
              </w:rPr>
            </w:pPr>
            <w:r w:rsidRPr="00D8738A">
              <w:rPr>
                <w:b/>
                <w:bCs/>
                <w:color w:val="FFFFFF" w:themeColor="background1"/>
              </w:rPr>
              <w:t>Jobs</w:t>
            </w:r>
          </w:p>
        </w:tc>
      </w:tr>
      <w:tr w:rsidR="005F0BA0" w:rsidRPr="005F0BA0" w14:paraId="3880E4C1" w14:textId="77777777" w:rsidTr="00D8738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42D1B8" w14:textId="77777777" w:rsidR="005F0BA0" w:rsidRPr="005F0BA0" w:rsidRDefault="005F0BA0" w:rsidP="005F0BA0">
            <w:r w:rsidRPr="005F0BA0">
              <w:t>Renewable Generation, Transmission &amp; Storage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45BA3" w14:textId="77777777" w:rsidR="005F0BA0" w:rsidRPr="005F0BA0" w:rsidRDefault="005F0BA0" w:rsidP="005F0BA0">
            <w:r w:rsidRPr="005F0BA0">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EC1CE2" w14:textId="77777777" w:rsidR="005F0BA0" w:rsidRPr="005F0BA0" w:rsidRDefault="005F0BA0" w:rsidP="005F0BA0">
            <w:r w:rsidRPr="005F0BA0">
              <w:t>$7.6 billion</w:t>
            </w:r>
          </w:p>
        </w:tc>
        <w:tc>
          <w:tcPr>
            <w:tcW w:w="3454" w:type="dxa"/>
            <w:tcBorders>
              <w:top w:val="single" w:sz="6" w:space="0" w:color="E6E6E6"/>
              <w:left w:val="single" w:sz="6" w:space="0" w:color="E6E6E6"/>
              <w:bottom w:val="single" w:sz="6" w:space="0" w:color="E6E6E6"/>
              <w:right w:val="single" w:sz="6" w:space="0" w:color="E6E6E6"/>
            </w:tcBorders>
            <w:vAlign w:val="center"/>
            <w:hideMark/>
          </w:tcPr>
          <w:p w14:paraId="681CEB6F" w14:textId="77777777" w:rsidR="005F0BA0" w:rsidRPr="005F0BA0" w:rsidRDefault="005F0BA0" w:rsidP="005F0BA0">
            <w:r w:rsidRPr="005F0BA0">
              <w:t>4,207</w:t>
            </w:r>
          </w:p>
        </w:tc>
      </w:tr>
      <w:tr w:rsidR="005F0BA0" w:rsidRPr="005F0BA0" w14:paraId="214726EA" w14:textId="77777777" w:rsidTr="00D8738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D49B60" w14:textId="77777777" w:rsidR="005F0BA0" w:rsidRPr="005F0BA0" w:rsidRDefault="005F0BA0" w:rsidP="005F0BA0">
            <w:r w:rsidRPr="005F0BA0">
              <w:t>Critical Technologies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994DB" w14:textId="77777777" w:rsidR="005F0BA0" w:rsidRPr="005F0BA0" w:rsidRDefault="005F0BA0" w:rsidP="005F0BA0">
            <w:r w:rsidRPr="005F0BA0">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06D60" w14:textId="77777777" w:rsidR="005F0BA0" w:rsidRPr="005F0BA0" w:rsidRDefault="005F0BA0" w:rsidP="005F0BA0">
            <w:r w:rsidRPr="005F0BA0">
              <w:t>$4.3 billion</w:t>
            </w:r>
          </w:p>
        </w:tc>
        <w:tc>
          <w:tcPr>
            <w:tcW w:w="3454" w:type="dxa"/>
            <w:tcBorders>
              <w:top w:val="single" w:sz="6" w:space="0" w:color="E6E6E6"/>
              <w:left w:val="single" w:sz="6" w:space="0" w:color="E6E6E6"/>
              <w:bottom w:val="single" w:sz="6" w:space="0" w:color="E6E6E6"/>
              <w:right w:val="single" w:sz="6" w:space="0" w:color="E6E6E6"/>
            </w:tcBorders>
            <w:vAlign w:val="center"/>
            <w:hideMark/>
          </w:tcPr>
          <w:p w14:paraId="5460D138" w14:textId="77777777" w:rsidR="005F0BA0" w:rsidRPr="005F0BA0" w:rsidRDefault="005F0BA0" w:rsidP="005F0BA0">
            <w:r w:rsidRPr="005F0BA0">
              <w:t>10,756</w:t>
            </w:r>
          </w:p>
        </w:tc>
      </w:tr>
      <w:tr w:rsidR="005F0BA0" w:rsidRPr="005F0BA0" w14:paraId="1A228DDA" w14:textId="77777777" w:rsidTr="00D8738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ACA31E" w14:textId="77777777" w:rsidR="005F0BA0" w:rsidRPr="005F0BA0" w:rsidRDefault="005F0BA0" w:rsidP="005F0BA0">
            <w:r w:rsidRPr="005F0BA0">
              <w:lastRenderedPageBreak/>
              <w:t>Circular Economy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FA9403" w14:textId="77777777" w:rsidR="005F0BA0" w:rsidRPr="005F0BA0" w:rsidRDefault="005F0BA0" w:rsidP="005F0BA0">
            <w:r w:rsidRPr="005F0BA0">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0CEFF6" w14:textId="77777777" w:rsidR="005F0BA0" w:rsidRPr="005F0BA0" w:rsidRDefault="005F0BA0" w:rsidP="005F0BA0">
            <w:r w:rsidRPr="005F0BA0">
              <w:t>$1 billion</w:t>
            </w:r>
          </w:p>
        </w:tc>
        <w:tc>
          <w:tcPr>
            <w:tcW w:w="3454" w:type="dxa"/>
            <w:tcBorders>
              <w:top w:val="single" w:sz="6" w:space="0" w:color="E6E6E6"/>
              <w:left w:val="single" w:sz="6" w:space="0" w:color="E6E6E6"/>
              <w:bottom w:val="single" w:sz="6" w:space="0" w:color="E6E6E6"/>
              <w:right w:val="single" w:sz="6" w:space="0" w:color="E6E6E6"/>
            </w:tcBorders>
            <w:vAlign w:val="center"/>
            <w:hideMark/>
          </w:tcPr>
          <w:p w14:paraId="595E8509" w14:textId="77777777" w:rsidR="005F0BA0" w:rsidRPr="005F0BA0" w:rsidRDefault="005F0BA0" w:rsidP="005F0BA0">
            <w:r w:rsidRPr="005F0BA0">
              <w:t>354</w:t>
            </w:r>
          </w:p>
        </w:tc>
      </w:tr>
      <w:tr w:rsidR="005F0BA0" w:rsidRPr="005F0BA0" w14:paraId="13508C82" w14:textId="77777777" w:rsidTr="00D8738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A8A708" w14:textId="77777777" w:rsidR="005F0BA0" w:rsidRPr="005F0BA0" w:rsidRDefault="005F0BA0" w:rsidP="005F0BA0">
            <w:r w:rsidRPr="005F0BA0">
              <w:t>Critical Minerals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CB8A4" w14:textId="77777777" w:rsidR="005F0BA0" w:rsidRPr="005F0BA0" w:rsidRDefault="005F0BA0" w:rsidP="005F0BA0">
            <w:r w:rsidRPr="005F0BA0">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E46A82" w14:textId="77777777" w:rsidR="005F0BA0" w:rsidRPr="005F0BA0" w:rsidRDefault="005F0BA0" w:rsidP="005F0BA0">
            <w:r w:rsidRPr="005F0BA0">
              <w:t>$415 million</w:t>
            </w:r>
          </w:p>
        </w:tc>
        <w:tc>
          <w:tcPr>
            <w:tcW w:w="3454" w:type="dxa"/>
            <w:tcBorders>
              <w:top w:val="single" w:sz="6" w:space="0" w:color="E6E6E6"/>
              <w:left w:val="single" w:sz="6" w:space="0" w:color="E6E6E6"/>
              <w:bottom w:val="single" w:sz="6" w:space="0" w:color="E6E6E6"/>
              <w:right w:val="single" w:sz="6" w:space="0" w:color="E6E6E6"/>
            </w:tcBorders>
            <w:vAlign w:val="center"/>
            <w:hideMark/>
          </w:tcPr>
          <w:p w14:paraId="68D6CBAD" w14:textId="77777777" w:rsidR="005F0BA0" w:rsidRPr="005F0BA0" w:rsidRDefault="005F0BA0" w:rsidP="005F0BA0">
            <w:r w:rsidRPr="005F0BA0">
              <w:t>590</w:t>
            </w:r>
          </w:p>
        </w:tc>
      </w:tr>
      <w:tr w:rsidR="005F0BA0" w:rsidRPr="005F0BA0" w14:paraId="2B0EC16E" w14:textId="77777777" w:rsidTr="00D8738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2B16D8" w14:textId="77777777" w:rsidR="005F0BA0" w:rsidRPr="005F0BA0" w:rsidRDefault="005F0BA0" w:rsidP="005F0BA0">
            <w:r w:rsidRPr="005F0BA0">
              <w:t>Net Zero Transport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18181C" w14:textId="77777777" w:rsidR="005F0BA0" w:rsidRPr="005F0BA0" w:rsidRDefault="005F0BA0" w:rsidP="005F0BA0">
            <w:r w:rsidRPr="005F0BA0">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61DA7D" w14:textId="77777777" w:rsidR="005F0BA0" w:rsidRPr="005F0BA0" w:rsidRDefault="005F0BA0" w:rsidP="005F0BA0">
            <w:r w:rsidRPr="005F0BA0">
              <w:t>$131 million</w:t>
            </w:r>
          </w:p>
        </w:tc>
        <w:tc>
          <w:tcPr>
            <w:tcW w:w="3454" w:type="dxa"/>
            <w:tcBorders>
              <w:top w:val="single" w:sz="6" w:space="0" w:color="E6E6E6"/>
              <w:left w:val="single" w:sz="6" w:space="0" w:color="E6E6E6"/>
              <w:bottom w:val="single" w:sz="6" w:space="0" w:color="E6E6E6"/>
              <w:right w:val="single" w:sz="6" w:space="0" w:color="E6E6E6"/>
            </w:tcBorders>
            <w:vAlign w:val="center"/>
            <w:hideMark/>
          </w:tcPr>
          <w:p w14:paraId="3407D1F7" w14:textId="77777777" w:rsidR="005F0BA0" w:rsidRPr="005F0BA0" w:rsidRDefault="005F0BA0" w:rsidP="005F0BA0">
            <w:r w:rsidRPr="005F0BA0">
              <w:t>1,034</w:t>
            </w:r>
          </w:p>
        </w:tc>
      </w:tr>
    </w:tbl>
    <w:p w14:paraId="701F647C" w14:textId="77777777" w:rsidR="005F0BA0" w:rsidRPr="005F0BA0" w:rsidRDefault="005F0BA0" w:rsidP="005F0BA0">
      <w:r w:rsidRPr="005F0BA0">
        <w:rPr>
          <w:i/>
          <w:iCs/>
        </w:rPr>
        <w:t>Figures may not add to totals due to rounding.</w:t>
      </w:r>
    </w:p>
    <w:p w14:paraId="2946DB82" w14:textId="23359F62" w:rsidR="00572AF6" w:rsidRDefault="00D8738A">
      <w:r>
        <w:rPr>
          <w:noProof/>
        </w:rPr>
        <w:drawing>
          <wp:inline distT="0" distB="0" distL="0" distR="0" wp14:anchorId="5B302B3F" wp14:editId="6119C006">
            <wp:extent cx="5742315" cy="4061637"/>
            <wp:effectExtent l="0" t="0" r="0" b="0"/>
            <wp:docPr id="11" name="Picture 11" descr="Investment sector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22.png"/>
                    <pic:cNvPicPr/>
                  </pic:nvPicPr>
                  <pic:blipFill>
                    <a:blip r:embed="rId20"/>
                    <a:stretch>
                      <a:fillRect/>
                    </a:stretch>
                  </pic:blipFill>
                  <pic:spPr>
                    <a:xfrm>
                      <a:off x="0" y="0"/>
                      <a:ext cx="5751417" cy="4068075"/>
                    </a:xfrm>
                    <a:prstGeom prst="rect">
                      <a:avLst/>
                    </a:prstGeom>
                  </pic:spPr>
                </pic:pic>
              </a:graphicData>
            </a:graphic>
          </wp:inline>
        </w:drawing>
      </w:r>
    </w:p>
    <w:p w14:paraId="110FFD37" w14:textId="278EF69A" w:rsidR="00572AF6" w:rsidRDefault="00D8738A">
      <w:r>
        <w:rPr>
          <w:noProof/>
        </w:rPr>
        <w:lastRenderedPageBreak/>
        <w:drawing>
          <wp:inline distT="0" distB="0" distL="0" distR="0" wp14:anchorId="32972BF1" wp14:editId="6C7D86A7">
            <wp:extent cx="9372600" cy="6629400"/>
            <wp:effectExtent l="0" t="0" r="0" b="0"/>
            <wp:docPr id="12" name="Picture 12" descr="Trade case studies sec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23.png"/>
                    <pic:cNvPicPr/>
                  </pic:nvPicPr>
                  <pic:blipFill>
                    <a:blip r:embed="rId21"/>
                    <a:stretch>
                      <a:fillRect/>
                    </a:stretch>
                  </pic:blipFill>
                  <pic:spPr>
                    <a:xfrm>
                      <a:off x="0" y="0"/>
                      <a:ext cx="9372600" cy="6629400"/>
                    </a:xfrm>
                    <a:prstGeom prst="rect">
                      <a:avLst/>
                    </a:prstGeom>
                  </pic:spPr>
                </pic:pic>
              </a:graphicData>
            </a:graphic>
          </wp:inline>
        </w:drawing>
      </w:r>
    </w:p>
    <w:p w14:paraId="011754B1" w14:textId="77777777" w:rsidR="000B777F" w:rsidRPr="005479E4" w:rsidRDefault="000B777F" w:rsidP="000B777F">
      <w:pPr>
        <w:pStyle w:val="Heading-level2"/>
        <w:rPr>
          <w:color w:val="7030A0"/>
        </w:rPr>
      </w:pPr>
      <w:r w:rsidRPr="005479E4">
        <w:rPr>
          <w:color w:val="7030A0"/>
        </w:rPr>
        <w:lastRenderedPageBreak/>
        <w:t>Melbourne Polytechnic expands transnational education in China</w:t>
      </w:r>
    </w:p>
    <w:p w14:paraId="05D24CDF" w14:textId="300F99C1" w:rsidR="000B777F" w:rsidRPr="00B322E1" w:rsidRDefault="000B777F">
      <w:pPr>
        <w:rPr>
          <w:sz w:val="24"/>
          <w:szCs w:val="24"/>
        </w:rPr>
      </w:pPr>
      <w:r w:rsidRPr="00B322E1">
        <w:rPr>
          <w:sz w:val="24"/>
          <w:szCs w:val="24"/>
        </w:rPr>
        <w:t>Sector: International Education | Market: Mainland China, Hong Kong and Taiwan</w:t>
      </w:r>
    </w:p>
    <w:p w14:paraId="552424A7" w14:textId="77777777" w:rsidR="00572AF6" w:rsidRPr="00B322E1" w:rsidRDefault="004C451D">
      <w:pPr>
        <w:pStyle w:val="Body-copy"/>
        <w:rPr>
          <w:sz w:val="24"/>
          <w:szCs w:val="24"/>
          <w:lang w:val="en-AU"/>
        </w:rPr>
      </w:pPr>
      <w:r w:rsidRPr="00B322E1">
        <w:rPr>
          <w:sz w:val="24"/>
          <w:szCs w:val="24"/>
          <w:lang w:val="en-AU"/>
        </w:rPr>
        <w:t xml:space="preserve">Melbourne Polytechnic is one of Victoria’s largest vocational and higher education providers. It offers more than 170 programs across VET, higher education and short courses. China is its most established international market, with engagement over more than 20 years. In 2026, Melbourne Polytechnic expanded its higher education partnerships with Xinxiang University and Zhengzhou </w:t>
      </w:r>
      <w:proofErr w:type="spellStart"/>
      <w:r w:rsidRPr="00B322E1">
        <w:rPr>
          <w:sz w:val="24"/>
          <w:szCs w:val="24"/>
          <w:lang w:val="en-AU"/>
        </w:rPr>
        <w:t>Shengda</w:t>
      </w:r>
      <w:proofErr w:type="spellEnd"/>
      <w:r w:rsidRPr="00B322E1">
        <w:rPr>
          <w:sz w:val="24"/>
          <w:szCs w:val="24"/>
          <w:lang w:val="en-AU"/>
        </w:rPr>
        <w:t xml:space="preserve"> University, supporting bachelor’s degree delivery in China.</w:t>
      </w:r>
    </w:p>
    <w:p w14:paraId="2E5B0A9C" w14:textId="77777777" w:rsidR="00572AF6" w:rsidRPr="00B322E1" w:rsidRDefault="004C451D">
      <w:pPr>
        <w:pStyle w:val="Heading-level3"/>
        <w:rPr>
          <w:color w:val="7030A0"/>
          <w:sz w:val="24"/>
          <w:szCs w:val="24"/>
        </w:rPr>
      </w:pPr>
      <w:r w:rsidRPr="00B322E1">
        <w:rPr>
          <w:color w:val="7030A0"/>
          <w:sz w:val="24"/>
          <w:szCs w:val="24"/>
        </w:rPr>
        <w:t>Austrade’s impact</w:t>
      </w:r>
    </w:p>
    <w:p w14:paraId="3679DD87" w14:textId="77777777" w:rsidR="00AC528E" w:rsidRPr="00B322E1" w:rsidRDefault="004C451D">
      <w:pPr>
        <w:pStyle w:val="Body-copy"/>
        <w:rPr>
          <w:sz w:val="24"/>
          <w:szCs w:val="24"/>
          <w:lang w:val="en-AU"/>
        </w:rPr>
      </w:pPr>
      <w:r w:rsidRPr="00B322E1">
        <w:rPr>
          <w:sz w:val="24"/>
          <w:szCs w:val="24"/>
          <w:lang w:val="en-AU"/>
        </w:rPr>
        <w:t xml:space="preserve">Austrade supported Melbourne Polytechnic’s expansion in China by advocating for high-quality Australian education providers and facilitating market access, partnerships and ongoing engagement. Austrade’s in-market insights and networks helped the institution navigate a complex regulatory environment and strengthen its long-term, relationship-led approach. This reinforced Melbourne Polytechnic’s position as a leading Australian provider of transnational education. </w:t>
      </w:r>
    </w:p>
    <w:p w14:paraId="5DB1FCF0" w14:textId="4978B30D" w:rsidR="00572AF6" w:rsidRPr="00B322E1" w:rsidRDefault="004C451D">
      <w:pPr>
        <w:pStyle w:val="Body-copy"/>
        <w:rPr>
          <w:sz w:val="24"/>
          <w:szCs w:val="24"/>
          <w:lang w:val="en-AU"/>
        </w:rPr>
      </w:pPr>
      <w:r w:rsidRPr="00B322E1">
        <w:rPr>
          <w:sz w:val="24"/>
          <w:szCs w:val="24"/>
          <w:lang w:val="en-AU"/>
        </w:rPr>
        <w:t>The model enables Chinese students to gain Australian qualifications without leaving home while supporting Australia’s international education objectives. It also creates scalable transnational education pathways in applied disciplines, including STEM and industry-linked programs.</w:t>
      </w:r>
    </w:p>
    <w:p w14:paraId="1B91BB97" w14:textId="77777777" w:rsidR="00FE5B11" w:rsidRPr="00B322E1" w:rsidRDefault="00AC528E" w:rsidP="00AC528E">
      <w:pPr>
        <w:pStyle w:val="Body-copy"/>
        <w:rPr>
          <w:bCs/>
          <w:i/>
          <w:iCs/>
          <w:sz w:val="24"/>
          <w:szCs w:val="24"/>
          <w:lang w:val="en-AU"/>
        </w:rPr>
      </w:pPr>
      <w:r w:rsidRPr="00B322E1">
        <w:rPr>
          <w:bCs/>
          <w:i/>
          <w:iCs/>
          <w:sz w:val="24"/>
          <w:szCs w:val="24"/>
          <w:lang w:val="en-AU"/>
        </w:rPr>
        <w:t xml:space="preserve">“China has a very strong demand for high-quality, internationally recognised education, particularly education that is practical and linked to employment outcomes.” </w:t>
      </w:r>
    </w:p>
    <w:p w14:paraId="6A2C8887" w14:textId="70FC5690" w:rsidR="00AC528E" w:rsidRPr="00B322E1" w:rsidRDefault="00AC528E" w:rsidP="00AC528E">
      <w:pPr>
        <w:pStyle w:val="Body-copy"/>
        <w:rPr>
          <w:sz w:val="24"/>
          <w:szCs w:val="24"/>
          <w:lang w:val="en-AU"/>
        </w:rPr>
      </w:pPr>
      <w:r w:rsidRPr="00B322E1">
        <w:rPr>
          <w:sz w:val="24"/>
          <w:szCs w:val="24"/>
          <w:lang w:val="en-AU"/>
        </w:rPr>
        <w:t>Tim Gilbert, Vice President International Development, Melbourne Polytechnic</w:t>
      </w:r>
    </w:p>
    <w:p w14:paraId="7FB1FC64" w14:textId="77777777" w:rsidR="00AC528E" w:rsidRDefault="00AC528E">
      <w:pPr>
        <w:pStyle w:val="Body-copy"/>
        <w:rPr>
          <w:lang w:val="en-AU"/>
        </w:rPr>
      </w:pPr>
    </w:p>
    <w:p w14:paraId="58BAFF4F" w14:textId="77777777" w:rsidR="00DC7AA0" w:rsidRPr="00DC7AA0" w:rsidRDefault="00DC7AA0" w:rsidP="00DC7AA0"/>
    <w:p w14:paraId="18EC942F" w14:textId="77777777" w:rsidR="00DC7AA0" w:rsidRPr="00DC7AA0" w:rsidRDefault="00DC7AA0" w:rsidP="00DC7AA0"/>
    <w:p w14:paraId="0982CA7F" w14:textId="77777777" w:rsidR="00DC7AA0" w:rsidRPr="00DC7AA0" w:rsidRDefault="00DC7AA0" w:rsidP="00DC7AA0"/>
    <w:p w14:paraId="6AA1464A" w14:textId="4812671D" w:rsidR="00DC7AA0" w:rsidRPr="00DC7AA0" w:rsidRDefault="00DC7AA0" w:rsidP="00DC7AA0">
      <w:pPr>
        <w:tabs>
          <w:tab w:val="left" w:pos="10524"/>
        </w:tabs>
      </w:pPr>
      <w:r>
        <w:tab/>
      </w:r>
    </w:p>
    <w:p w14:paraId="4FD89D90" w14:textId="548E51B3" w:rsidR="00FE5B11" w:rsidRPr="005479E4" w:rsidRDefault="00FE5B11" w:rsidP="00FE5B11">
      <w:pPr>
        <w:pStyle w:val="Heading-level2"/>
        <w:rPr>
          <w:color w:val="7030A0"/>
        </w:rPr>
      </w:pPr>
      <w:r w:rsidRPr="005479E4">
        <w:rPr>
          <w:color w:val="7030A0"/>
        </w:rPr>
        <w:lastRenderedPageBreak/>
        <w:t>Australian energy modelling technology supports global net zero planning</w:t>
      </w:r>
    </w:p>
    <w:p w14:paraId="0D3EB7ED" w14:textId="57FF3558" w:rsidR="00FE5B11" w:rsidRPr="000C4C87" w:rsidRDefault="00FE5B11" w:rsidP="00FE5B11">
      <w:pPr>
        <w:rPr>
          <w:sz w:val="24"/>
          <w:szCs w:val="24"/>
        </w:rPr>
      </w:pPr>
      <w:r w:rsidRPr="000C4C87">
        <w:rPr>
          <w:sz w:val="24"/>
          <w:szCs w:val="24"/>
        </w:rPr>
        <w:t xml:space="preserve">Sector: Green Economy | Market: United Kingdom and Europe </w:t>
      </w:r>
    </w:p>
    <w:p w14:paraId="40EE7E27" w14:textId="78CA8AE0" w:rsidR="00572AF6" w:rsidRPr="000C4C87" w:rsidRDefault="004C451D">
      <w:pPr>
        <w:pStyle w:val="Body-copy"/>
        <w:rPr>
          <w:sz w:val="24"/>
          <w:szCs w:val="24"/>
          <w:lang w:val="en-AU"/>
        </w:rPr>
      </w:pPr>
      <w:r w:rsidRPr="000C4C87">
        <w:rPr>
          <w:sz w:val="24"/>
          <w:szCs w:val="24"/>
          <w:lang w:val="en-AU"/>
        </w:rPr>
        <w:t>Energy Exemplar is an Australian energy modelling company founded in Adelaide. From its origins in PhD research, it has grown into a global business with more than 700 employees and operations in over 90 countries. Its PLEXOS® platform helps governments, energy agencies and businesses model future energy scenarios.</w:t>
      </w:r>
    </w:p>
    <w:p w14:paraId="2B41F819" w14:textId="77777777" w:rsidR="00572AF6" w:rsidRPr="000C4C87" w:rsidRDefault="004C451D">
      <w:pPr>
        <w:pStyle w:val="Heading-level3"/>
        <w:rPr>
          <w:color w:val="7030A0"/>
          <w:sz w:val="24"/>
          <w:szCs w:val="24"/>
        </w:rPr>
      </w:pPr>
      <w:r w:rsidRPr="000C4C87">
        <w:rPr>
          <w:color w:val="7030A0"/>
          <w:sz w:val="24"/>
          <w:szCs w:val="24"/>
        </w:rPr>
        <w:t>Austrade’s impact</w:t>
      </w:r>
    </w:p>
    <w:p w14:paraId="5EFCC769" w14:textId="77777777" w:rsidR="00FE5B11" w:rsidRPr="000C4C87" w:rsidRDefault="004C451D">
      <w:pPr>
        <w:pStyle w:val="Body-copy"/>
        <w:rPr>
          <w:sz w:val="24"/>
          <w:szCs w:val="24"/>
          <w:lang w:val="en-AU"/>
        </w:rPr>
      </w:pPr>
      <w:r w:rsidRPr="000C4C87">
        <w:rPr>
          <w:sz w:val="24"/>
          <w:szCs w:val="24"/>
          <w:lang w:val="en-AU"/>
        </w:rPr>
        <w:t xml:space="preserve">Austrade supported Energy Exemplar’s international growth by providing market connections, business facilitation and opportunities to build credibility with global stakeholders. Early support included access to Austrade’s overseas networks and meeting facilities, helping the company establish a presence in its priority markets. Austrade also connected Energy Exemplar with industry events and roadshows that expanded its international profile. These activities helped strengthen commercial relationships and supported the company’s growth from an emerging Australian innovator to a recognised global leader in energy modelling. </w:t>
      </w:r>
    </w:p>
    <w:p w14:paraId="01BA22A5" w14:textId="74AE54EC" w:rsidR="00572AF6" w:rsidRPr="000C4C87" w:rsidRDefault="004C451D">
      <w:pPr>
        <w:pStyle w:val="Body-copy"/>
        <w:rPr>
          <w:sz w:val="24"/>
          <w:szCs w:val="24"/>
          <w:lang w:val="en-AU"/>
        </w:rPr>
      </w:pPr>
      <w:r w:rsidRPr="000C4C87">
        <w:rPr>
          <w:sz w:val="24"/>
          <w:szCs w:val="24"/>
          <w:lang w:val="en-AU"/>
        </w:rPr>
        <w:t>The Australia–European Union Free Trade Agreement (A-EU FTA) will further expand Energy Exemplar’s growth options. Today, its technology is helping organisations worldwide make informed decisions on complex energy transitions and net zero planning.</w:t>
      </w:r>
    </w:p>
    <w:p w14:paraId="72D37229" w14:textId="77777777" w:rsidR="00013B41" w:rsidRPr="000C4C87" w:rsidRDefault="004C451D">
      <w:pPr>
        <w:pStyle w:val="Body-copy"/>
        <w:rPr>
          <w:bCs/>
          <w:i/>
          <w:iCs/>
          <w:sz w:val="24"/>
          <w:szCs w:val="24"/>
          <w:lang w:val="en-AU"/>
        </w:rPr>
      </w:pPr>
      <w:r w:rsidRPr="000C4C87">
        <w:rPr>
          <w:bCs/>
          <w:i/>
          <w:iCs/>
          <w:sz w:val="24"/>
          <w:szCs w:val="24"/>
          <w:lang w:val="en-AU"/>
        </w:rPr>
        <w:t xml:space="preserve"> “Austrade helped us present ourselves as the company we aspired to be. Its networks, facilitation and global connections accelerated our growth trajectory.” </w:t>
      </w:r>
    </w:p>
    <w:p w14:paraId="4EF83421" w14:textId="791341E2" w:rsidR="00572AF6" w:rsidRPr="000C4C87" w:rsidRDefault="004C451D">
      <w:pPr>
        <w:pStyle w:val="Body-copy"/>
        <w:rPr>
          <w:sz w:val="24"/>
          <w:szCs w:val="24"/>
          <w:lang w:val="en-AU"/>
        </w:rPr>
      </w:pPr>
      <w:r w:rsidRPr="000C4C87">
        <w:rPr>
          <w:sz w:val="24"/>
          <w:szCs w:val="24"/>
          <w:lang w:val="en-AU"/>
        </w:rPr>
        <w:t>David Wilson, CEO, Energy Exemplar</w:t>
      </w:r>
    </w:p>
    <w:p w14:paraId="378E7402" w14:textId="6E34C26A" w:rsidR="00572AF6" w:rsidRPr="00DD3E1F" w:rsidRDefault="00572AF6">
      <w:pPr>
        <w:pStyle w:val="Body-copy"/>
        <w:rPr>
          <w:lang w:val="en-AU"/>
        </w:rPr>
      </w:pPr>
    </w:p>
    <w:p w14:paraId="61CDCEAD" w14:textId="77777777" w:rsidR="00572AF6" w:rsidRDefault="004C451D">
      <w:r>
        <w:br w:type="page"/>
      </w:r>
    </w:p>
    <w:p w14:paraId="30A66B7E" w14:textId="77777777" w:rsidR="00013B41" w:rsidRPr="005479E4" w:rsidRDefault="00013B41" w:rsidP="00013B41">
      <w:pPr>
        <w:pStyle w:val="Heading-level2"/>
        <w:rPr>
          <w:color w:val="7030A0"/>
        </w:rPr>
      </w:pPr>
      <w:r w:rsidRPr="005479E4">
        <w:rPr>
          <w:color w:val="7030A0"/>
        </w:rPr>
        <w:lastRenderedPageBreak/>
        <w:t>Silicon Quantum Computing expands partnerships in Southeast Asia</w:t>
      </w:r>
    </w:p>
    <w:p w14:paraId="55DDA094" w14:textId="3763A0C9" w:rsidR="00013B41" w:rsidRPr="000C4C87" w:rsidRDefault="00013B41">
      <w:pPr>
        <w:pStyle w:val="Body-copy"/>
        <w:rPr>
          <w:sz w:val="24"/>
          <w:szCs w:val="24"/>
          <w:lang w:val="en-AU"/>
        </w:rPr>
      </w:pPr>
      <w:r w:rsidRPr="000C4C87">
        <w:rPr>
          <w:sz w:val="24"/>
          <w:szCs w:val="24"/>
          <w:lang w:val="en-AU"/>
        </w:rPr>
        <w:t>Sector: Technology | Market: Southeast Asia</w:t>
      </w:r>
    </w:p>
    <w:p w14:paraId="1260FA27" w14:textId="61B41D87" w:rsidR="00572AF6" w:rsidRPr="000C4C87" w:rsidRDefault="004C451D">
      <w:pPr>
        <w:pStyle w:val="Body-copy"/>
        <w:rPr>
          <w:sz w:val="24"/>
          <w:szCs w:val="24"/>
          <w:lang w:val="en-AU"/>
        </w:rPr>
      </w:pPr>
      <w:r w:rsidRPr="000C4C87">
        <w:rPr>
          <w:sz w:val="24"/>
          <w:szCs w:val="24"/>
          <w:lang w:val="en-AU"/>
        </w:rPr>
        <w:t>Silicon Quantum Computing is an Australian quantum computing company and a global pioneer in atomic-scale semiconductor manufacturing. Led by Professor Michelle Simmons AC, the company develops quantum computing systems by placing individual atoms in silicon with atomic (0.13 nanometre) precision. Its work builds on more than 25 years of technological leadership in quantum electronics and silicon manufacturing, enabling the delivery of quantum-enhanced AI and simulation systems to enterprises. The company represents Australia’s strength in deep technology, quantum commercialisation and advanced research capability.</w:t>
      </w:r>
    </w:p>
    <w:p w14:paraId="776F2C9B" w14:textId="77777777" w:rsidR="00572AF6" w:rsidRPr="000C4C87" w:rsidRDefault="004C451D">
      <w:pPr>
        <w:pStyle w:val="Heading-level3"/>
        <w:rPr>
          <w:color w:val="7030A0"/>
          <w:sz w:val="24"/>
          <w:szCs w:val="24"/>
        </w:rPr>
      </w:pPr>
      <w:r w:rsidRPr="000C4C87">
        <w:rPr>
          <w:color w:val="7030A0"/>
          <w:sz w:val="24"/>
          <w:szCs w:val="24"/>
        </w:rPr>
        <w:t>Austrade’s impact</w:t>
      </w:r>
    </w:p>
    <w:p w14:paraId="62EA137C" w14:textId="77777777" w:rsidR="00572AF6" w:rsidRPr="000C4C87" w:rsidRDefault="004C451D">
      <w:pPr>
        <w:pStyle w:val="Body-copy"/>
        <w:rPr>
          <w:sz w:val="24"/>
          <w:szCs w:val="24"/>
          <w:lang w:val="en-AU"/>
        </w:rPr>
      </w:pPr>
      <w:r w:rsidRPr="000C4C87">
        <w:rPr>
          <w:sz w:val="24"/>
          <w:szCs w:val="24"/>
          <w:lang w:val="en-AU"/>
        </w:rPr>
        <w:t>Austrade co-led the Australia–Southeast Asia Business Exchange (A-SEABX) mission to Tech Week Singapore with the Tech Council of Australia. The mission helped Australian AI and quantum companies build partnerships in Singapore and across the region. Austrade facilitated roundtables, speaking engagements and more than 60 business-matching meetings over two days. The Australia Pavilion attracted more than 2,000 visitors, including government representatives, investors and business partners. Austrade also promoted export support through the Go Global Toolkit (GGT), helping companies assess market opportunities, understand regulatory requirements and plan for international growth.</w:t>
      </w:r>
    </w:p>
    <w:p w14:paraId="1DB4EBF9" w14:textId="77777777" w:rsidR="00B130EC" w:rsidRPr="000C4C87" w:rsidRDefault="004C451D">
      <w:pPr>
        <w:pStyle w:val="Body-copy"/>
        <w:rPr>
          <w:bCs/>
          <w:i/>
          <w:iCs/>
          <w:sz w:val="24"/>
          <w:szCs w:val="24"/>
          <w:lang w:val="en-AU"/>
        </w:rPr>
      </w:pPr>
      <w:r w:rsidRPr="000C4C87">
        <w:rPr>
          <w:bCs/>
          <w:i/>
          <w:iCs/>
          <w:sz w:val="24"/>
          <w:szCs w:val="24"/>
          <w:lang w:val="en-AU"/>
        </w:rPr>
        <w:t xml:space="preserve"> “Australia’s tech sector is powered by cutting-edge research, broad commercial expertise and a spirit of collaboration.” </w:t>
      </w:r>
    </w:p>
    <w:p w14:paraId="0E7455A4" w14:textId="0904F197" w:rsidR="00572AF6" w:rsidRPr="000C4C87" w:rsidRDefault="004C451D">
      <w:pPr>
        <w:pStyle w:val="Body-copy"/>
        <w:rPr>
          <w:sz w:val="24"/>
          <w:szCs w:val="24"/>
          <w:lang w:val="en-AU"/>
        </w:rPr>
      </w:pPr>
      <w:r w:rsidRPr="000C4C87">
        <w:rPr>
          <w:sz w:val="24"/>
          <w:szCs w:val="24"/>
          <w:lang w:val="en-AU"/>
        </w:rPr>
        <w:t>Professor Michelle Simmons AC, CEO, Silicon Quantum Computing</w:t>
      </w:r>
    </w:p>
    <w:p w14:paraId="6BB9E253" w14:textId="77777777" w:rsidR="00572AF6" w:rsidRDefault="004C451D">
      <w:r>
        <w:br w:type="page"/>
      </w:r>
    </w:p>
    <w:p w14:paraId="23DE523C" w14:textId="2A67D39E" w:rsidR="00572AF6" w:rsidRDefault="005479E4">
      <w:pPr>
        <w:spacing w:before="0" w:after="0"/>
        <w:jc w:val="center"/>
      </w:pPr>
      <w:r w:rsidRPr="005479E4">
        <w:rPr>
          <w:noProof/>
        </w:rPr>
        <w:lastRenderedPageBreak/>
        <w:drawing>
          <wp:inline distT="0" distB="0" distL="0" distR="0" wp14:anchorId="6C2E2B2A" wp14:editId="1680B609">
            <wp:extent cx="8566113" cy="6049926"/>
            <wp:effectExtent l="0" t="0" r="6985" b="8255"/>
            <wp:docPr id="753779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79899" name=""/>
                    <pic:cNvPicPr/>
                  </pic:nvPicPr>
                  <pic:blipFill>
                    <a:blip r:embed="rId22"/>
                    <a:stretch>
                      <a:fillRect/>
                    </a:stretch>
                  </pic:blipFill>
                  <pic:spPr>
                    <a:xfrm>
                      <a:off x="0" y="0"/>
                      <a:ext cx="8569956" cy="6052640"/>
                    </a:xfrm>
                    <a:prstGeom prst="rect">
                      <a:avLst/>
                    </a:prstGeom>
                  </pic:spPr>
                </pic:pic>
              </a:graphicData>
            </a:graphic>
          </wp:inline>
        </w:drawing>
      </w:r>
    </w:p>
    <w:p w14:paraId="45B0189B" w14:textId="77777777" w:rsidR="00980E2B" w:rsidRDefault="00980E2B" w:rsidP="00980E2B">
      <w:pPr>
        <w:pStyle w:val="Heading-level2"/>
        <w:rPr>
          <w:color w:val="7030A0"/>
        </w:rPr>
      </w:pPr>
      <w:r>
        <w:rPr>
          <w:color w:val="7030A0"/>
        </w:rPr>
        <w:lastRenderedPageBreak/>
        <w:t xml:space="preserve">Australia-United States Critical Minerals Delegation </w:t>
      </w:r>
    </w:p>
    <w:p w14:paraId="00A15F32" w14:textId="5C977B78" w:rsidR="00980E2B" w:rsidRPr="000C4C87" w:rsidRDefault="00980E2B" w:rsidP="00980E2B">
      <w:pPr>
        <w:pStyle w:val="SmallQuote"/>
        <w:rPr>
          <w:szCs w:val="24"/>
        </w:rPr>
      </w:pPr>
      <w:r w:rsidRPr="000C4C87">
        <w:rPr>
          <w:color w:val="7030A0"/>
          <w:szCs w:val="24"/>
        </w:rPr>
        <w:t xml:space="preserve">Securing global critical minerals supply chains </w:t>
      </w:r>
    </w:p>
    <w:p w14:paraId="590ECC94" w14:textId="77777777" w:rsidR="00980E2B" w:rsidRPr="000C4C87" w:rsidRDefault="004C451D" w:rsidP="005479E4">
      <w:pPr>
        <w:rPr>
          <w:sz w:val="24"/>
          <w:szCs w:val="24"/>
        </w:rPr>
      </w:pPr>
      <w:r w:rsidRPr="000C4C87">
        <w:rPr>
          <w:sz w:val="24"/>
          <w:szCs w:val="24"/>
        </w:rPr>
        <w:t xml:space="preserve">In September 2025, Austrade led a Critical Minerals Delegation to the United States that included 20 Australian companies. Delegates met with senior US government officials in Washington DC to discuss critical minerals priorities. Delegates also connected with investors in New York to position Australia as a secure and stable partner in future critical minerals supply chains. </w:t>
      </w:r>
    </w:p>
    <w:p w14:paraId="385DF4C1" w14:textId="77777777" w:rsidR="00980E2B" w:rsidRPr="000C4C87" w:rsidRDefault="004C451D" w:rsidP="005479E4">
      <w:pPr>
        <w:rPr>
          <w:sz w:val="24"/>
          <w:szCs w:val="24"/>
        </w:rPr>
      </w:pPr>
      <w:r w:rsidRPr="000C4C87">
        <w:rPr>
          <w:sz w:val="24"/>
          <w:szCs w:val="24"/>
        </w:rPr>
        <w:t xml:space="preserve">Australia and the US signed a landmark Framework for Securing Supply in Critical Minerals and Rare Earths in October 2025. The agreement reinforces bilateral cooperation in support of defence and advanced technologies. The US and Australia committed to take measures to provide at least US$1 billion in financing for key critical minerals projects. </w:t>
      </w:r>
    </w:p>
    <w:p w14:paraId="58817BEE" w14:textId="77777777" w:rsidR="00980E2B" w:rsidRPr="000C4C87" w:rsidRDefault="004C451D" w:rsidP="005479E4">
      <w:pPr>
        <w:rPr>
          <w:sz w:val="24"/>
          <w:szCs w:val="24"/>
        </w:rPr>
      </w:pPr>
      <w:r w:rsidRPr="000C4C87">
        <w:rPr>
          <w:sz w:val="24"/>
          <w:szCs w:val="24"/>
        </w:rPr>
        <w:t xml:space="preserve">Momentum has continued to build since the Framework was signed. Australia and the US are delivering on commitments made in the White House, with more than $5 billion to back priority projects in Australia that support production of rare earths and critical minerals including nickel, cobalt, gallium, magnesium, vanadium and graphite. </w:t>
      </w:r>
    </w:p>
    <w:p w14:paraId="0CDC7F36" w14:textId="143E9C75" w:rsidR="00980E2B" w:rsidRPr="000C4C87" w:rsidRDefault="004C451D" w:rsidP="005479E4">
      <w:pPr>
        <w:rPr>
          <w:sz w:val="24"/>
          <w:szCs w:val="24"/>
        </w:rPr>
      </w:pPr>
      <w:r w:rsidRPr="000C4C87">
        <w:rPr>
          <w:sz w:val="24"/>
          <w:szCs w:val="24"/>
        </w:rPr>
        <w:t>Austrade’s work is supporting this momentum. Austrade facilitates commercial connections between Australian companies</w:t>
      </w:r>
      <w:r w:rsidR="00224D11">
        <w:rPr>
          <w:sz w:val="24"/>
          <w:szCs w:val="24"/>
        </w:rPr>
        <w:t>,</w:t>
      </w:r>
      <w:r w:rsidRPr="000C4C87">
        <w:rPr>
          <w:sz w:val="24"/>
          <w:szCs w:val="24"/>
        </w:rPr>
        <w:t xml:space="preserve"> </w:t>
      </w:r>
      <w:r w:rsidR="00224D11">
        <w:rPr>
          <w:sz w:val="24"/>
          <w:szCs w:val="24"/>
        </w:rPr>
        <w:t xml:space="preserve">international </w:t>
      </w:r>
      <w:r w:rsidRPr="000C4C87">
        <w:rPr>
          <w:sz w:val="24"/>
          <w:szCs w:val="24"/>
        </w:rPr>
        <w:t xml:space="preserve">investors, leads trade missions and showcases investable opportunities. This work has built a strong pipeline of engagement, supporting more than 40 Australian critical minerals companies and over 100 international investors. </w:t>
      </w:r>
    </w:p>
    <w:p w14:paraId="112B4D27" w14:textId="7A7C47D4" w:rsidR="00572AF6" w:rsidRPr="000C4C87" w:rsidRDefault="004C451D" w:rsidP="005479E4">
      <w:pPr>
        <w:rPr>
          <w:sz w:val="24"/>
          <w:szCs w:val="24"/>
        </w:rPr>
      </w:pPr>
      <w:r w:rsidRPr="000C4C87">
        <w:rPr>
          <w:sz w:val="24"/>
          <w:szCs w:val="24"/>
        </w:rPr>
        <w:t>Austrade also launched the 2025 edition of the Australian Critical Minerals Prospectus, showcasing 78 projects across 60 companies. For the first time, the Prospectus includes midstream capabilities, with 29 investable projects. These projects highlight Australia’s growing capability in processing and refining materials, adding value beyond extraction and strengthening supply chains.</w:t>
      </w:r>
    </w:p>
    <w:p w14:paraId="07547A01" w14:textId="77777777" w:rsidR="00572AF6" w:rsidRDefault="004C451D">
      <w:r>
        <w:br w:type="page"/>
      </w:r>
    </w:p>
    <w:p w14:paraId="4C55D18B" w14:textId="653F379E" w:rsidR="00402D44" w:rsidRDefault="00402D44" w:rsidP="00402D44">
      <w:pPr>
        <w:pStyle w:val="Heading-level2"/>
        <w:rPr>
          <w:color w:val="7030A0"/>
        </w:rPr>
      </w:pPr>
      <w:r>
        <w:rPr>
          <w:color w:val="7030A0"/>
        </w:rPr>
        <w:lastRenderedPageBreak/>
        <w:t>AWS</w:t>
      </w:r>
    </w:p>
    <w:p w14:paraId="2ED33BAA" w14:textId="1F92D8C2" w:rsidR="00980E2B" w:rsidRPr="000C4C87" w:rsidRDefault="00402D44" w:rsidP="004D22BD">
      <w:pPr>
        <w:pStyle w:val="SmallQuote"/>
        <w:rPr>
          <w:szCs w:val="24"/>
        </w:rPr>
      </w:pPr>
      <w:r w:rsidRPr="000C4C87">
        <w:rPr>
          <w:color w:val="7030A0"/>
          <w:szCs w:val="24"/>
        </w:rPr>
        <w:t xml:space="preserve">Expanding digital infrastructure and renewable energy investments in Australia </w:t>
      </w:r>
    </w:p>
    <w:p w14:paraId="4AB016F5" w14:textId="056F6FDE" w:rsidR="00980E2B" w:rsidRPr="000C4C87" w:rsidRDefault="004D22BD">
      <w:pPr>
        <w:pStyle w:val="Body-copy"/>
        <w:rPr>
          <w:sz w:val="24"/>
          <w:szCs w:val="24"/>
          <w:lang w:val="en-AU"/>
        </w:rPr>
      </w:pPr>
      <w:r w:rsidRPr="000C4C87">
        <w:rPr>
          <w:sz w:val="24"/>
          <w:szCs w:val="24"/>
          <w:lang w:val="en-AU"/>
        </w:rPr>
        <w:t xml:space="preserve">Amazon Web Services (AWS) is expanding its AI and cloud infrastructure footprint in Australia, investing $20 billion over 2025 to 2029. This builds on the $18.9 billion AWS </w:t>
      </w:r>
      <w:proofErr w:type="gramStart"/>
      <w:r w:rsidRPr="000C4C87">
        <w:rPr>
          <w:sz w:val="24"/>
          <w:szCs w:val="24"/>
          <w:lang w:val="en-AU"/>
        </w:rPr>
        <w:t>has</w:t>
      </w:r>
      <w:proofErr w:type="gramEnd"/>
      <w:r w:rsidRPr="000C4C87">
        <w:rPr>
          <w:sz w:val="24"/>
          <w:szCs w:val="24"/>
          <w:lang w:val="en-AU"/>
        </w:rPr>
        <w:t xml:space="preserve"> invested to build, maintain and operate Australian data centres since 2012.</w:t>
      </w:r>
    </w:p>
    <w:p w14:paraId="25625AB1" w14:textId="77777777" w:rsidR="008202EF" w:rsidRPr="000C4C87" w:rsidRDefault="004D22BD" w:rsidP="00FD3823">
      <w:pPr>
        <w:pStyle w:val="SmallQuote"/>
        <w:rPr>
          <w:i/>
          <w:iCs/>
          <w:color w:val="auto"/>
          <w:szCs w:val="24"/>
        </w:rPr>
      </w:pPr>
      <w:r w:rsidRPr="000C4C87">
        <w:rPr>
          <w:i/>
          <w:iCs/>
          <w:color w:val="auto"/>
          <w:szCs w:val="24"/>
        </w:rPr>
        <w:t xml:space="preserve"> ‘We are proud to be expanding our world-class data centre infrastructure, bringing more renewable energy projects online, and supporting the country’s vision to be a global AI leader,’ says Matt Garman, CEO of Amazon Web Services.  ‘AI is a once-in-a-generation transformation, and Amazon is pleased to be empowering all Australians to innovate at scale through this investment.’ </w:t>
      </w:r>
    </w:p>
    <w:p w14:paraId="7A28DD8A" w14:textId="1F233985" w:rsidR="004D22BD" w:rsidRPr="000C4C87" w:rsidRDefault="004C451D">
      <w:pPr>
        <w:pStyle w:val="Body-copy"/>
        <w:rPr>
          <w:sz w:val="24"/>
          <w:szCs w:val="24"/>
          <w:lang w:val="en-AU"/>
        </w:rPr>
      </w:pPr>
      <w:r w:rsidRPr="000C4C87">
        <w:rPr>
          <w:sz w:val="24"/>
          <w:szCs w:val="24"/>
          <w:lang w:val="en-AU"/>
        </w:rPr>
        <w:t xml:space="preserve">To support its infrastructure expansion in Sydney and Melbourne, AWS is investing in new renewable energy projects across Victoria and New South Wales, bringing its total renewable energy portfolio in Australia to 20 projects. Once operational, these projects will provide 990 MW of new renewable energy capacity, enough to power the equivalent of more than half a million Australian households annually. </w:t>
      </w:r>
    </w:p>
    <w:p w14:paraId="08F50269" w14:textId="4104FAA3" w:rsidR="00572AF6" w:rsidRPr="000C4C87" w:rsidRDefault="004C451D">
      <w:pPr>
        <w:pStyle w:val="Body-copy"/>
        <w:rPr>
          <w:sz w:val="24"/>
          <w:szCs w:val="24"/>
          <w:lang w:val="en-AU"/>
        </w:rPr>
      </w:pPr>
      <w:r w:rsidRPr="000C4C87">
        <w:rPr>
          <w:sz w:val="24"/>
          <w:szCs w:val="24"/>
          <w:lang w:val="en-AU"/>
        </w:rPr>
        <w:t xml:space="preserve">Since 2020, Amazon has invested an estimated $2.8 billion in renewable energy projects across Australia. </w:t>
      </w:r>
    </w:p>
    <w:p w14:paraId="7CF40BC5" w14:textId="5EDCA858" w:rsidR="008202EF" w:rsidRDefault="008202EF" w:rsidP="008202EF">
      <w:pPr>
        <w:pStyle w:val="Heading-level2"/>
        <w:rPr>
          <w:color w:val="7030A0"/>
        </w:rPr>
      </w:pPr>
      <w:r>
        <w:rPr>
          <w:color w:val="7030A0"/>
        </w:rPr>
        <w:lastRenderedPageBreak/>
        <w:t>Octopus</w:t>
      </w:r>
    </w:p>
    <w:p w14:paraId="2C7E1B8F" w14:textId="21A9D0B7" w:rsidR="008202EF" w:rsidRPr="000C4C87" w:rsidRDefault="008202EF" w:rsidP="008202EF">
      <w:pPr>
        <w:pStyle w:val="SmallQuote"/>
        <w:rPr>
          <w:szCs w:val="24"/>
        </w:rPr>
      </w:pPr>
      <w:r w:rsidRPr="000C4C87">
        <w:rPr>
          <w:color w:val="7030A0"/>
          <w:szCs w:val="24"/>
        </w:rPr>
        <w:t xml:space="preserve">Bolstering Australia’s renewable capacity through </w:t>
      </w:r>
      <w:proofErr w:type="spellStart"/>
      <w:r w:rsidRPr="000C4C87">
        <w:rPr>
          <w:color w:val="7030A0"/>
          <w:szCs w:val="24"/>
        </w:rPr>
        <w:t>agrisolar</w:t>
      </w:r>
      <w:proofErr w:type="spellEnd"/>
      <w:r w:rsidRPr="000C4C87">
        <w:rPr>
          <w:color w:val="7030A0"/>
          <w:szCs w:val="24"/>
        </w:rPr>
        <w:t xml:space="preserve"> innovation </w:t>
      </w:r>
    </w:p>
    <w:p w14:paraId="4A1E9599" w14:textId="77777777" w:rsidR="00FD3823" w:rsidRPr="000C4C87" w:rsidRDefault="004C451D">
      <w:pPr>
        <w:pStyle w:val="Body-copy"/>
        <w:rPr>
          <w:sz w:val="24"/>
          <w:szCs w:val="24"/>
          <w:lang w:val="en-AU"/>
        </w:rPr>
      </w:pPr>
      <w:r w:rsidRPr="000C4C87">
        <w:rPr>
          <w:sz w:val="24"/>
          <w:szCs w:val="24"/>
          <w:lang w:val="en-AU"/>
        </w:rPr>
        <w:t xml:space="preserve">Beginning in 2018, UK-based Octopus Group identified significant opportunities in Australia’s energy market transition, as power generators retire ageing coal-fired power stations. </w:t>
      </w:r>
    </w:p>
    <w:p w14:paraId="178EAE83" w14:textId="58A4ECD5" w:rsidR="0083744E" w:rsidRPr="000C4C87" w:rsidRDefault="004C451D" w:rsidP="00FD3823">
      <w:pPr>
        <w:pStyle w:val="SmallQuote"/>
        <w:rPr>
          <w:i/>
          <w:iCs/>
          <w:color w:val="auto"/>
          <w:szCs w:val="24"/>
        </w:rPr>
      </w:pPr>
      <w:r w:rsidRPr="000C4C87">
        <w:rPr>
          <w:i/>
          <w:iCs/>
          <w:color w:val="auto"/>
          <w:szCs w:val="24"/>
        </w:rPr>
        <w:t xml:space="preserve">‘Australia had compelling fundamentals for renewable energy,’ says Sam Reynolds, Chief Executive of Octopus Australia. </w:t>
      </w:r>
    </w:p>
    <w:p w14:paraId="07F59423" w14:textId="77777777" w:rsidR="0083744E" w:rsidRPr="000C4C87" w:rsidRDefault="004C451D">
      <w:pPr>
        <w:pStyle w:val="Body-copy"/>
        <w:rPr>
          <w:sz w:val="24"/>
          <w:szCs w:val="24"/>
          <w:lang w:val="en-AU"/>
        </w:rPr>
      </w:pPr>
      <w:r w:rsidRPr="000C4C87">
        <w:rPr>
          <w:sz w:val="24"/>
          <w:szCs w:val="24"/>
          <w:lang w:val="en-AU"/>
        </w:rPr>
        <w:t xml:space="preserve">Octopus Australia’s Blind Creek Solar Farm and Battery project will combine a </w:t>
      </w:r>
      <w:proofErr w:type="gramStart"/>
      <w:r w:rsidRPr="000C4C87">
        <w:rPr>
          <w:sz w:val="24"/>
          <w:szCs w:val="24"/>
          <w:lang w:val="en-AU"/>
        </w:rPr>
        <w:t>300 megawatt</w:t>
      </w:r>
      <w:proofErr w:type="gramEnd"/>
      <w:r w:rsidRPr="000C4C87">
        <w:rPr>
          <w:sz w:val="24"/>
          <w:szCs w:val="24"/>
          <w:lang w:val="en-AU"/>
        </w:rPr>
        <w:t xml:space="preserve"> (MW) solar farm with co-located 243 MW/486 megawatt hours (MWh) battery storage. This will deliver sufficient capacity to power up to 120,000 homes and businesses. The site also includes regenerative agriculture, with elevated panels enabling grazing and improved pasture conditions. </w:t>
      </w:r>
    </w:p>
    <w:p w14:paraId="59F20592" w14:textId="77777777" w:rsidR="00DC33A8" w:rsidRPr="000C4C87" w:rsidRDefault="004C451D">
      <w:pPr>
        <w:pStyle w:val="Body-copy"/>
        <w:rPr>
          <w:sz w:val="24"/>
          <w:szCs w:val="24"/>
          <w:lang w:val="en-AU"/>
        </w:rPr>
      </w:pPr>
      <w:r w:rsidRPr="000C4C87">
        <w:rPr>
          <w:sz w:val="24"/>
          <w:szCs w:val="24"/>
          <w:lang w:val="en-AU"/>
        </w:rPr>
        <w:t xml:space="preserve">‘Agriculture and energy are 2 of the largest emitters in Australia,’ says Kelsey Richardson, ESG and Sustainability Analyst at Octopus. ‘On this one piece of land we are tackling both of those with clean energy and regenerative farming.’ </w:t>
      </w:r>
    </w:p>
    <w:p w14:paraId="392CA1DF" w14:textId="0D6080BC" w:rsidR="00DC33A8" w:rsidRPr="000C4C87" w:rsidRDefault="004C451D">
      <w:pPr>
        <w:pStyle w:val="Body-copy"/>
        <w:rPr>
          <w:sz w:val="24"/>
          <w:szCs w:val="24"/>
          <w:lang w:val="en-AU"/>
        </w:rPr>
      </w:pPr>
      <w:r w:rsidRPr="000C4C87">
        <w:rPr>
          <w:sz w:val="24"/>
          <w:szCs w:val="24"/>
          <w:lang w:val="en-AU"/>
        </w:rPr>
        <w:t xml:space="preserve">When operational, the Blind Creek project could produce renewable energy </w:t>
      </w:r>
      <w:r w:rsidR="002018BF">
        <w:rPr>
          <w:sz w:val="24"/>
          <w:szCs w:val="24"/>
          <w:lang w:val="en-AU"/>
        </w:rPr>
        <w:t>to power a substantial number of homes and businesses</w:t>
      </w:r>
      <w:r w:rsidRPr="000C4C87">
        <w:rPr>
          <w:sz w:val="24"/>
          <w:szCs w:val="24"/>
          <w:lang w:val="en-AU"/>
        </w:rPr>
        <w:t xml:space="preserve">. </w:t>
      </w:r>
    </w:p>
    <w:p w14:paraId="6AB2F340" w14:textId="77777777" w:rsidR="00FD3823" w:rsidRPr="000C4C87" w:rsidRDefault="004C451D">
      <w:pPr>
        <w:pStyle w:val="Body-copy"/>
        <w:rPr>
          <w:sz w:val="24"/>
          <w:szCs w:val="24"/>
          <w:lang w:val="en-AU"/>
        </w:rPr>
      </w:pPr>
      <w:r w:rsidRPr="000C4C87">
        <w:rPr>
          <w:sz w:val="24"/>
          <w:szCs w:val="24"/>
          <w:lang w:val="en-AU"/>
        </w:rPr>
        <w:t xml:space="preserve">Community engagement has been central to the project. Local landowners led early consultation and developed benefit-sharing arrangements with neighbouring properties, including </w:t>
      </w:r>
      <w:r w:rsidR="00FD3823" w:rsidRPr="000C4C87">
        <w:rPr>
          <w:sz w:val="24"/>
          <w:szCs w:val="24"/>
          <w:lang w:val="en-AU"/>
        </w:rPr>
        <w:t>the</w:t>
      </w:r>
      <w:r w:rsidRPr="000C4C87">
        <w:rPr>
          <w:sz w:val="24"/>
          <w:szCs w:val="24"/>
          <w:lang w:val="en-AU"/>
        </w:rPr>
        <w:t xml:space="preserve"> Bungendore Community Foundation. The project won the 2022 Clean Energy Council Community Engagement Award for its social licence model, benefit-sharing scheme and </w:t>
      </w:r>
      <w:proofErr w:type="spellStart"/>
      <w:r w:rsidRPr="000C4C87">
        <w:rPr>
          <w:sz w:val="24"/>
          <w:szCs w:val="24"/>
          <w:lang w:val="en-AU"/>
        </w:rPr>
        <w:t>agrisolar</w:t>
      </w:r>
      <w:proofErr w:type="spellEnd"/>
      <w:r w:rsidRPr="000C4C87">
        <w:rPr>
          <w:sz w:val="24"/>
          <w:szCs w:val="24"/>
          <w:lang w:val="en-AU"/>
        </w:rPr>
        <w:t xml:space="preserve"> design. </w:t>
      </w:r>
    </w:p>
    <w:p w14:paraId="2AD5ED53" w14:textId="77777777" w:rsidR="00FD3823" w:rsidRPr="000C4C87" w:rsidRDefault="004C451D" w:rsidP="00FD3823">
      <w:pPr>
        <w:pStyle w:val="SmallQuote"/>
        <w:rPr>
          <w:szCs w:val="24"/>
        </w:rPr>
      </w:pPr>
      <w:r w:rsidRPr="008B4426">
        <w:rPr>
          <w:rStyle w:val="Body-copyChar"/>
          <w:sz w:val="24"/>
          <w:szCs w:val="24"/>
          <w:lang w:val="en-AU"/>
        </w:rPr>
        <w:t>Austrade provided vital support, helping secure introductions that shaped the final investment decision</w:t>
      </w:r>
      <w:r w:rsidRPr="000C4C87">
        <w:rPr>
          <w:szCs w:val="24"/>
        </w:rPr>
        <w:t xml:space="preserve">. </w:t>
      </w:r>
    </w:p>
    <w:p w14:paraId="4EC2BCE3" w14:textId="0258FC5B" w:rsidR="00572AF6" w:rsidRPr="000C4C87" w:rsidRDefault="004C451D" w:rsidP="00FD3823">
      <w:pPr>
        <w:pStyle w:val="SmallQuote"/>
        <w:rPr>
          <w:i/>
          <w:iCs/>
          <w:color w:val="auto"/>
          <w:szCs w:val="24"/>
        </w:rPr>
      </w:pPr>
      <w:r w:rsidRPr="000C4C87">
        <w:rPr>
          <w:color w:val="auto"/>
          <w:szCs w:val="24"/>
        </w:rPr>
        <w:t>‘</w:t>
      </w:r>
      <w:r w:rsidRPr="000C4C87">
        <w:rPr>
          <w:i/>
          <w:iCs/>
          <w:color w:val="auto"/>
          <w:szCs w:val="24"/>
        </w:rPr>
        <w:t>Austrade … definitely opened those doors,’ says Reynolds. ‘We were a complete unknown, no one really knew Octopus. It was good to have that entry from Austrade to get things going.’</w:t>
      </w:r>
    </w:p>
    <w:p w14:paraId="07459315" w14:textId="77777777" w:rsidR="00572AF6" w:rsidRPr="000C4C87" w:rsidRDefault="004C451D">
      <w:pPr>
        <w:rPr>
          <w:sz w:val="24"/>
          <w:szCs w:val="24"/>
        </w:rPr>
      </w:pPr>
      <w:r w:rsidRPr="000C4C87">
        <w:rPr>
          <w:sz w:val="24"/>
          <w:szCs w:val="24"/>
        </w:rPr>
        <w:br w:type="page"/>
      </w:r>
    </w:p>
    <w:p w14:paraId="074BBBEF" w14:textId="77777777" w:rsidR="00572AF6" w:rsidRPr="00FD3823" w:rsidRDefault="004C451D">
      <w:pPr>
        <w:pStyle w:val="Heading-level1"/>
        <w:rPr>
          <w:color w:val="7030A0"/>
        </w:rPr>
      </w:pPr>
      <w:r w:rsidRPr="00FD3823">
        <w:rPr>
          <w:color w:val="7030A0"/>
        </w:rPr>
        <w:lastRenderedPageBreak/>
        <w:t xml:space="preserve">Austrade </w:t>
      </w:r>
      <w:proofErr w:type="gramStart"/>
      <w:r w:rsidRPr="00FD3823">
        <w:rPr>
          <w:color w:val="7030A0"/>
        </w:rPr>
        <w:t>at a glance</w:t>
      </w:r>
      <w:proofErr w:type="gramEnd"/>
    </w:p>
    <w:p w14:paraId="5E316E07" w14:textId="77777777" w:rsidR="00572AF6" w:rsidRPr="000C4C87" w:rsidRDefault="004C451D">
      <w:pPr>
        <w:pStyle w:val="Body-copy"/>
        <w:rPr>
          <w:sz w:val="24"/>
          <w:szCs w:val="24"/>
          <w:lang w:val="en-AU"/>
        </w:rPr>
      </w:pPr>
      <w:r w:rsidRPr="000C4C87">
        <w:rPr>
          <w:sz w:val="24"/>
          <w:szCs w:val="24"/>
          <w:lang w:val="en-AU"/>
        </w:rPr>
        <w:t>We are the Australian Trade and Investment Commission (Austrade), and we are responsible for promoting Australian trade, investment and education to the world, as well as developing tourism policy for the country. Our purpose is to deliver quality trade and investment services to businesses and policy advice to government, to grow Australia’s prosperity. Our trade and investment services are centred on advice, connections and support. We help our clients achieve commercial outcomes by drawing on our expert knowledge, international networks, and strong relationships with international customers and decision-makers.</w:t>
      </w:r>
    </w:p>
    <w:p w14:paraId="509968AA" w14:textId="14F7584D" w:rsidR="00EB2BC9" w:rsidRPr="000C4C87" w:rsidRDefault="00EB2BC9" w:rsidP="00EB2BC9">
      <w:pPr>
        <w:pStyle w:val="Heading-level3"/>
        <w:rPr>
          <w:color w:val="7030A0"/>
          <w:sz w:val="24"/>
          <w:szCs w:val="24"/>
        </w:rPr>
      </w:pPr>
      <w:r w:rsidRPr="000C4C87">
        <w:rPr>
          <w:color w:val="7030A0"/>
          <w:sz w:val="24"/>
          <w:szCs w:val="24"/>
        </w:rPr>
        <w:t>Australian businesses</w:t>
      </w:r>
    </w:p>
    <w:p w14:paraId="7F0F16EB" w14:textId="672AD614" w:rsidR="00EB2BC9" w:rsidRPr="000C4C87" w:rsidRDefault="00EB2BC9" w:rsidP="00EB2BC9">
      <w:pPr>
        <w:pStyle w:val="Body-copy"/>
        <w:rPr>
          <w:sz w:val="24"/>
          <w:szCs w:val="24"/>
          <w:lang w:val="en-AU"/>
        </w:rPr>
      </w:pPr>
      <w:r w:rsidRPr="000C4C87">
        <w:rPr>
          <w:sz w:val="24"/>
          <w:szCs w:val="24"/>
          <w:lang w:val="en-AU"/>
        </w:rPr>
        <w:t>Austrade is here to help Australian businesses go global. Whether you are a fintech startup, an agricultural producer or a manufacturer, we have the expertise, contacts and market intelligence to help you grow your business. Every year, we connect thousands of businesses to opportunities and partners around the world, with in-market and local language assistance. Contact us at austrade.gov.au or call 13 28 78.</w:t>
      </w:r>
    </w:p>
    <w:p w14:paraId="1341AB9F" w14:textId="77777777" w:rsidR="00EB2BC9" w:rsidRPr="000C4C87" w:rsidRDefault="00EB2BC9" w:rsidP="00EB2BC9">
      <w:pPr>
        <w:pStyle w:val="Body-copy"/>
        <w:rPr>
          <w:sz w:val="24"/>
          <w:szCs w:val="24"/>
          <w:lang w:val="en-AU"/>
        </w:rPr>
      </w:pPr>
    </w:p>
    <w:p w14:paraId="11C608C0" w14:textId="1224EE33" w:rsidR="00EB2BC9" w:rsidRPr="000C4C87" w:rsidRDefault="00EB2BC9" w:rsidP="00EB2BC9">
      <w:pPr>
        <w:pStyle w:val="Heading-level3"/>
        <w:rPr>
          <w:color w:val="7030A0"/>
          <w:sz w:val="24"/>
          <w:szCs w:val="24"/>
        </w:rPr>
      </w:pPr>
      <w:r w:rsidRPr="000C4C87">
        <w:rPr>
          <w:color w:val="7030A0"/>
          <w:sz w:val="24"/>
          <w:szCs w:val="24"/>
        </w:rPr>
        <w:t xml:space="preserve">International investors </w:t>
      </w:r>
    </w:p>
    <w:p w14:paraId="735825FD" w14:textId="7163B3B9" w:rsidR="00EB2BC9" w:rsidRPr="000C4C87" w:rsidRDefault="00EB2BC9" w:rsidP="00EB2BC9">
      <w:pPr>
        <w:pStyle w:val="Body-copy"/>
        <w:rPr>
          <w:sz w:val="24"/>
          <w:szCs w:val="24"/>
        </w:rPr>
      </w:pPr>
      <w:r w:rsidRPr="000C4C87">
        <w:rPr>
          <w:sz w:val="24"/>
          <w:szCs w:val="24"/>
          <w:lang w:val="en-AU"/>
        </w:rPr>
        <w:t xml:space="preserve">Looking to invest in Australia? We’re here to help. We support international investors to establish and expand operations in Australia. Our experts in Australia and around the world can help you through every stage of your investment journey. We offer the latest industry insights, connections with key stakeholders and decision-makers and virtual or physical site visits to Australia. Thousands of international businesses have worked with us to tap into the Australian market – and you can too. </w:t>
      </w:r>
      <w:r w:rsidRPr="000C4C87">
        <w:rPr>
          <w:sz w:val="24"/>
          <w:szCs w:val="24"/>
        </w:rPr>
        <w:t>Contact us at international.austrade.gov.au or call 13 28 78.</w:t>
      </w:r>
    </w:p>
    <w:p w14:paraId="49633C5A" w14:textId="77777777" w:rsidR="00EB2BC9" w:rsidRDefault="00EB2BC9">
      <w:pPr>
        <w:pStyle w:val="Body-copy"/>
        <w:rPr>
          <w:lang w:val="en-AU"/>
        </w:rPr>
      </w:pPr>
    </w:p>
    <w:p w14:paraId="28B71095" w14:textId="77777777" w:rsidR="00EB2BC9" w:rsidRDefault="00EB2BC9">
      <w:pPr>
        <w:pStyle w:val="Body-copy"/>
        <w:rPr>
          <w:lang w:val="en-AU"/>
        </w:rPr>
      </w:pPr>
    </w:p>
    <w:p w14:paraId="2F574F0A" w14:textId="77777777" w:rsidR="00EB2BC9" w:rsidRDefault="00EB2BC9">
      <w:pPr>
        <w:pStyle w:val="Body-copy"/>
        <w:rPr>
          <w:lang w:val="en-AU"/>
        </w:rPr>
      </w:pPr>
    </w:p>
    <w:p w14:paraId="6DFB9E20" w14:textId="77777777" w:rsidR="00572AF6" w:rsidRDefault="004C451D">
      <w:pPr>
        <w:spacing w:before="0" w:after="0"/>
        <w:jc w:val="center"/>
      </w:pPr>
      <w:r>
        <w:rPr>
          <w:noProof/>
        </w:rPr>
        <w:lastRenderedPageBreak/>
        <w:drawing>
          <wp:inline distT="0" distB="0" distL="0" distR="0" wp14:anchorId="29C6F08E" wp14:editId="07777777">
            <wp:extent cx="9372600" cy="6629400"/>
            <wp:effectExtent l="0" t="0" r="0" b="0"/>
            <wp:docPr id="14" name="Picture 14" descr="Austrade website closing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33.png"/>
                    <pic:cNvPicPr/>
                  </pic:nvPicPr>
                  <pic:blipFill>
                    <a:blip r:embed="rId23"/>
                    <a:stretch>
                      <a:fillRect/>
                    </a:stretch>
                  </pic:blipFill>
                  <pic:spPr>
                    <a:xfrm>
                      <a:off x="0" y="0"/>
                      <a:ext cx="9372600" cy="6629400"/>
                    </a:xfrm>
                    <a:prstGeom prst="rect">
                      <a:avLst/>
                    </a:prstGeom>
                  </pic:spPr>
                </pic:pic>
              </a:graphicData>
            </a:graphic>
          </wp:inline>
        </w:drawing>
      </w:r>
    </w:p>
    <w:sectPr w:rsidR="00572AF6" w:rsidSect="00034616">
      <w:pgSz w:w="16838" w:h="11906" w:orient="landscape"/>
      <w:pgMar w:top="850" w:right="965" w:bottom="1008" w:left="9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C6DE0" w14:textId="77777777" w:rsidR="00595A9B" w:rsidRDefault="00595A9B">
      <w:pPr>
        <w:spacing w:before="0" w:after="0" w:line="240" w:lineRule="auto"/>
      </w:pPr>
      <w:r>
        <w:separator/>
      </w:r>
    </w:p>
  </w:endnote>
  <w:endnote w:type="continuationSeparator" w:id="0">
    <w:p w14:paraId="598BE418" w14:textId="77777777" w:rsidR="00595A9B" w:rsidRDefault="00595A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0C8A" w14:textId="54D0429F" w:rsidR="00572AF6" w:rsidRPr="005479E4" w:rsidRDefault="004C451D" w:rsidP="00402D44">
    <w:pPr>
      <w:pStyle w:val="Footer"/>
      <w:rPr>
        <w:color w:val="7030A0"/>
      </w:rPr>
    </w:pPr>
    <w:r w:rsidRPr="005479E4">
      <w:rPr>
        <w:color w:val="7030A0"/>
      </w:rPr>
      <w:t>Austrade’s Trade and Investment Report 2025–26</w:t>
    </w:r>
    <w:r w:rsidRPr="005479E4">
      <w:rPr>
        <w:color w:val="7030A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B7C25" w14:textId="77777777" w:rsidR="00595A9B" w:rsidRDefault="00595A9B">
      <w:pPr>
        <w:spacing w:before="0" w:after="0" w:line="240" w:lineRule="auto"/>
      </w:pPr>
      <w:r>
        <w:separator/>
      </w:r>
    </w:p>
  </w:footnote>
  <w:footnote w:type="continuationSeparator" w:id="0">
    <w:p w14:paraId="47BED448" w14:textId="77777777" w:rsidR="00595A9B" w:rsidRDefault="00595A9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NumberedLis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ulletList"/>
      <w:lvlText w:val=""/>
      <w:lvlJc w:val="left"/>
      <w:pPr>
        <w:tabs>
          <w:tab w:val="num" w:pos="360"/>
        </w:tabs>
        <w:ind w:left="360" w:hanging="360"/>
      </w:pPr>
      <w:rPr>
        <w:rFonts w:ascii="Symbol" w:hAnsi="Symbol" w:hint="default"/>
      </w:rPr>
    </w:lvl>
  </w:abstractNum>
  <w:abstractNum w:abstractNumId="9" w15:restartNumberingAfterBreak="0">
    <w:nsid w:val="1A7E7F4C"/>
    <w:multiLevelType w:val="hybridMultilevel"/>
    <w:tmpl w:val="32EAA0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D3B9BBD"/>
    <w:multiLevelType w:val="multilevel"/>
    <w:tmpl w:val="FFFFFFFF"/>
    <w:lvl w:ilvl="0">
      <w:start w:val="1"/>
      <w:numFmt w:val="decimal"/>
      <w:pStyle w:val="ListBullet"/>
      <w:lvlText w:val="%1."/>
      <w:lvlJc w:val="left"/>
      <w:pPr>
        <w:ind w:left="720" w:hanging="720"/>
      </w:pPr>
    </w:lvl>
    <w:lvl w:ilvl="1">
      <w:start w:val="1"/>
      <w:numFmt w:val="decimal"/>
      <w:pStyle w:val="ListBullet2"/>
      <w:lvlText w:val="%2."/>
      <w:lvlJc w:val="left"/>
      <w:pPr>
        <w:ind w:left="1440" w:hanging="720"/>
      </w:pPr>
    </w:lvl>
    <w:lvl w:ilvl="2">
      <w:start w:val="1"/>
      <w:numFmt w:val="decimal"/>
      <w:pStyle w:val="ListBullet3"/>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1" w15:restartNumberingAfterBreak="0">
    <w:nsid w:val="2D219B18"/>
    <w:multiLevelType w:val="multilevel"/>
    <w:tmpl w:val="FFFFFFFF"/>
    <w:lvl w:ilvl="0">
      <w:start w:val="1"/>
      <w:numFmt w:val="decimal"/>
      <w:pStyle w:val="ListNumber3"/>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2" w15:restartNumberingAfterBreak="0">
    <w:nsid w:val="2F351A9F"/>
    <w:multiLevelType w:val="multilevel"/>
    <w:tmpl w:val="FFFFFFFF"/>
    <w:lvl w:ilvl="0">
      <w:start w:val="1"/>
      <w:numFmt w:val="decimal"/>
      <w:pStyle w:val="Table-bullets"/>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3" w15:restartNumberingAfterBreak="0">
    <w:nsid w:val="33033B4E"/>
    <w:multiLevelType w:val="hybridMultilevel"/>
    <w:tmpl w:val="CB62265E"/>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4" w15:restartNumberingAfterBreak="0">
    <w:nsid w:val="33564EE0"/>
    <w:multiLevelType w:val="multilevel"/>
    <w:tmpl w:val="FFFFFFFF"/>
    <w:lvl w:ilvl="0">
      <w:start w:val="1"/>
      <w:numFmt w:val="decimal"/>
      <w:pStyle w:val="ListNumber"/>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5" w15:restartNumberingAfterBreak="0">
    <w:nsid w:val="35A46E3A"/>
    <w:multiLevelType w:val="multilevel"/>
    <w:tmpl w:val="FFFFFFFF"/>
    <w:lvl w:ilvl="0">
      <w:start w:val="1"/>
      <w:numFmt w:val="decimal"/>
      <w:pStyle w:val="ListNumber2"/>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6" w15:restartNumberingAfterBreak="0">
    <w:nsid w:val="5AF97EA1"/>
    <w:multiLevelType w:val="multilevel"/>
    <w:tmpl w:val="FFFFFFFF"/>
    <w:lvl w:ilvl="0">
      <w:start w:val="1"/>
      <w:numFmt w:val="decimal"/>
      <w:pStyle w:val="ListBullet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7" w15:restartNumberingAfterBreak="0">
    <w:nsid w:val="66D18D33"/>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8" w15:restartNumberingAfterBreak="0">
    <w:nsid w:val="6CCA543E"/>
    <w:multiLevelType w:val="hybridMultilevel"/>
    <w:tmpl w:val="16D2C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28B23A"/>
    <w:multiLevelType w:val="multilevel"/>
    <w:tmpl w:val="FFFFFFFF"/>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0" w15:restartNumberingAfterBreak="0">
    <w:nsid w:val="72777D6C"/>
    <w:multiLevelType w:val="hybridMultilevel"/>
    <w:tmpl w:val="C9A42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71BA5C4"/>
    <w:multiLevelType w:val="multilevel"/>
    <w:tmpl w:val="FFFFFFFF"/>
    <w:lvl w:ilvl="0">
      <w:start w:val="1"/>
      <w:numFmt w:val="decimal"/>
      <w:pStyle w:val="ListBullet4"/>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2" w15:restartNumberingAfterBreak="0">
    <w:nsid w:val="7A467A8B"/>
    <w:multiLevelType w:val="multilevel"/>
    <w:tmpl w:val="FFFFFFFF"/>
    <w:lvl w:ilvl="0">
      <w:start w:val="1"/>
      <w:numFmt w:val="decimal"/>
      <w:pStyle w:val="ListNumber4"/>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1936817641">
    <w:abstractNumId w:val="8"/>
  </w:num>
  <w:num w:numId="2" w16cid:durableId="1146514032">
    <w:abstractNumId w:val="6"/>
  </w:num>
  <w:num w:numId="3" w16cid:durableId="603000454">
    <w:abstractNumId w:val="5"/>
  </w:num>
  <w:num w:numId="4" w16cid:durableId="2066945780">
    <w:abstractNumId w:val="4"/>
  </w:num>
  <w:num w:numId="5" w16cid:durableId="1641035656">
    <w:abstractNumId w:val="7"/>
  </w:num>
  <w:num w:numId="6" w16cid:durableId="787889595">
    <w:abstractNumId w:val="3"/>
  </w:num>
  <w:num w:numId="7" w16cid:durableId="1648893870">
    <w:abstractNumId w:val="2"/>
  </w:num>
  <w:num w:numId="8" w16cid:durableId="767196920">
    <w:abstractNumId w:val="1"/>
  </w:num>
  <w:num w:numId="9" w16cid:durableId="1631747928">
    <w:abstractNumId w:val="0"/>
  </w:num>
  <w:num w:numId="10" w16cid:durableId="1667054783">
    <w:abstractNumId w:val="10"/>
  </w:num>
  <w:num w:numId="11" w16cid:durableId="1539007312">
    <w:abstractNumId w:val="17"/>
  </w:num>
  <w:num w:numId="12" w16cid:durableId="571700245">
    <w:abstractNumId w:val="12"/>
  </w:num>
  <w:num w:numId="13" w16cid:durableId="1697806066">
    <w:abstractNumId w:val="21"/>
  </w:num>
  <w:num w:numId="14" w16cid:durableId="1444880586">
    <w:abstractNumId w:val="16"/>
  </w:num>
  <w:num w:numId="15" w16cid:durableId="364210094">
    <w:abstractNumId w:val="14"/>
  </w:num>
  <w:num w:numId="16" w16cid:durableId="1881236619">
    <w:abstractNumId w:val="15"/>
  </w:num>
  <w:num w:numId="17" w16cid:durableId="909390280">
    <w:abstractNumId w:val="11"/>
  </w:num>
  <w:num w:numId="18" w16cid:durableId="701323312">
    <w:abstractNumId w:val="22"/>
  </w:num>
  <w:num w:numId="19" w16cid:durableId="859318637">
    <w:abstractNumId w:val="19"/>
  </w:num>
  <w:num w:numId="20" w16cid:durableId="1605922379">
    <w:abstractNumId w:val="20"/>
  </w:num>
  <w:num w:numId="21" w16cid:durableId="1611085257">
    <w:abstractNumId w:val="9"/>
  </w:num>
  <w:num w:numId="22" w16cid:durableId="1587493590">
    <w:abstractNumId w:val="18"/>
  </w:num>
  <w:num w:numId="23" w16cid:durableId="19107979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B41"/>
    <w:rsid w:val="0002450E"/>
    <w:rsid w:val="00034616"/>
    <w:rsid w:val="0006063C"/>
    <w:rsid w:val="00072312"/>
    <w:rsid w:val="0009057A"/>
    <w:rsid w:val="00095997"/>
    <w:rsid w:val="000B777F"/>
    <w:rsid w:val="000C4C87"/>
    <w:rsid w:val="00110A2C"/>
    <w:rsid w:val="0011412C"/>
    <w:rsid w:val="0015074B"/>
    <w:rsid w:val="0016048D"/>
    <w:rsid w:val="001846E6"/>
    <w:rsid w:val="001E4890"/>
    <w:rsid w:val="002018BF"/>
    <w:rsid w:val="00213E1C"/>
    <w:rsid w:val="00224D11"/>
    <w:rsid w:val="0027662B"/>
    <w:rsid w:val="0029639D"/>
    <w:rsid w:val="00326F90"/>
    <w:rsid w:val="003B2983"/>
    <w:rsid w:val="003C13AA"/>
    <w:rsid w:val="00402D44"/>
    <w:rsid w:val="00404B97"/>
    <w:rsid w:val="004153CB"/>
    <w:rsid w:val="00416116"/>
    <w:rsid w:val="004523CA"/>
    <w:rsid w:val="00453A5C"/>
    <w:rsid w:val="0048600F"/>
    <w:rsid w:val="004A5DA1"/>
    <w:rsid w:val="004C451D"/>
    <w:rsid w:val="004D22BD"/>
    <w:rsid w:val="004E4218"/>
    <w:rsid w:val="00542143"/>
    <w:rsid w:val="005479E4"/>
    <w:rsid w:val="0055600B"/>
    <w:rsid w:val="00572AF6"/>
    <w:rsid w:val="00595A9B"/>
    <w:rsid w:val="005B5A19"/>
    <w:rsid w:val="005D51C9"/>
    <w:rsid w:val="005F0B40"/>
    <w:rsid w:val="005F0BA0"/>
    <w:rsid w:val="00635CF9"/>
    <w:rsid w:val="00641813"/>
    <w:rsid w:val="00670369"/>
    <w:rsid w:val="006927C3"/>
    <w:rsid w:val="006963AE"/>
    <w:rsid w:val="006A7AE2"/>
    <w:rsid w:val="006E3A48"/>
    <w:rsid w:val="00700E54"/>
    <w:rsid w:val="00726614"/>
    <w:rsid w:val="00730D21"/>
    <w:rsid w:val="0077275B"/>
    <w:rsid w:val="0078458D"/>
    <w:rsid w:val="007D0FFB"/>
    <w:rsid w:val="007D37D6"/>
    <w:rsid w:val="007F2125"/>
    <w:rsid w:val="008202EF"/>
    <w:rsid w:val="00834123"/>
    <w:rsid w:val="0083744E"/>
    <w:rsid w:val="00845443"/>
    <w:rsid w:val="0087622D"/>
    <w:rsid w:val="008807C1"/>
    <w:rsid w:val="008873CE"/>
    <w:rsid w:val="0089560E"/>
    <w:rsid w:val="008A5FB3"/>
    <w:rsid w:val="008B4426"/>
    <w:rsid w:val="008C4757"/>
    <w:rsid w:val="009263C3"/>
    <w:rsid w:val="00930E77"/>
    <w:rsid w:val="00936145"/>
    <w:rsid w:val="00980E2B"/>
    <w:rsid w:val="00984AA7"/>
    <w:rsid w:val="009B6438"/>
    <w:rsid w:val="00A2791C"/>
    <w:rsid w:val="00A71ACA"/>
    <w:rsid w:val="00A90225"/>
    <w:rsid w:val="00A9384D"/>
    <w:rsid w:val="00A94DB3"/>
    <w:rsid w:val="00A96920"/>
    <w:rsid w:val="00AA1D8D"/>
    <w:rsid w:val="00AA621F"/>
    <w:rsid w:val="00AC528E"/>
    <w:rsid w:val="00AD2260"/>
    <w:rsid w:val="00AE7910"/>
    <w:rsid w:val="00B130EC"/>
    <w:rsid w:val="00B160E4"/>
    <w:rsid w:val="00B24CD2"/>
    <w:rsid w:val="00B25A1E"/>
    <w:rsid w:val="00B3057A"/>
    <w:rsid w:val="00B322E1"/>
    <w:rsid w:val="00B47730"/>
    <w:rsid w:val="00B76538"/>
    <w:rsid w:val="00B85336"/>
    <w:rsid w:val="00B85793"/>
    <w:rsid w:val="00BB463F"/>
    <w:rsid w:val="00BB51D5"/>
    <w:rsid w:val="00BC230C"/>
    <w:rsid w:val="00C02129"/>
    <w:rsid w:val="00C21B42"/>
    <w:rsid w:val="00C45BEF"/>
    <w:rsid w:val="00C644A3"/>
    <w:rsid w:val="00C83B81"/>
    <w:rsid w:val="00CB0664"/>
    <w:rsid w:val="00CC20C1"/>
    <w:rsid w:val="00CD69A5"/>
    <w:rsid w:val="00D011AD"/>
    <w:rsid w:val="00D16FBE"/>
    <w:rsid w:val="00D556FD"/>
    <w:rsid w:val="00D674D2"/>
    <w:rsid w:val="00D767F5"/>
    <w:rsid w:val="00D81B18"/>
    <w:rsid w:val="00D8607D"/>
    <w:rsid w:val="00D8738A"/>
    <w:rsid w:val="00DB2018"/>
    <w:rsid w:val="00DC33A8"/>
    <w:rsid w:val="00DC7AA0"/>
    <w:rsid w:val="00DD3E1F"/>
    <w:rsid w:val="00E17983"/>
    <w:rsid w:val="00E51955"/>
    <w:rsid w:val="00EA4186"/>
    <w:rsid w:val="00EA456B"/>
    <w:rsid w:val="00EB2BC9"/>
    <w:rsid w:val="00EC294F"/>
    <w:rsid w:val="00F44C3C"/>
    <w:rsid w:val="00F6417C"/>
    <w:rsid w:val="00F80461"/>
    <w:rsid w:val="00F87DBE"/>
    <w:rsid w:val="00FC693F"/>
    <w:rsid w:val="00FD1ED0"/>
    <w:rsid w:val="00FD3823"/>
    <w:rsid w:val="00FE5B11"/>
    <w:rsid w:val="00FF00E6"/>
    <w:rsid w:val="70E7E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8044F0A-9449-498D-8FB1-7AB4FD4A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rsid w:val="005A4DFD"/>
    <w:pPr>
      <w:spacing w:before="200" w:after="200" w:line="300" w:lineRule="atLeast"/>
    </w:pPr>
    <w:rPr>
      <w:sz w:val="20"/>
      <w:szCs w:val="20"/>
    </w:rPr>
  </w:style>
  <w:style w:type="paragraph" w:styleId="Heading1">
    <w:name w:val="heading 1"/>
    <w:aliases w:val="Heading level 1"/>
    <w:basedOn w:val="Normal"/>
    <w:next w:val="Normal"/>
    <w:link w:val="Heading1Char"/>
    <w:uiPriority w:val="9"/>
    <w:rsid w:val="00C2786B"/>
    <w:pPr>
      <w:spacing w:after="480"/>
      <w:outlineLvl w:val="0"/>
    </w:pPr>
    <w:rPr>
      <w:color w:val="00694B" w:themeColor="accent3"/>
      <w:sz w:val="48"/>
      <w:szCs w:val="48"/>
    </w:rPr>
  </w:style>
  <w:style w:type="paragraph" w:styleId="Heading2">
    <w:name w:val="heading 2"/>
    <w:aliases w:val="Heading level 3"/>
    <w:basedOn w:val="Normal"/>
    <w:next w:val="Normal"/>
    <w:link w:val="Heading2Char"/>
    <w:uiPriority w:val="9"/>
    <w:unhideWhenUsed/>
    <w:rsid w:val="00FF0DEC"/>
    <w:pPr>
      <w:spacing w:before="360" w:after="240"/>
      <w:outlineLvl w:val="1"/>
    </w:pPr>
    <w:rPr>
      <w:rFonts w:ascii="Verdana" w:hAnsi="Verdana"/>
      <w:b/>
      <w:bCs/>
      <w:color w:val="00694B" w:themeColor="accent3"/>
      <w:szCs w:val="22"/>
    </w:rPr>
  </w:style>
  <w:style w:type="paragraph" w:styleId="Heading3">
    <w:name w:val="heading 3"/>
    <w:basedOn w:val="Normal"/>
    <w:next w:val="Normal"/>
    <w:link w:val="Heading3Char"/>
    <w:uiPriority w:val="9"/>
    <w:unhideWhenUsed/>
    <w:rsid w:val="003D5558"/>
    <w:pPr>
      <w:keepNext/>
      <w:keepLines/>
      <w:spacing w:before="40" w:after="0"/>
      <w:outlineLvl w:val="2"/>
    </w:pPr>
    <w:rPr>
      <w:rFonts w:asciiTheme="majorHAnsi" w:eastAsiaTheme="majorEastAsia" w:hAnsiTheme="majorHAnsi" w:cstheme="majorBidi"/>
      <w:color w:val="0B1F19" w:themeColor="accent1" w:themeShade="7F"/>
      <w:sz w:val="24"/>
      <w:szCs w:val="24"/>
    </w:rPr>
  </w:style>
  <w:style w:type="paragraph" w:styleId="Heading4">
    <w:name w:val="heading 4"/>
    <w:basedOn w:val="Normal"/>
    <w:next w:val="Normal"/>
    <w:link w:val="Heading4Char"/>
    <w:uiPriority w:val="9"/>
    <w:semiHidden/>
    <w:unhideWhenUsed/>
    <w:rsid w:val="00921460"/>
    <w:pPr>
      <w:keepNext/>
      <w:keepLines/>
      <w:spacing w:before="40" w:after="0"/>
      <w:outlineLvl w:val="3"/>
    </w:pPr>
    <w:rPr>
      <w:rFonts w:asciiTheme="majorHAnsi" w:eastAsiaTheme="majorEastAsia" w:hAnsiTheme="majorHAnsi" w:cstheme="majorBidi"/>
      <w:i/>
      <w:iCs/>
      <w:color w:val="112F26" w:themeColor="accent1" w:themeShade="BF"/>
    </w:rPr>
  </w:style>
  <w:style w:type="paragraph" w:styleId="Heading5">
    <w:name w:val="heading 5"/>
    <w:basedOn w:val="Normal"/>
    <w:next w:val="Normal"/>
    <w:link w:val="Heading5Char"/>
    <w:uiPriority w:val="9"/>
    <w:semiHidden/>
    <w:unhideWhenUsed/>
    <w:qFormat/>
    <w:rsid w:val="004D1BBB"/>
    <w:pPr>
      <w:keepNext/>
      <w:keepLines/>
      <w:spacing w:before="40" w:after="0"/>
      <w:outlineLvl w:val="4"/>
    </w:pPr>
    <w:rPr>
      <w:rFonts w:asciiTheme="majorHAnsi" w:eastAsiaTheme="majorEastAsia" w:hAnsiTheme="majorHAnsi" w:cstheme="majorBidi"/>
      <w:color w:val="112F26" w:themeColor="accent1" w:themeShade="BF"/>
    </w:rPr>
  </w:style>
  <w:style w:type="paragraph" w:styleId="Heading6">
    <w:name w:val="heading 6"/>
    <w:basedOn w:val="Normal"/>
    <w:next w:val="Normal"/>
    <w:link w:val="Heading6Char"/>
    <w:uiPriority w:val="9"/>
    <w:semiHidden/>
    <w:unhideWhenUsed/>
    <w:qFormat/>
    <w:rsid w:val="004D1BBB"/>
    <w:pPr>
      <w:keepNext/>
      <w:keepLines/>
      <w:spacing w:before="40" w:after="0"/>
      <w:outlineLvl w:val="5"/>
    </w:pPr>
    <w:rPr>
      <w:rFonts w:asciiTheme="majorHAnsi" w:eastAsiaTheme="majorEastAsia" w:hAnsiTheme="majorHAnsi" w:cstheme="majorBidi"/>
      <w:color w:val="0B1F19" w:themeColor="accent1" w:themeShade="7F"/>
    </w:rPr>
  </w:style>
  <w:style w:type="paragraph" w:styleId="Heading7">
    <w:name w:val="heading 7"/>
    <w:basedOn w:val="Normal"/>
    <w:next w:val="Normal"/>
    <w:link w:val="Heading7Char"/>
    <w:uiPriority w:val="9"/>
    <w:semiHidden/>
    <w:unhideWhenUsed/>
    <w:qFormat/>
    <w:rsid w:val="004D1BBB"/>
    <w:pPr>
      <w:keepNext/>
      <w:keepLines/>
      <w:spacing w:before="40" w:after="0"/>
      <w:outlineLvl w:val="6"/>
    </w:pPr>
    <w:rPr>
      <w:rFonts w:asciiTheme="majorHAnsi" w:eastAsiaTheme="majorEastAsia" w:hAnsiTheme="majorHAnsi" w:cstheme="majorBidi"/>
      <w:i/>
      <w:iCs/>
      <w:color w:val="0B1F19" w:themeColor="accent1" w:themeShade="7F"/>
    </w:rPr>
  </w:style>
  <w:style w:type="paragraph" w:styleId="Heading8">
    <w:name w:val="heading 8"/>
    <w:basedOn w:val="Normal"/>
    <w:next w:val="Normal"/>
    <w:link w:val="Heading8Char"/>
    <w:uiPriority w:val="9"/>
    <w:semiHidden/>
    <w:unhideWhenUsed/>
    <w:qFormat/>
    <w:rsid w:val="004D1BB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1BB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3C3B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42487"/>
    <w:rPr>
      <w:rFonts w:eastAsiaTheme="minorEastAsia"/>
      <w:lang w:val="en-US"/>
    </w:rPr>
  </w:style>
  <w:style w:type="paragraph" w:styleId="Header">
    <w:name w:val="header"/>
    <w:basedOn w:val="Normal"/>
    <w:link w:val="HeaderChar"/>
    <w:uiPriority w:val="99"/>
    <w:unhideWhenUsed/>
    <w:rsid w:val="003C3B0A"/>
    <w:pPr>
      <w:tabs>
        <w:tab w:val="center" w:pos="4513"/>
        <w:tab w:val="right" w:pos="9026"/>
      </w:tabs>
      <w:spacing w:after="0"/>
    </w:pPr>
  </w:style>
  <w:style w:type="character" w:customStyle="1" w:styleId="HeaderChar">
    <w:name w:val="Header Char"/>
    <w:basedOn w:val="DefaultParagraphFont"/>
    <w:link w:val="Header"/>
    <w:uiPriority w:val="99"/>
    <w:rsid w:val="003C3B0A"/>
  </w:style>
  <w:style w:type="paragraph" w:styleId="Footer">
    <w:name w:val="footer"/>
    <w:basedOn w:val="Normal"/>
    <w:link w:val="FooterChar"/>
    <w:uiPriority w:val="99"/>
    <w:unhideWhenUsed/>
    <w:rsid w:val="006660E3"/>
    <w:pPr>
      <w:tabs>
        <w:tab w:val="right" w:pos="10546"/>
      </w:tabs>
    </w:pPr>
    <w:rPr>
      <w:color w:val="00694B" w:themeColor="accent3"/>
      <w:sz w:val="16"/>
    </w:rPr>
  </w:style>
  <w:style w:type="character" w:customStyle="1" w:styleId="FooterChar">
    <w:name w:val="Footer Char"/>
    <w:basedOn w:val="DefaultParagraphFont"/>
    <w:link w:val="Footer"/>
    <w:uiPriority w:val="99"/>
    <w:rsid w:val="006660E3"/>
    <w:rPr>
      <w:rFonts w:ascii="Verdana" w:hAnsi="Verdana"/>
      <w:color w:val="00694B" w:themeColor="accent3"/>
      <w:sz w:val="16"/>
      <w:szCs w:val="20"/>
    </w:rPr>
  </w:style>
  <w:style w:type="character" w:customStyle="1" w:styleId="Heading1Char">
    <w:name w:val="Heading 1 Char"/>
    <w:aliases w:val="Heading level 1 Char"/>
    <w:basedOn w:val="DefaultParagraphFont"/>
    <w:link w:val="Heading1"/>
    <w:uiPriority w:val="9"/>
    <w:rsid w:val="00C2786B"/>
    <w:rPr>
      <w:color w:val="00694B" w:themeColor="accent3"/>
      <w:sz w:val="48"/>
      <w:szCs w:val="48"/>
    </w:rPr>
  </w:style>
  <w:style w:type="character" w:styleId="Strong">
    <w:name w:val="Strong"/>
    <w:aliases w:val="IntroCopy"/>
    <w:uiPriority w:val="22"/>
    <w:rsid w:val="00571BDC"/>
    <w:rPr>
      <w:color w:val="173F34" w:themeColor="accent1"/>
      <w:sz w:val="32"/>
      <w:szCs w:val="32"/>
      <w:lang w:val="pt-PT"/>
    </w:rPr>
  </w:style>
  <w:style w:type="paragraph" w:styleId="Title">
    <w:name w:val="Title"/>
    <w:aliases w:val="Heading level 2"/>
    <w:basedOn w:val="Normal"/>
    <w:next w:val="Normal"/>
    <w:link w:val="TitleChar"/>
    <w:uiPriority w:val="10"/>
    <w:rsid w:val="00C2786B"/>
    <w:pPr>
      <w:spacing w:before="480" w:after="360" w:line="420" w:lineRule="exact"/>
    </w:pPr>
    <w:rPr>
      <w:color w:val="00694B" w:themeColor="accent3"/>
      <w:sz w:val="32"/>
      <w:szCs w:val="32"/>
    </w:rPr>
  </w:style>
  <w:style w:type="character" w:customStyle="1" w:styleId="TitleChar">
    <w:name w:val="Title Char"/>
    <w:aliases w:val="Heading level 2 Char"/>
    <w:basedOn w:val="DefaultParagraphFont"/>
    <w:link w:val="Title"/>
    <w:uiPriority w:val="10"/>
    <w:rsid w:val="00C2786B"/>
    <w:rPr>
      <w:color w:val="00694B" w:themeColor="accent3"/>
      <w:sz w:val="32"/>
      <w:szCs w:val="32"/>
    </w:rPr>
  </w:style>
  <w:style w:type="character" w:customStyle="1" w:styleId="Heading2Char">
    <w:name w:val="Heading 2 Char"/>
    <w:aliases w:val="Heading level 3 Char"/>
    <w:basedOn w:val="DefaultParagraphFont"/>
    <w:link w:val="Heading2"/>
    <w:uiPriority w:val="9"/>
    <w:rsid w:val="00FF0DEC"/>
    <w:rPr>
      <w:rFonts w:ascii="Verdana" w:hAnsi="Verdana"/>
      <w:b/>
      <w:bCs/>
      <w:color w:val="00694B" w:themeColor="accent3"/>
      <w:sz w:val="20"/>
    </w:rPr>
  </w:style>
  <w:style w:type="paragraph" w:styleId="ListParagraph">
    <w:name w:val="List Paragraph"/>
    <w:basedOn w:val="Normal"/>
    <w:link w:val="ListParagraphChar"/>
    <w:uiPriority w:val="34"/>
    <w:rsid w:val="00460A41"/>
    <w:pPr>
      <w:ind w:left="720"/>
      <w:contextualSpacing/>
    </w:pPr>
  </w:style>
  <w:style w:type="paragraph" w:customStyle="1" w:styleId="BulletList">
    <w:name w:val="BulletList"/>
    <w:basedOn w:val="Normal"/>
    <w:link w:val="BulletListChar"/>
    <w:rsid w:val="00FF2647"/>
    <w:pPr>
      <w:numPr>
        <w:numId w:val="1"/>
      </w:numPr>
      <w:spacing w:before="0" w:after="120" w:line="300" w:lineRule="exact"/>
      <w:ind w:left="357" w:right="-85" w:hanging="357"/>
    </w:pPr>
    <w:rPr>
      <w:lang w:val="pt-PT"/>
    </w:rPr>
  </w:style>
  <w:style w:type="paragraph" w:customStyle="1" w:styleId="NumberedList">
    <w:name w:val="NumberedList"/>
    <w:basedOn w:val="ListParagraph"/>
    <w:link w:val="NumberedListChar"/>
    <w:rsid w:val="00F74A81"/>
    <w:pPr>
      <w:numPr>
        <w:numId w:val="2"/>
      </w:numPr>
      <w:spacing w:before="0"/>
      <w:ind w:left="284" w:hanging="284"/>
      <w:contextualSpacing w:val="0"/>
    </w:pPr>
  </w:style>
  <w:style w:type="paragraph" w:styleId="Quote">
    <w:name w:val="Quote"/>
    <w:aliases w:val="LargeQuote"/>
    <w:basedOn w:val="Normal"/>
    <w:next w:val="Normal"/>
    <w:link w:val="QuoteChar"/>
    <w:uiPriority w:val="29"/>
    <w:qFormat/>
    <w:rsid w:val="00E1062A"/>
    <w:rPr>
      <w:rFonts w:cs="Times New Roman (Body CS)"/>
      <w:color w:val="00694B" w:themeColor="accent3"/>
      <w:sz w:val="28"/>
      <w:szCs w:val="28"/>
    </w:rPr>
  </w:style>
  <w:style w:type="character" w:customStyle="1" w:styleId="QuoteChar">
    <w:name w:val="Quote Char"/>
    <w:aliases w:val="LargeQuote Char"/>
    <w:basedOn w:val="DefaultParagraphFont"/>
    <w:link w:val="Quote"/>
    <w:uiPriority w:val="29"/>
    <w:rsid w:val="00E1062A"/>
    <w:rPr>
      <w:rFonts w:ascii="Verdana" w:hAnsi="Verdana" w:cs="Times New Roman (Body CS)"/>
      <w:color w:val="00694B" w:themeColor="accent3"/>
      <w:sz w:val="28"/>
      <w:szCs w:val="28"/>
    </w:rPr>
  </w:style>
  <w:style w:type="paragraph" w:customStyle="1" w:styleId="QuoteSource">
    <w:name w:val="QuoteSource"/>
    <w:basedOn w:val="Normal"/>
    <w:qFormat/>
    <w:rsid w:val="000F6044"/>
    <w:pPr>
      <w:spacing w:before="40" w:after="40" w:line="240" w:lineRule="auto"/>
    </w:pPr>
    <w:rPr>
      <w:sz w:val="18"/>
      <w:szCs w:val="16"/>
    </w:rPr>
  </w:style>
  <w:style w:type="table" w:styleId="TableGrid">
    <w:name w:val="Table Grid"/>
    <w:basedOn w:val="TableNormal"/>
    <w:uiPriority w:val="39"/>
    <w:rsid w:val="00321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Quote">
    <w:name w:val="SmallQuote"/>
    <w:basedOn w:val="QuoteSource"/>
    <w:qFormat/>
    <w:rsid w:val="00C926FE"/>
    <w:pPr>
      <w:spacing w:after="240" w:line="320" w:lineRule="atLeast"/>
    </w:pPr>
    <w:rPr>
      <w:bCs/>
      <w:color w:val="00694B" w:themeColor="accent3"/>
      <w:sz w:val="24"/>
      <w:szCs w:val="22"/>
    </w:rPr>
  </w:style>
  <w:style w:type="paragraph" w:customStyle="1" w:styleId="LargeBox">
    <w:name w:val="LargeBox"/>
    <w:basedOn w:val="Normal"/>
    <w:rsid w:val="00DB21A7"/>
    <w:pPr>
      <w:framePr w:w="10206" w:hSpace="284" w:vSpace="284" w:wrap="around" w:vAnchor="text" w:hAnchor="text" w:y="1"/>
      <w:shd w:val="clear" w:color="auto" w:fill="173F34" w:themeFill="accent1"/>
      <w:spacing w:before="240"/>
      <w:ind w:left="284" w:hanging="284"/>
    </w:pPr>
    <w:rPr>
      <w:color w:val="FFFFFF" w:themeColor="background1"/>
      <w:sz w:val="28"/>
    </w:rPr>
  </w:style>
  <w:style w:type="paragraph" w:customStyle="1" w:styleId="SmallBox">
    <w:name w:val="SmallBox"/>
    <w:basedOn w:val="LargeBox"/>
    <w:rsid w:val="00147D40"/>
    <w:pPr>
      <w:framePr w:w="5103" w:wrap="around"/>
      <w:shd w:val="clear" w:color="auto" w:fill="CEB888" w:themeFill="accent4"/>
    </w:pPr>
    <w:rPr>
      <w:b/>
      <w:sz w:val="22"/>
    </w:rPr>
  </w:style>
  <w:style w:type="paragraph" w:customStyle="1" w:styleId="IntroCopy">
    <w:name w:val="Intro Copy"/>
    <w:basedOn w:val="Normal"/>
    <w:link w:val="IntroCopyChar"/>
    <w:qFormat/>
    <w:rsid w:val="00E1062A"/>
    <w:pPr>
      <w:spacing w:after="560" w:line="420" w:lineRule="exact"/>
    </w:pPr>
    <w:rPr>
      <w:color w:val="173F34" w:themeColor="accent1"/>
      <w:sz w:val="32"/>
      <w:szCs w:val="32"/>
    </w:rPr>
  </w:style>
  <w:style w:type="character" w:customStyle="1" w:styleId="IntroCopyChar">
    <w:name w:val="Intro Copy Char"/>
    <w:basedOn w:val="DefaultParagraphFont"/>
    <w:link w:val="IntroCopy"/>
    <w:rsid w:val="00E1062A"/>
    <w:rPr>
      <w:rFonts w:ascii="Verdana" w:hAnsi="Verdana"/>
      <w:color w:val="173F34" w:themeColor="accent1"/>
      <w:sz w:val="32"/>
      <w:szCs w:val="32"/>
    </w:rPr>
  </w:style>
  <w:style w:type="paragraph" w:customStyle="1" w:styleId="CoverPageHeader">
    <w:name w:val="CoverPage Header"/>
    <w:basedOn w:val="Title"/>
    <w:link w:val="CoverPageHeaderChar"/>
    <w:rsid w:val="00C2786B"/>
    <w:pPr>
      <w:spacing w:after="480" w:line="240" w:lineRule="auto"/>
      <w:jc w:val="center"/>
    </w:pPr>
    <w:rPr>
      <w:rFonts w:ascii="Verdana" w:hAnsi="Verdana"/>
      <w:bCs/>
      <w:color w:val="FFFFFF" w:themeColor="background1"/>
      <w:sz w:val="72"/>
      <w:szCs w:val="72"/>
      <w:lang w:val="en-US"/>
    </w:rPr>
  </w:style>
  <w:style w:type="paragraph" w:customStyle="1" w:styleId="CoverPageSubtitle">
    <w:name w:val="CoverPage Subtitle"/>
    <w:basedOn w:val="Subtitle"/>
    <w:link w:val="CoverPageSubtitleChar"/>
    <w:rsid w:val="005902B8"/>
  </w:style>
  <w:style w:type="paragraph" w:styleId="Date">
    <w:name w:val="Date"/>
    <w:basedOn w:val="Normal"/>
    <w:next w:val="Normal"/>
    <w:link w:val="DateChar"/>
    <w:uiPriority w:val="99"/>
    <w:unhideWhenUsed/>
    <w:rsid w:val="00EB71CC"/>
    <w:pPr>
      <w:jc w:val="center"/>
    </w:pPr>
    <w:rPr>
      <w:color w:val="FFFFFF" w:themeColor="background1"/>
    </w:rPr>
  </w:style>
  <w:style w:type="character" w:customStyle="1" w:styleId="DateChar">
    <w:name w:val="Date Char"/>
    <w:basedOn w:val="DefaultParagraphFont"/>
    <w:link w:val="Date"/>
    <w:uiPriority w:val="99"/>
    <w:rsid w:val="00EB71CC"/>
    <w:rPr>
      <w:rFonts w:ascii="Verdana" w:hAnsi="Verdana"/>
      <w:color w:val="FFFFFF" w:themeColor="background1"/>
      <w:sz w:val="20"/>
      <w:szCs w:val="20"/>
    </w:rPr>
  </w:style>
  <w:style w:type="paragraph" w:styleId="Subtitle">
    <w:name w:val="Subtitle"/>
    <w:basedOn w:val="Normal"/>
    <w:next w:val="Normal"/>
    <w:link w:val="SubtitleChar"/>
    <w:uiPriority w:val="11"/>
    <w:rsid w:val="005902B8"/>
    <w:pPr>
      <w:spacing w:before="0" w:after="60" w:line="252" w:lineRule="auto"/>
      <w:ind w:right="55"/>
      <w:jc w:val="center"/>
    </w:pPr>
    <w:rPr>
      <w:rFonts w:eastAsiaTheme="minorEastAsia"/>
      <w:color w:val="FFFFFF" w:themeColor="background1"/>
      <w:sz w:val="40"/>
      <w:szCs w:val="40"/>
      <w:lang w:eastAsia="zh-CN"/>
    </w:rPr>
  </w:style>
  <w:style w:type="character" w:customStyle="1" w:styleId="SubtitleChar">
    <w:name w:val="Subtitle Char"/>
    <w:basedOn w:val="DefaultParagraphFont"/>
    <w:link w:val="Subtitle"/>
    <w:uiPriority w:val="11"/>
    <w:rsid w:val="005902B8"/>
    <w:rPr>
      <w:rFonts w:eastAsiaTheme="minorEastAsia"/>
      <w:color w:val="FFFFFF" w:themeColor="background1"/>
      <w:sz w:val="40"/>
      <w:szCs w:val="40"/>
      <w:lang w:eastAsia="zh-CN"/>
    </w:rPr>
  </w:style>
  <w:style w:type="paragraph" w:customStyle="1" w:styleId="TableText">
    <w:name w:val="Table Text"/>
    <w:basedOn w:val="Normal"/>
    <w:uiPriority w:val="4"/>
    <w:rsid w:val="003D2DB3"/>
    <w:pPr>
      <w:spacing w:before="40" w:after="60" w:line="240" w:lineRule="atLeast"/>
      <w:jc w:val="both"/>
    </w:pPr>
    <w:rPr>
      <w:rFonts w:ascii="Arial" w:eastAsia="Times New Roman" w:hAnsi="Arial" w:cs="Times New Roman"/>
      <w:lang w:eastAsia="en-AU"/>
    </w:rPr>
  </w:style>
  <w:style w:type="character" w:customStyle="1" w:styleId="Heading3Char">
    <w:name w:val="Heading 3 Char"/>
    <w:basedOn w:val="DefaultParagraphFont"/>
    <w:link w:val="Heading3"/>
    <w:uiPriority w:val="9"/>
    <w:rsid w:val="003D5558"/>
    <w:rPr>
      <w:rFonts w:asciiTheme="majorHAnsi" w:eastAsiaTheme="majorEastAsia" w:hAnsiTheme="majorHAnsi" w:cstheme="majorBidi"/>
      <w:color w:val="0B1F19" w:themeColor="accent1" w:themeShade="7F"/>
      <w:sz w:val="24"/>
      <w:szCs w:val="24"/>
    </w:rPr>
  </w:style>
  <w:style w:type="paragraph" w:styleId="ListBullet">
    <w:name w:val="List Bullet"/>
    <w:basedOn w:val="Normal"/>
    <w:uiPriority w:val="99"/>
    <w:unhideWhenUsed/>
    <w:rsid w:val="0018174D"/>
    <w:pPr>
      <w:numPr>
        <w:numId w:val="10"/>
      </w:numPr>
      <w:snapToGrid w:val="0"/>
      <w:spacing w:before="0" w:after="40" w:line="252" w:lineRule="auto"/>
      <w:jc w:val="both"/>
    </w:pPr>
    <w:rPr>
      <w:rFonts w:eastAsiaTheme="minorEastAsia"/>
      <w:lang w:eastAsia="zh-CN"/>
    </w:rPr>
  </w:style>
  <w:style w:type="paragraph" w:styleId="ListBullet2">
    <w:name w:val="List Bullet 2"/>
    <w:basedOn w:val="Normal"/>
    <w:uiPriority w:val="99"/>
    <w:unhideWhenUsed/>
    <w:rsid w:val="0018174D"/>
    <w:pPr>
      <w:numPr>
        <w:ilvl w:val="1"/>
        <w:numId w:val="10"/>
      </w:numPr>
      <w:snapToGrid w:val="0"/>
      <w:spacing w:before="0" w:after="40" w:line="252" w:lineRule="auto"/>
      <w:jc w:val="both"/>
    </w:pPr>
    <w:rPr>
      <w:rFonts w:eastAsiaTheme="minorEastAsia"/>
      <w:lang w:eastAsia="zh-CN"/>
    </w:rPr>
  </w:style>
  <w:style w:type="paragraph" w:styleId="ListBullet3">
    <w:name w:val="List Bullet 3"/>
    <w:basedOn w:val="Normal"/>
    <w:uiPriority w:val="99"/>
    <w:unhideWhenUsed/>
    <w:rsid w:val="0018174D"/>
    <w:pPr>
      <w:numPr>
        <w:ilvl w:val="2"/>
        <w:numId w:val="10"/>
      </w:numPr>
      <w:snapToGrid w:val="0"/>
      <w:spacing w:before="0" w:after="40" w:line="252" w:lineRule="auto"/>
      <w:jc w:val="both"/>
    </w:pPr>
    <w:rPr>
      <w:rFonts w:eastAsiaTheme="minorEastAsia"/>
      <w:lang w:eastAsia="zh-CN"/>
    </w:rPr>
  </w:style>
  <w:style w:type="character" w:styleId="Hyperlink">
    <w:name w:val="Hyperlink"/>
    <w:basedOn w:val="DefaultParagraphFont"/>
    <w:uiPriority w:val="99"/>
    <w:unhideWhenUsed/>
    <w:rsid w:val="002E5078"/>
    <w:rPr>
      <w:color w:val="0563C1" w:themeColor="hyperlink"/>
      <w:u w:val="single"/>
    </w:rPr>
  </w:style>
  <w:style w:type="character" w:customStyle="1" w:styleId="ColourText">
    <w:name w:val="Colour Text"/>
    <w:uiPriority w:val="1"/>
    <w:rsid w:val="00823558"/>
    <w:rPr>
      <w:rFonts w:ascii="Arial" w:hAnsi="Arial" w:cs="Arial" w:hint="default"/>
      <w:b/>
      <w:bCs w:val="0"/>
      <w:color w:val="00694B" w:themeColor="accent3"/>
    </w:rPr>
  </w:style>
  <w:style w:type="table" w:styleId="GridTable1Light-Accent1">
    <w:name w:val="Grid Table 1 Light Accent 1"/>
    <w:basedOn w:val="TableNormal"/>
    <w:uiPriority w:val="46"/>
    <w:rsid w:val="00560EBD"/>
    <w:pPr>
      <w:spacing w:after="0" w:line="240" w:lineRule="auto"/>
    </w:pPr>
    <w:rPr>
      <w:rFonts w:eastAsiaTheme="minorEastAsia"/>
      <w:sz w:val="20"/>
      <w:szCs w:val="20"/>
      <w:lang w:eastAsia="zh-CN"/>
    </w:rPr>
    <w:tblPr>
      <w:tblStyleRowBandSize w:val="1"/>
      <w:tblStyleColBandSize w:val="1"/>
      <w:tblBorders>
        <w:top w:val="single" w:sz="4" w:space="0" w:color="82D1BB" w:themeColor="accent1" w:themeTint="66"/>
        <w:left w:val="single" w:sz="4" w:space="0" w:color="82D1BB" w:themeColor="accent1" w:themeTint="66"/>
        <w:bottom w:val="single" w:sz="4" w:space="0" w:color="82D1BB" w:themeColor="accent1" w:themeTint="66"/>
        <w:right w:val="single" w:sz="4" w:space="0" w:color="82D1BB" w:themeColor="accent1" w:themeTint="66"/>
        <w:insideH w:val="single" w:sz="4" w:space="0" w:color="82D1BB" w:themeColor="accent1" w:themeTint="66"/>
        <w:insideV w:val="single" w:sz="4" w:space="0" w:color="82D1BB" w:themeColor="accent1" w:themeTint="66"/>
      </w:tblBorders>
    </w:tblPr>
    <w:tblStylePr w:type="firstRow">
      <w:rPr>
        <w:b/>
        <w:bCs/>
      </w:rPr>
      <w:tblPr/>
      <w:tcPr>
        <w:tcBorders>
          <w:bottom w:val="single" w:sz="12" w:space="0" w:color="44BB99" w:themeColor="accent1" w:themeTint="99"/>
        </w:tcBorders>
      </w:tcPr>
    </w:tblStylePr>
    <w:tblStylePr w:type="lastRow">
      <w:rPr>
        <w:b/>
        <w:bCs/>
      </w:rPr>
      <w:tblPr/>
      <w:tcPr>
        <w:tcBorders>
          <w:top w:val="double" w:sz="2" w:space="0" w:color="44BB99" w:themeColor="accent1" w:themeTint="99"/>
        </w:tcBorders>
      </w:tcPr>
    </w:tblStylePr>
    <w:tblStylePr w:type="firstCol">
      <w:rPr>
        <w:b/>
        <w:bCs/>
      </w:rPr>
    </w:tblStylePr>
    <w:tblStylePr w:type="lastCol">
      <w:rPr>
        <w:b/>
        <w:bCs/>
      </w:rPr>
    </w:tblStylePr>
  </w:style>
  <w:style w:type="paragraph" w:customStyle="1" w:styleId="SingleSpace">
    <w:name w:val="Single Space"/>
    <w:basedOn w:val="Normal"/>
    <w:rsid w:val="0018174D"/>
    <w:pPr>
      <w:spacing w:before="0" w:after="0" w:line="240" w:lineRule="auto"/>
      <w:jc w:val="both"/>
    </w:pPr>
    <w:rPr>
      <w:rFonts w:eastAsia="Times New Roman" w:cs="Times New Roman"/>
      <w:lang w:eastAsia="en-AU"/>
    </w:rPr>
  </w:style>
  <w:style w:type="paragraph" w:styleId="Revision">
    <w:name w:val="Revision"/>
    <w:hidden/>
    <w:uiPriority w:val="99"/>
    <w:semiHidden/>
    <w:rsid w:val="00FD754A"/>
    <w:pPr>
      <w:spacing w:after="0" w:line="240" w:lineRule="auto"/>
    </w:pPr>
    <w:rPr>
      <w:rFonts w:ascii="Verdana" w:hAnsi="Verdana"/>
      <w:color w:val="000000" w:themeColor="text1"/>
      <w:sz w:val="20"/>
      <w:szCs w:val="20"/>
    </w:rPr>
  </w:style>
  <w:style w:type="character" w:styleId="FollowedHyperlink">
    <w:name w:val="FollowedHyperlink"/>
    <w:basedOn w:val="DefaultParagraphFont"/>
    <w:uiPriority w:val="99"/>
    <w:semiHidden/>
    <w:unhideWhenUsed/>
    <w:rsid w:val="004152A3"/>
    <w:rPr>
      <w:color w:val="954F72" w:themeColor="followedHyperlink"/>
      <w:u w:val="single"/>
    </w:rPr>
  </w:style>
  <w:style w:type="character" w:styleId="CommentReference">
    <w:name w:val="annotation reference"/>
    <w:basedOn w:val="DefaultParagraphFont"/>
    <w:uiPriority w:val="99"/>
    <w:semiHidden/>
    <w:unhideWhenUsed/>
    <w:rsid w:val="00A41BF5"/>
    <w:rPr>
      <w:sz w:val="16"/>
      <w:szCs w:val="16"/>
    </w:rPr>
  </w:style>
  <w:style w:type="paragraph" w:styleId="CommentText">
    <w:name w:val="annotation text"/>
    <w:basedOn w:val="Normal"/>
    <w:link w:val="CommentTextChar"/>
    <w:uiPriority w:val="99"/>
    <w:unhideWhenUsed/>
    <w:rsid w:val="00A41BF5"/>
    <w:pPr>
      <w:spacing w:line="240" w:lineRule="auto"/>
    </w:pPr>
  </w:style>
  <w:style w:type="character" w:customStyle="1" w:styleId="CommentTextChar">
    <w:name w:val="Comment Text Char"/>
    <w:basedOn w:val="DefaultParagraphFont"/>
    <w:link w:val="CommentText"/>
    <w:uiPriority w:val="99"/>
    <w:rsid w:val="00A41BF5"/>
    <w:rPr>
      <w:rFonts w:ascii="Verdana" w:hAnsi="Verdana"/>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41BF5"/>
    <w:rPr>
      <w:b/>
      <w:bCs/>
    </w:rPr>
  </w:style>
  <w:style w:type="character" w:customStyle="1" w:styleId="CommentSubjectChar">
    <w:name w:val="Comment Subject Char"/>
    <w:basedOn w:val="CommentTextChar"/>
    <w:link w:val="CommentSubject"/>
    <w:uiPriority w:val="99"/>
    <w:semiHidden/>
    <w:rsid w:val="00A41BF5"/>
    <w:rPr>
      <w:rFonts w:ascii="Verdana" w:hAnsi="Verdana"/>
      <w:b/>
      <w:bCs/>
      <w:color w:val="000000" w:themeColor="text1"/>
      <w:sz w:val="20"/>
      <w:szCs w:val="20"/>
    </w:rPr>
  </w:style>
  <w:style w:type="paragraph" w:customStyle="1" w:styleId="Tableheading">
    <w:name w:val="Table heading"/>
    <w:basedOn w:val="NoSpacing"/>
    <w:rsid w:val="00C2786B"/>
    <w:pPr>
      <w:framePr w:hSpace="180" w:wrap="around" w:vAnchor="text" w:hAnchor="margin" w:y="189"/>
    </w:pPr>
    <w:rPr>
      <w:rFonts w:ascii="Verdana" w:hAnsi="Verdana"/>
      <w:b/>
      <w:sz w:val="18"/>
      <w:szCs w:val="20"/>
    </w:rPr>
  </w:style>
  <w:style w:type="paragraph" w:customStyle="1" w:styleId="TableBody">
    <w:name w:val="Table Body"/>
    <w:basedOn w:val="NoSpacing"/>
    <w:rsid w:val="00C2786B"/>
    <w:pPr>
      <w:framePr w:hSpace="180" w:wrap="around" w:vAnchor="text" w:hAnchor="margin" w:y="189"/>
      <w:spacing w:line="280" w:lineRule="atLeast"/>
    </w:pPr>
    <w:rPr>
      <w:rFonts w:ascii="Verdana" w:hAnsi="Verdana"/>
      <w:sz w:val="18"/>
      <w:szCs w:val="20"/>
    </w:rPr>
  </w:style>
  <w:style w:type="paragraph" w:customStyle="1" w:styleId="Tableheading2">
    <w:name w:val="Table heading 2"/>
    <w:basedOn w:val="NoSpacing"/>
    <w:rsid w:val="00C2786B"/>
    <w:pPr>
      <w:framePr w:hSpace="180" w:wrap="around" w:vAnchor="text" w:hAnchor="margin" w:y="189"/>
    </w:pPr>
    <w:rPr>
      <w:rFonts w:ascii="Verdana" w:hAnsi="Verdana"/>
      <w:b/>
      <w:color w:val="173F34" w:themeColor="accent1"/>
      <w:sz w:val="18"/>
      <w:szCs w:val="20"/>
    </w:rPr>
  </w:style>
  <w:style w:type="table" w:styleId="ListTable3-Accent3">
    <w:name w:val="List Table 3 Accent 3"/>
    <w:basedOn w:val="TableNormal"/>
    <w:uiPriority w:val="48"/>
    <w:rsid w:val="00346891"/>
    <w:pPr>
      <w:spacing w:after="0" w:line="240" w:lineRule="auto"/>
    </w:pPr>
    <w:rPr>
      <w:sz w:val="18"/>
    </w:rPr>
    <w:tblPr>
      <w:tblStyleRowBandSize w:val="1"/>
      <w:tblStyleColBandSize w:val="1"/>
      <w:tblBorders>
        <w:top w:val="single" w:sz="4" w:space="0" w:color="00694B" w:themeColor="accent3"/>
        <w:left w:val="single" w:sz="4" w:space="0" w:color="00694B" w:themeColor="accent3"/>
        <w:bottom w:val="single" w:sz="4" w:space="0" w:color="00694B" w:themeColor="accent3"/>
        <w:right w:val="single" w:sz="4" w:space="0" w:color="00694B" w:themeColor="accent3"/>
      </w:tblBorders>
    </w:tblPr>
    <w:tblStylePr w:type="firstRow">
      <w:rPr>
        <w:b/>
        <w:bCs/>
        <w:color w:val="FFFFFF" w:themeColor="background1"/>
      </w:rPr>
      <w:tblPr/>
      <w:tcPr>
        <w:shd w:val="clear" w:color="auto" w:fill="00694B" w:themeFill="accent3"/>
      </w:tcPr>
    </w:tblStylePr>
    <w:tblStylePr w:type="lastRow">
      <w:rPr>
        <w:b/>
        <w:bCs/>
      </w:rPr>
      <w:tblPr/>
      <w:tcPr>
        <w:tcBorders>
          <w:top w:val="double" w:sz="4" w:space="0" w:color="00694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94B" w:themeColor="accent3"/>
          <w:right w:val="single" w:sz="4" w:space="0" w:color="00694B" w:themeColor="accent3"/>
        </w:tcBorders>
      </w:tcPr>
    </w:tblStylePr>
    <w:tblStylePr w:type="band1Horz">
      <w:tblPr/>
      <w:tcPr>
        <w:tcBorders>
          <w:top w:val="single" w:sz="4" w:space="0" w:color="00694B" w:themeColor="accent3"/>
          <w:bottom w:val="single" w:sz="4" w:space="0" w:color="00694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94B" w:themeColor="accent3"/>
          <w:left w:val="nil"/>
        </w:tcBorders>
      </w:tcPr>
    </w:tblStylePr>
    <w:tblStylePr w:type="swCell">
      <w:tblPr/>
      <w:tcPr>
        <w:tcBorders>
          <w:top w:val="double" w:sz="4" w:space="0" w:color="00694B" w:themeColor="accent3"/>
          <w:right w:val="nil"/>
        </w:tcBorders>
      </w:tcPr>
    </w:tblStylePr>
  </w:style>
  <w:style w:type="paragraph" w:customStyle="1" w:styleId="Tableheadermain">
    <w:name w:val="Table header (main)"/>
    <w:basedOn w:val="Normal"/>
    <w:link w:val="TableheadermainChar"/>
    <w:autoRedefine/>
    <w:rsid w:val="000E3EA0"/>
    <w:pPr>
      <w:spacing w:before="120"/>
    </w:pPr>
    <w:rPr>
      <w:bCs/>
      <w:color w:val="FFFFFF" w:themeColor="background1"/>
      <w:szCs w:val="18"/>
      <w:lang w:val="pt-PT"/>
    </w:rPr>
  </w:style>
  <w:style w:type="character" w:customStyle="1" w:styleId="TableheadermainChar">
    <w:name w:val="Table header (main) Char"/>
    <w:basedOn w:val="DefaultParagraphFont"/>
    <w:link w:val="Tableheadermain"/>
    <w:rsid w:val="000E3EA0"/>
    <w:rPr>
      <w:bCs/>
      <w:color w:val="FFFFFF" w:themeColor="background1"/>
      <w:sz w:val="20"/>
      <w:szCs w:val="18"/>
      <w:lang w:val="pt-PT"/>
    </w:rPr>
  </w:style>
  <w:style w:type="paragraph" w:customStyle="1" w:styleId="Table-copy">
    <w:name w:val="Table - copy"/>
    <w:basedOn w:val="Normal"/>
    <w:link w:val="Table-copyChar"/>
    <w:qFormat/>
    <w:rsid w:val="00EE2EAA"/>
    <w:rPr>
      <w:rFonts w:ascii="Verdana" w:hAnsi="Verdana"/>
      <w:sz w:val="18"/>
    </w:rPr>
  </w:style>
  <w:style w:type="character" w:customStyle="1" w:styleId="Table-copyChar">
    <w:name w:val="Table - copy Char"/>
    <w:basedOn w:val="DefaultParagraphFont"/>
    <w:link w:val="Table-copy"/>
    <w:rsid w:val="00EE2EAA"/>
    <w:rPr>
      <w:rFonts w:ascii="Verdana" w:hAnsi="Verdana"/>
      <w:color w:val="000000" w:themeColor="text1"/>
      <w:sz w:val="18"/>
      <w:szCs w:val="20"/>
    </w:rPr>
  </w:style>
  <w:style w:type="numbering" w:customStyle="1" w:styleId="ListBullets">
    <w:name w:val="List Bullets"/>
    <w:uiPriority w:val="99"/>
    <w:rsid w:val="00174636"/>
  </w:style>
  <w:style w:type="paragraph" w:customStyle="1" w:styleId="TableBullet">
    <w:name w:val="Table Bullet"/>
    <w:basedOn w:val="ListBullet"/>
    <w:rsid w:val="00174636"/>
    <w:pPr>
      <w:numPr>
        <w:numId w:val="0"/>
      </w:numPr>
      <w:tabs>
        <w:tab w:val="num" w:pos="227"/>
      </w:tabs>
      <w:adjustRightInd w:val="0"/>
      <w:spacing w:before="120" w:after="120" w:line="300" w:lineRule="exact"/>
      <w:ind w:left="227" w:right="170" w:hanging="227"/>
      <w:jc w:val="left"/>
    </w:pPr>
    <w:rPr>
      <w:rFonts w:eastAsiaTheme="minorHAnsi"/>
      <w:sz w:val="18"/>
      <w:szCs w:val="18"/>
      <w:lang w:val="pt-PT" w:eastAsia="en-US"/>
    </w:rPr>
  </w:style>
  <w:style w:type="character" w:styleId="Mention">
    <w:name w:val="Mention"/>
    <w:basedOn w:val="DefaultParagraphFont"/>
    <w:uiPriority w:val="99"/>
    <w:unhideWhenUsed/>
    <w:rsid w:val="001C55BF"/>
    <w:rPr>
      <w:color w:val="2B579A"/>
      <w:shd w:val="clear" w:color="auto" w:fill="E1DFDD"/>
    </w:rPr>
  </w:style>
  <w:style w:type="paragraph" w:customStyle="1" w:styleId="Heading-level2">
    <w:name w:val="Heading - level 2"/>
    <w:basedOn w:val="Title"/>
    <w:link w:val="Heading-level2Char"/>
    <w:qFormat/>
    <w:rsid w:val="00141D33"/>
    <w:pPr>
      <w:pageBreakBefore/>
    </w:pPr>
  </w:style>
  <w:style w:type="character" w:customStyle="1" w:styleId="Heading-level2Char">
    <w:name w:val="Heading - level 2 Char"/>
    <w:basedOn w:val="TitleChar"/>
    <w:link w:val="Heading-level2"/>
    <w:rsid w:val="00141D33"/>
    <w:rPr>
      <w:color w:val="00694B" w:themeColor="accent3"/>
      <w:sz w:val="32"/>
      <w:szCs w:val="32"/>
    </w:rPr>
  </w:style>
  <w:style w:type="paragraph" w:customStyle="1" w:styleId="Heading-level1">
    <w:name w:val="Heading - level 1"/>
    <w:basedOn w:val="Heading1"/>
    <w:link w:val="Heading-level1Char"/>
    <w:qFormat/>
    <w:rsid w:val="002A367D"/>
    <w:pPr>
      <w:pageBreakBefore/>
    </w:pPr>
  </w:style>
  <w:style w:type="character" w:customStyle="1" w:styleId="Heading-level1Char">
    <w:name w:val="Heading - level 1 Char"/>
    <w:basedOn w:val="Heading1Char"/>
    <w:link w:val="Heading-level1"/>
    <w:rsid w:val="002A367D"/>
    <w:rPr>
      <w:color w:val="00694B" w:themeColor="accent3"/>
      <w:sz w:val="48"/>
      <w:szCs w:val="48"/>
    </w:rPr>
  </w:style>
  <w:style w:type="paragraph" w:customStyle="1" w:styleId="Heading-level3">
    <w:name w:val="Heading - level 3"/>
    <w:basedOn w:val="Heading2"/>
    <w:link w:val="Heading-level3Char"/>
    <w:qFormat/>
    <w:rsid w:val="00236D36"/>
  </w:style>
  <w:style w:type="character" w:customStyle="1" w:styleId="Heading-level3Char">
    <w:name w:val="Heading - level 3 Char"/>
    <w:basedOn w:val="Heading2Char"/>
    <w:link w:val="Heading-level3"/>
    <w:rsid w:val="00236D36"/>
    <w:rPr>
      <w:rFonts w:ascii="Verdana" w:hAnsi="Verdana"/>
      <w:b/>
      <w:bCs/>
      <w:color w:val="00694B" w:themeColor="accent3"/>
      <w:sz w:val="20"/>
    </w:rPr>
  </w:style>
  <w:style w:type="paragraph" w:customStyle="1" w:styleId="Table-heading1">
    <w:name w:val="Table - heading 1"/>
    <w:basedOn w:val="Tableheadermain"/>
    <w:link w:val="Table-heading1Char"/>
    <w:qFormat/>
    <w:rsid w:val="006C2B39"/>
    <w:rPr>
      <w:b/>
      <w:bCs w:val="0"/>
    </w:rPr>
  </w:style>
  <w:style w:type="character" w:customStyle="1" w:styleId="Table-heading1Char">
    <w:name w:val="Table - heading 1 Char"/>
    <w:basedOn w:val="TableheadermainChar"/>
    <w:link w:val="Table-heading1"/>
    <w:rsid w:val="006C2B39"/>
    <w:rPr>
      <w:b/>
      <w:bCs w:val="0"/>
      <w:color w:val="FFFFFF" w:themeColor="background1"/>
      <w:sz w:val="20"/>
      <w:szCs w:val="18"/>
      <w:lang w:val="pt-PT"/>
    </w:rPr>
  </w:style>
  <w:style w:type="paragraph" w:customStyle="1" w:styleId="Table-heading2">
    <w:name w:val="Table - heading 2"/>
    <w:basedOn w:val="Table-copy"/>
    <w:link w:val="Table-heading2Char"/>
    <w:qFormat/>
    <w:rsid w:val="00A36A8E"/>
    <w:rPr>
      <w:b/>
      <w:bCs/>
    </w:rPr>
  </w:style>
  <w:style w:type="character" w:customStyle="1" w:styleId="Table-heading2Char">
    <w:name w:val="Table - heading 2 Char"/>
    <w:basedOn w:val="Table-copyChar"/>
    <w:link w:val="Table-heading2"/>
    <w:rsid w:val="00A36A8E"/>
    <w:rPr>
      <w:rFonts w:ascii="Verdana" w:hAnsi="Verdana"/>
      <w:b/>
      <w:bCs/>
      <w:color w:val="000000" w:themeColor="text1"/>
      <w:sz w:val="18"/>
      <w:szCs w:val="20"/>
    </w:rPr>
  </w:style>
  <w:style w:type="paragraph" w:customStyle="1" w:styleId="Table-bullets">
    <w:name w:val="Table - bullets"/>
    <w:basedOn w:val="Table-copy"/>
    <w:link w:val="Table-bulletsChar"/>
    <w:qFormat/>
    <w:rsid w:val="00C66E4B"/>
    <w:pPr>
      <w:numPr>
        <w:numId w:val="12"/>
      </w:numPr>
      <w:ind w:left="227" w:hanging="227"/>
    </w:pPr>
  </w:style>
  <w:style w:type="character" w:customStyle="1" w:styleId="Table-bulletsChar">
    <w:name w:val="Table - bullets Char"/>
    <w:basedOn w:val="Table-copyChar"/>
    <w:link w:val="Table-bullets"/>
    <w:rsid w:val="00C66E4B"/>
    <w:rPr>
      <w:rFonts w:ascii="Verdana" w:hAnsi="Verdana"/>
      <w:color w:val="000000" w:themeColor="text1"/>
      <w:sz w:val="18"/>
      <w:szCs w:val="20"/>
    </w:rPr>
  </w:style>
  <w:style w:type="table" w:styleId="ListTable3">
    <w:name w:val="List Table 3"/>
    <w:basedOn w:val="TableNormal"/>
    <w:uiPriority w:val="48"/>
    <w:rsid w:val="00B42CF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Coverpage-header">
    <w:name w:val="Cover page - header"/>
    <w:basedOn w:val="CoverPageHeader"/>
    <w:link w:val="Coverpage-headerChar"/>
    <w:qFormat/>
    <w:rsid w:val="00AD03CF"/>
  </w:style>
  <w:style w:type="character" w:customStyle="1" w:styleId="CoverPageHeaderChar">
    <w:name w:val="CoverPage Header Char"/>
    <w:basedOn w:val="TitleChar"/>
    <w:link w:val="CoverPageHeader"/>
    <w:rsid w:val="00AD03CF"/>
    <w:rPr>
      <w:rFonts w:ascii="Verdana" w:hAnsi="Verdana"/>
      <w:bCs/>
      <w:color w:val="FFFFFF" w:themeColor="background1"/>
      <w:sz w:val="72"/>
      <w:szCs w:val="72"/>
      <w:lang w:val="en-US"/>
    </w:rPr>
  </w:style>
  <w:style w:type="character" w:customStyle="1" w:styleId="Coverpage-headerChar">
    <w:name w:val="Cover page - header Char"/>
    <w:basedOn w:val="CoverPageHeaderChar"/>
    <w:link w:val="Coverpage-header"/>
    <w:rsid w:val="00AD03CF"/>
    <w:rPr>
      <w:rFonts w:ascii="Verdana" w:hAnsi="Verdana"/>
      <w:bCs/>
      <w:color w:val="FFFFFF" w:themeColor="background1"/>
      <w:sz w:val="72"/>
      <w:szCs w:val="72"/>
      <w:lang w:val="en-US"/>
    </w:rPr>
  </w:style>
  <w:style w:type="paragraph" w:customStyle="1" w:styleId="Coverpage-subtitleanddate">
    <w:name w:val="Cover page - subtitle and date"/>
    <w:basedOn w:val="CoverPageSubtitle"/>
    <w:link w:val="Coverpage-subtitleanddateChar"/>
    <w:qFormat/>
    <w:rsid w:val="00647B95"/>
  </w:style>
  <w:style w:type="character" w:customStyle="1" w:styleId="CoverPageSubtitleChar">
    <w:name w:val="CoverPage Subtitle Char"/>
    <w:basedOn w:val="SubtitleChar"/>
    <w:link w:val="CoverPageSubtitle"/>
    <w:rsid w:val="00647B95"/>
    <w:rPr>
      <w:rFonts w:eastAsiaTheme="minorEastAsia"/>
      <w:color w:val="FFFFFF" w:themeColor="background1"/>
      <w:sz w:val="40"/>
      <w:szCs w:val="40"/>
      <w:lang w:eastAsia="zh-CN"/>
    </w:rPr>
  </w:style>
  <w:style w:type="character" w:customStyle="1" w:styleId="Coverpage-subtitleanddateChar">
    <w:name w:val="Cover page - subtitle and date Char"/>
    <w:basedOn w:val="CoverPageSubtitleChar"/>
    <w:link w:val="Coverpage-subtitleanddate"/>
    <w:rsid w:val="00647B95"/>
    <w:rPr>
      <w:rFonts w:eastAsiaTheme="minorEastAsia"/>
      <w:color w:val="FFFFFF" w:themeColor="background1"/>
      <w:sz w:val="40"/>
      <w:szCs w:val="40"/>
      <w:lang w:eastAsia="zh-CN"/>
    </w:rPr>
  </w:style>
  <w:style w:type="paragraph" w:customStyle="1" w:styleId="Body-copy">
    <w:name w:val="Body - copy"/>
    <w:basedOn w:val="Normal"/>
    <w:link w:val="Body-copyChar"/>
    <w:qFormat/>
    <w:rsid w:val="00752DEA"/>
    <w:rPr>
      <w:lang w:val="pt-PT"/>
    </w:rPr>
  </w:style>
  <w:style w:type="character" w:customStyle="1" w:styleId="Body-copyChar">
    <w:name w:val="Body - copy Char"/>
    <w:basedOn w:val="DefaultParagraphFont"/>
    <w:link w:val="Body-copy"/>
    <w:rsid w:val="00752DEA"/>
    <w:rPr>
      <w:color w:val="000000" w:themeColor="text1"/>
      <w:sz w:val="20"/>
      <w:szCs w:val="20"/>
      <w:lang w:val="pt-PT"/>
    </w:rPr>
  </w:style>
  <w:style w:type="paragraph" w:customStyle="1" w:styleId="Bulletlist0">
    <w:name w:val="Bullet list"/>
    <w:basedOn w:val="BulletList"/>
    <w:link w:val="BulletlistChar0"/>
    <w:qFormat/>
    <w:rsid w:val="005D25CB"/>
    <w:pPr>
      <w:spacing w:after="200" w:line="300" w:lineRule="atLeast"/>
      <w:ind w:left="511" w:right="0" w:hanging="284"/>
      <w:contextualSpacing/>
    </w:pPr>
  </w:style>
  <w:style w:type="character" w:customStyle="1" w:styleId="BulletListChar">
    <w:name w:val="BulletList Char"/>
    <w:basedOn w:val="DefaultParagraphFont"/>
    <w:link w:val="BulletList"/>
    <w:rsid w:val="00AB46F8"/>
    <w:rPr>
      <w:color w:val="000000" w:themeColor="text1"/>
      <w:sz w:val="20"/>
      <w:szCs w:val="20"/>
      <w:lang w:val="pt-PT"/>
    </w:rPr>
  </w:style>
  <w:style w:type="character" w:customStyle="1" w:styleId="BulletlistChar0">
    <w:name w:val="Bullet list Char"/>
    <w:basedOn w:val="BulletListChar"/>
    <w:link w:val="Bulletlist0"/>
    <w:rsid w:val="005D25CB"/>
    <w:rPr>
      <w:color w:val="000000" w:themeColor="text1"/>
      <w:sz w:val="20"/>
      <w:szCs w:val="20"/>
      <w:lang w:val="pt-PT"/>
    </w:rPr>
  </w:style>
  <w:style w:type="paragraph" w:customStyle="1" w:styleId="Body-numberlist">
    <w:name w:val="Body - number list"/>
    <w:basedOn w:val="NumberedList"/>
    <w:link w:val="Body-numberlistChar"/>
    <w:qFormat/>
    <w:rsid w:val="005D25CB"/>
    <w:pPr>
      <w:ind w:left="511"/>
      <w:contextualSpacing/>
    </w:pPr>
  </w:style>
  <w:style w:type="character" w:customStyle="1" w:styleId="ListParagraphChar">
    <w:name w:val="List Paragraph Char"/>
    <w:basedOn w:val="DefaultParagraphFont"/>
    <w:link w:val="ListParagraph"/>
    <w:uiPriority w:val="34"/>
    <w:rsid w:val="00AB46F8"/>
    <w:rPr>
      <w:color w:val="000000" w:themeColor="text1"/>
      <w:sz w:val="20"/>
      <w:szCs w:val="20"/>
    </w:rPr>
  </w:style>
  <w:style w:type="character" w:customStyle="1" w:styleId="NumberedListChar">
    <w:name w:val="NumberedList Char"/>
    <w:basedOn w:val="ListParagraphChar"/>
    <w:link w:val="NumberedList"/>
    <w:rsid w:val="00AB46F8"/>
    <w:rPr>
      <w:color w:val="000000" w:themeColor="text1"/>
      <w:sz w:val="20"/>
      <w:szCs w:val="20"/>
    </w:rPr>
  </w:style>
  <w:style w:type="character" w:customStyle="1" w:styleId="Body-numberlistChar">
    <w:name w:val="Body - number list Char"/>
    <w:basedOn w:val="NumberedListChar"/>
    <w:link w:val="Body-numberlist"/>
    <w:rsid w:val="005D25CB"/>
    <w:rPr>
      <w:color w:val="000000" w:themeColor="text1"/>
      <w:sz w:val="20"/>
      <w:szCs w:val="20"/>
    </w:rPr>
  </w:style>
  <w:style w:type="table" w:styleId="ListTable3-Accent4">
    <w:name w:val="List Table 3 Accent 4"/>
    <w:basedOn w:val="TableNormal"/>
    <w:uiPriority w:val="48"/>
    <w:rsid w:val="005D25CB"/>
    <w:pPr>
      <w:spacing w:after="0" w:line="240" w:lineRule="auto"/>
    </w:pPr>
    <w:tblPr>
      <w:tblStyleRowBandSize w:val="1"/>
      <w:tblStyleColBandSize w:val="1"/>
      <w:tblBorders>
        <w:top w:val="single" w:sz="4" w:space="0" w:color="CEB888" w:themeColor="accent4"/>
        <w:left w:val="single" w:sz="4" w:space="0" w:color="CEB888" w:themeColor="accent4"/>
        <w:bottom w:val="single" w:sz="4" w:space="0" w:color="CEB888" w:themeColor="accent4"/>
        <w:right w:val="single" w:sz="4" w:space="0" w:color="CEB888" w:themeColor="accent4"/>
      </w:tblBorders>
    </w:tblPr>
    <w:tblStylePr w:type="firstRow">
      <w:rPr>
        <w:b/>
        <w:bCs/>
        <w:color w:val="auto"/>
      </w:rPr>
      <w:tblPr/>
      <w:tcPr>
        <w:shd w:val="clear" w:color="auto" w:fill="CEB888" w:themeFill="accent4"/>
      </w:tcPr>
    </w:tblStylePr>
    <w:tblStylePr w:type="lastRow">
      <w:rPr>
        <w:b/>
        <w:bCs/>
      </w:rPr>
      <w:tblPr/>
      <w:tcPr>
        <w:tcBorders>
          <w:top w:val="double" w:sz="4" w:space="0" w:color="CEB88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B888" w:themeColor="accent4"/>
          <w:right w:val="single" w:sz="4" w:space="0" w:color="CEB888" w:themeColor="accent4"/>
        </w:tcBorders>
      </w:tcPr>
    </w:tblStylePr>
    <w:tblStylePr w:type="band1Horz">
      <w:tblPr/>
      <w:tcPr>
        <w:tcBorders>
          <w:top w:val="single" w:sz="4" w:space="0" w:color="CEB888" w:themeColor="accent4"/>
          <w:bottom w:val="single" w:sz="4" w:space="0" w:color="CEB88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B888" w:themeColor="accent4"/>
          <w:left w:val="nil"/>
        </w:tcBorders>
      </w:tcPr>
    </w:tblStylePr>
    <w:tblStylePr w:type="swCell">
      <w:tblPr/>
      <w:tcPr>
        <w:tcBorders>
          <w:top w:val="double" w:sz="4" w:space="0" w:color="CEB888" w:themeColor="accent4"/>
          <w:right w:val="nil"/>
        </w:tcBorders>
      </w:tcPr>
    </w:tblStylePr>
  </w:style>
  <w:style w:type="table" w:styleId="ListTable7ColourfulAccent6">
    <w:name w:val="List Table 7 Colorful Accent 6"/>
    <w:basedOn w:val="TableNormal"/>
    <w:uiPriority w:val="52"/>
    <w:rsid w:val="005D25C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0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0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0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0E6" w:themeColor="accent6"/>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5D25C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AC2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AC2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AC2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AC2C" w:themeColor="accent5"/>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5D25C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B88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B88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B88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B888" w:themeColor="accent4"/>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5D25CB"/>
    <w:pPr>
      <w:spacing w:after="0" w:line="240" w:lineRule="auto"/>
    </w:pPr>
    <w:rPr>
      <w:color w:val="004E3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94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94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94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94B" w:themeColor="accent3"/>
        </w:tcBorders>
        <w:shd w:val="clear" w:color="auto" w:fill="FFFFFF" w:themeFill="background1"/>
      </w:tcPr>
    </w:tblStylePr>
    <w:tblStylePr w:type="band1Vert">
      <w:tblPr/>
      <w:tcPr>
        <w:shd w:val="clear" w:color="auto" w:fill="AEFFE7" w:themeFill="accent3" w:themeFillTint="33"/>
      </w:tcPr>
    </w:tblStylePr>
    <w:tblStylePr w:type="band1Horz">
      <w:tblPr/>
      <w:tcPr>
        <w:shd w:val="clear" w:color="auto" w:fill="AEFFE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urfulAccent6">
    <w:name w:val="List Table 6 Colorful Accent 6"/>
    <w:basedOn w:val="TableNormal"/>
    <w:uiPriority w:val="51"/>
    <w:rsid w:val="005D25CB"/>
    <w:pPr>
      <w:spacing w:after="0" w:line="240" w:lineRule="auto"/>
    </w:pPr>
    <w:tblPr>
      <w:tblStyleRowBandSize w:val="1"/>
      <w:tblStyleColBandSize w:val="1"/>
      <w:tblBorders>
        <w:top w:val="single" w:sz="4" w:space="0" w:color="F2F0E6" w:themeColor="accent6"/>
        <w:bottom w:val="single" w:sz="4" w:space="0" w:color="F2F0E6" w:themeColor="accent6"/>
      </w:tblBorders>
    </w:tblPr>
    <w:tblStylePr w:type="firstRow">
      <w:rPr>
        <w:b/>
        <w:bCs/>
      </w:rPr>
      <w:tblPr/>
      <w:tcPr>
        <w:tcBorders>
          <w:bottom w:val="single" w:sz="4" w:space="0" w:color="F2F0E6" w:themeColor="accent6"/>
        </w:tcBorders>
      </w:tcPr>
    </w:tblStylePr>
    <w:tblStylePr w:type="lastRow">
      <w:rPr>
        <w:b/>
        <w:bCs/>
      </w:rPr>
      <w:tblPr/>
      <w:tcPr>
        <w:tcBorders>
          <w:top w:val="double" w:sz="4" w:space="0" w:color="F2F0E6" w:themeColor="accent6"/>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6ColourfulAccent5">
    <w:name w:val="List Table 6 Colorful Accent 5"/>
    <w:basedOn w:val="TableNormal"/>
    <w:uiPriority w:val="51"/>
    <w:rsid w:val="005D25CB"/>
    <w:pPr>
      <w:spacing w:after="0" w:line="240" w:lineRule="auto"/>
    </w:pPr>
    <w:tblPr>
      <w:tblStyleRowBandSize w:val="1"/>
      <w:tblStyleColBandSize w:val="1"/>
      <w:tblBorders>
        <w:top w:val="single" w:sz="4" w:space="0" w:color="DEAC2C" w:themeColor="accent5"/>
        <w:bottom w:val="single" w:sz="4" w:space="0" w:color="DEAC2C" w:themeColor="accent5"/>
      </w:tblBorders>
    </w:tblPr>
    <w:tblStylePr w:type="firstRow">
      <w:rPr>
        <w:b/>
        <w:bCs/>
      </w:rPr>
      <w:tblPr/>
      <w:tcPr>
        <w:tcBorders>
          <w:bottom w:val="single" w:sz="4" w:space="0" w:color="DEAC2C" w:themeColor="accent5"/>
        </w:tcBorders>
      </w:tcPr>
    </w:tblStylePr>
    <w:tblStylePr w:type="lastRow">
      <w:rPr>
        <w:b/>
        <w:bCs/>
      </w:rPr>
      <w:tblPr/>
      <w:tcPr>
        <w:tcBorders>
          <w:top w:val="double" w:sz="4" w:space="0" w:color="DEAC2C" w:themeColor="accent5"/>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6ColourfulAccent4">
    <w:name w:val="List Table 6 Colorful Accent 4"/>
    <w:basedOn w:val="TableNormal"/>
    <w:uiPriority w:val="51"/>
    <w:rsid w:val="005D25CB"/>
    <w:pPr>
      <w:spacing w:after="0" w:line="240" w:lineRule="auto"/>
    </w:pPr>
    <w:tblPr>
      <w:tblStyleRowBandSize w:val="1"/>
      <w:tblStyleColBandSize w:val="1"/>
      <w:tblBorders>
        <w:top w:val="single" w:sz="4" w:space="0" w:color="CEB888" w:themeColor="accent4"/>
        <w:bottom w:val="single" w:sz="4" w:space="0" w:color="CEB888" w:themeColor="accent4"/>
      </w:tblBorders>
    </w:tblPr>
    <w:tblStylePr w:type="firstRow">
      <w:rPr>
        <w:b/>
        <w:bCs/>
      </w:rPr>
      <w:tblPr/>
      <w:tcPr>
        <w:tcBorders>
          <w:bottom w:val="single" w:sz="4" w:space="0" w:color="CEB888" w:themeColor="accent4"/>
        </w:tcBorders>
      </w:tcPr>
    </w:tblStylePr>
    <w:tblStylePr w:type="lastRow">
      <w:rPr>
        <w:b/>
        <w:bCs/>
      </w:rPr>
      <w:tblPr/>
      <w:tcPr>
        <w:tcBorders>
          <w:top w:val="double" w:sz="4" w:space="0" w:color="CEB888" w:themeColor="accent4"/>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5Dark-Accent6">
    <w:name w:val="List Table 5 Dark Accent 6"/>
    <w:basedOn w:val="TableNormal"/>
    <w:uiPriority w:val="50"/>
    <w:rsid w:val="005D25CB"/>
    <w:pPr>
      <w:spacing w:after="0" w:line="240" w:lineRule="auto"/>
    </w:pPr>
    <w:tblPr>
      <w:tblStyleRowBandSize w:val="1"/>
      <w:tblStyleColBandSize w:val="1"/>
      <w:tblBorders>
        <w:top w:val="single" w:sz="24" w:space="0" w:color="F2F0E6" w:themeColor="accent6"/>
        <w:left w:val="single" w:sz="24" w:space="0" w:color="F2F0E6" w:themeColor="accent6"/>
        <w:bottom w:val="single" w:sz="24" w:space="0" w:color="F2F0E6" w:themeColor="accent6"/>
        <w:right w:val="single" w:sz="24" w:space="0" w:color="F2F0E6" w:themeColor="accent6"/>
      </w:tblBorders>
    </w:tblPr>
    <w:tcPr>
      <w:shd w:val="clear" w:color="auto" w:fill="F2F0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D25CB"/>
    <w:pPr>
      <w:spacing w:after="0" w:line="240" w:lineRule="auto"/>
    </w:pPr>
    <w:tblPr>
      <w:tblStyleRowBandSize w:val="1"/>
      <w:tblStyleColBandSize w:val="1"/>
      <w:tblBorders>
        <w:top w:val="single" w:sz="24" w:space="0" w:color="DEAC2C" w:themeColor="accent5"/>
        <w:left w:val="single" w:sz="24" w:space="0" w:color="DEAC2C" w:themeColor="accent5"/>
        <w:bottom w:val="single" w:sz="24" w:space="0" w:color="DEAC2C" w:themeColor="accent5"/>
        <w:right w:val="single" w:sz="24" w:space="0" w:color="DEAC2C" w:themeColor="accent5"/>
      </w:tblBorders>
    </w:tblPr>
    <w:tcPr>
      <w:shd w:val="clear" w:color="auto" w:fill="DEAC2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D25CB"/>
    <w:pPr>
      <w:spacing w:after="0" w:line="240" w:lineRule="auto"/>
    </w:pPr>
    <w:tblPr>
      <w:tblStyleRowBandSize w:val="1"/>
      <w:tblStyleColBandSize w:val="1"/>
      <w:tblBorders>
        <w:top w:val="single" w:sz="24" w:space="0" w:color="CEB888" w:themeColor="accent4"/>
        <w:left w:val="single" w:sz="24" w:space="0" w:color="CEB888" w:themeColor="accent4"/>
        <w:bottom w:val="single" w:sz="24" w:space="0" w:color="CEB888" w:themeColor="accent4"/>
        <w:right w:val="single" w:sz="24" w:space="0" w:color="CEB888" w:themeColor="accent4"/>
      </w:tblBorders>
    </w:tblPr>
    <w:tcPr>
      <w:shd w:val="clear" w:color="auto" w:fill="CEB88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6">
    <w:name w:val="List Table 4 Accent 6"/>
    <w:basedOn w:val="TableNormal"/>
    <w:uiPriority w:val="49"/>
    <w:rsid w:val="005D25CB"/>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tblBorders>
    </w:tblPr>
    <w:tblStylePr w:type="firstRow">
      <w:rPr>
        <w:rFonts w:ascii="Verdana" w:hAnsi="Verdana"/>
        <w:b/>
        <w:bCs/>
        <w:i w:val="0"/>
        <w:color w:val="auto"/>
      </w:rPr>
      <w:tblPr/>
      <w:tcPr>
        <w:tcBorders>
          <w:top w:val="single" w:sz="4" w:space="0" w:color="F2F0E6" w:themeColor="accent6"/>
          <w:left w:val="single" w:sz="4" w:space="0" w:color="F2F0E6" w:themeColor="accent6"/>
          <w:bottom w:val="single" w:sz="4" w:space="0" w:color="F2F0E6" w:themeColor="accent6"/>
          <w:right w:val="single" w:sz="4" w:space="0" w:color="F2F0E6" w:themeColor="accent6"/>
          <w:insideH w:val="nil"/>
        </w:tcBorders>
        <w:shd w:val="clear" w:color="auto" w:fill="F2F0E6" w:themeFill="accent6"/>
      </w:tcPr>
    </w:tblStylePr>
    <w:tblStylePr w:type="lastRow">
      <w:rPr>
        <w:b/>
        <w:bCs/>
      </w:rPr>
      <w:tblPr/>
      <w:tcPr>
        <w:tcBorders>
          <w:top w:val="doub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4-Accent5">
    <w:name w:val="List Table 4 Accent 5"/>
    <w:basedOn w:val="TableNormal"/>
    <w:uiPriority w:val="49"/>
    <w:rsid w:val="005D25CB"/>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tblBorders>
    </w:tblPr>
    <w:tblStylePr w:type="firstRow">
      <w:rPr>
        <w:b/>
        <w:bCs/>
        <w:color w:val="auto"/>
      </w:rPr>
      <w:tblPr/>
      <w:tcPr>
        <w:tcBorders>
          <w:top w:val="single" w:sz="4" w:space="0" w:color="DEAC2C" w:themeColor="accent5"/>
          <w:left w:val="single" w:sz="4" w:space="0" w:color="DEAC2C" w:themeColor="accent5"/>
          <w:bottom w:val="single" w:sz="4" w:space="0" w:color="DEAC2C" w:themeColor="accent5"/>
          <w:right w:val="single" w:sz="4" w:space="0" w:color="DEAC2C" w:themeColor="accent5"/>
          <w:insideH w:val="nil"/>
        </w:tcBorders>
        <w:shd w:val="clear" w:color="auto" w:fill="DEAC2C" w:themeFill="accent5"/>
      </w:tcPr>
    </w:tblStylePr>
    <w:tblStylePr w:type="lastRow">
      <w:rPr>
        <w:b/>
        <w:bCs/>
      </w:rPr>
      <w:tblPr/>
      <w:tcPr>
        <w:tcBorders>
          <w:top w:val="doub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4-Accent4">
    <w:name w:val="List Table 4 Accent 4"/>
    <w:basedOn w:val="TableNormal"/>
    <w:uiPriority w:val="49"/>
    <w:rsid w:val="005D25CB"/>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tblBorders>
    </w:tblPr>
    <w:tblStylePr w:type="firstRow">
      <w:rPr>
        <w:b/>
        <w:bCs/>
        <w:color w:val="auto"/>
      </w:rPr>
      <w:tblPr/>
      <w:tcPr>
        <w:tcBorders>
          <w:top w:val="single" w:sz="4" w:space="0" w:color="CEB888" w:themeColor="accent4"/>
          <w:left w:val="single" w:sz="4" w:space="0" w:color="CEB888" w:themeColor="accent4"/>
          <w:bottom w:val="single" w:sz="4" w:space="0" w:color="CEB888" w:themeColor="accent4"/>
          <w:right w:val="single" w:sz="4" w:space="0" w:color="CEB888" w:themeColor="accent4"/>
          <w:insideH w:val="nil"/>
        </w:tcBorders>
        <w:shd w:val="clear" w:color="auto" w:fill="CEB888" w:themeFill="accent4"/>
      </w:tcPr>
    </w:tblStylePr>
    <w:tblStylePr w:type="lastRow">
      <w:rPr>
        <w:b/>
        <w:bCs/>
      </w:rPr>
      <w:tblPr/>
      <w:tcPr>
        <w:tcBorders>
          <w:top w:val="doub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3-Accent6">
    <w:name w:val="List Table 3 Accent 6"/>
    <w:basedOn w:val="TableNormal"/>
    <w:uiPriority w:val="48"/>
    <w:rsid w:val="005D25CB"/>
    <w:pPr>
      <w:spacing w:after="0" w:line="240" w:lineRule="auto"/>
    </w:pPr>
    <w:tblPr>
      <w:tblStyleRowBandSize w:val="1"/>
      <w:tblStyleColBandSize w:val="1"/>
      <w:tblBorders>
        <w:top w:val="single" w:sz="4" w:space="0" w:color="F2F0E6" w:themeColor="accent6"/>
        <w:left w:val="single" w:sz="4" w:space="0" w:color="F2F0E6" w:themeColor="accent6"/>
        <w:bottom w:val="single" w:sz="4" w:space="0" w:color="F2F0E6" w:themeColor="accent6"/>
        <w:right w:val="single" w:sz="4" w:space="0" w:color="F2F0E6" w:themeColor="accent6"/>
      </w:tblBorders>
    </w:tblPr>
    <w:tblStylePr w:type="firstRow">
      <w:rPr>
        <w:rFonts w:ascii="Verdana" w:hAnsi="Verdana"/>
        <w:b/>
        <w:bCs/>
        <w:i w:val="0"/>
        <w:color w:val="auto"/>
      </w:rPr>
      <w:tblPr/>
      <w:tcPr>
        <w:shd w:val="clear" w:color="auto" w:fill="F2F0E6" w:themeFill="accent6"/>
      </w:tcPr>
    </w:tblStylePr>
    <w:tblStylePr w:type="lastRow">
      <w:rPr>
        <w:b/>
        <w:bCs/>
      </w:rPr>
      <w:tblPr/>
      <w:tcPr>
        <w:tcBorders>
          <w:top w:val="double" w:sz="4" w:space="0" w:color="F2F0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0E6" w:themeColor="accent6"/>
          <w:right w:val="single" w:sz="4" w:space="0" w:color="F2F0E6" w:themeColor="accent6"/>
        </w:tcBorders>
      </w:tcPr>
    </w:tblStylePr>
    <w:tblStylePr w:type="band1Horz">
      <w:tblPr/>
      <w:tcPr>
        <w:tcBorders>
          <w:top w:val="single" w:sz="4" w:space="0" w:color="F2F0E6" w:themeColor="accent6"/>
          <w:bottom w:val="single" w:sz="4" w:space="0" w:color="F2F0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0E6" w:themeColor="accent6"/>
          <w:left w:val="nil"/>
        </w:tcBorders>
      </w:tcPr>
    </w:tblStylePr>
    <w:tblStylePr w:type="swCell">
      <w:tblPr/>
      <w:tcPr>
        <w:tcBorders>
          <w:top w:val="double" w:sz="4" w:space="0" w:color="F2F0E6" w:themeColor="accent6"/>
          <w:right w:val="nil"/>
        </w:tcBorders>
      </w:tcPr>
    </w:tblStylePr>
  </w:style>
  <w:style w:type="table" w:styleId="ListTable3-Accent5">
    <w:name w:val="List Table 3 Accent 5"/>
    <w:basedOn w:val="TableNormal"/>
    <w:uiPriority w:val="48"/>
    <w:rsid w:val="005D25CB"/>
    <w:pPr>
      <w:spacing w:after="0" w:line="240" w:lineRule="auto"/>
    </w:pPr>
    <w:tblPr>
      <w:tblStyleRowBandSize w:val="1"/>
      <w:tblStyleColBandSize w:val="1"/>
      <w:tblBorders>
        <w:top w:val="single" w:sz="4" w:space="0" w:color="DEAC2C" w:themeColor="accent5"/>
        <w:left w:val="single" w:sz="4" w:space="0" w:color="DEAC2C" w:themeColor="accent5"/>
        <w:bottom w:val="single" w:sz="4" w:space="0" w:color="DEAC2C" w:themeColor="accent5"/>
        <w:right w:val="single" w:sz="4" w:space="0" w:color="DEAC2C" w:themeColor="accent5"/>
      </w:tblBorders>
    </w:tblPr>
    <w:tblStylePr w:type="firstRow">
      <w:rPr>
        <w:b/>
        <w:bCs/>
        <w:color w:val="auto"/>
      </w:rPr>
      <w:tblPr/>
      <w:tcPr>
        <w:shd w:val="clear" w:color="auto" w:fill="DEAC2C" w:themeFill="accent5"/>
      </w:tcPr>
    </w:tblStylePr>
    <w:tblStylePr w:type="lastRow">
      <w:rPr>
        <w:b/>
        <w:bCs/>
      </w:rPr>
      <w:tblPr/>
      <w:tcPr>
        <w:tcBorders>
          <w:top w:val="double" w:sz="4" w:space="0" w:color="DEAC2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AC2C" w:themeColor="accent5"/>
          <w:right w:val="single" w:sz="4" w:space="0" w:color="DEAC2C" w:themeColor="accent5"/>
        </w:tcBorders>
      </w:tcPr>
    </w:tblStylePr>
    <w:tblStylePr w:type="band1Horz">
      <w:tblPr/>
      <w:tcPr>
        <w:tcBorders>
          <w:top w:val="single" w:sz="4" w:space="0" w:color="DEAC2C" w:themeColor="accent5"/>
          <w:bottom w:val="single" w:sz="4" w:space="0" w:color="DEAC2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AC2C" w:themeColor="accent5"/>
          <w:left w:val="nil"/>
        </w:tcBorders>
      </w:tcPr>
    </w:tblStylePr>
    <w:tblStylePr w:type="swCell">
      <w:tblPr/>
      <w:tcPr>
        <w:tcBorders>
          <w:top w:val="double" w:sz="4" w:space="0" w:color="DEAC2C" w:themeColor="accent5"/>
          <w:right w:val="nil"/>
        </w:tcBorders>
      </w:tcPr>
    </w:tblStylePr>
  </w:style>
  <w:style w:type="table" w:styleId="ListTable2-Accent6">
    <w:name w:val="List Table 2 Accent 6"/>
    <w:basedOn w:val="TableNormal"/>
    <w:uiPriority w:val="47"/>
    <w:rsid w:val="005D25CB"/>
    <w:pPr>
      <w:spacing w:after="0" w:line="240" w:lineRule="auto"/>
    </w:pPr>
    <w:tblPr>
      <w:tblStyleRowBandSize w:val="1"/>
      <w:tblStyleColBandSize w:val="1"/>
      <w:tblBorders>
        <w:top w:val="single" w:sz="4" w:space="0" w:color="F7F5EF" w:themeColor="accent6" w:themeTint="99"/>
        <w:bottom w:val="single" w:sz="4" w:space="0" w:color="F7F5EF" w:themeColor="accent6" w:themeTint="99"/>
        <w:insideH w:val="single" w:sz="4" w:space="0" w:color="F7F5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2-Accent5">
    <w:name w:val="List Table 2 Accent 5"/>
    <w:basedOn w:val="TableNormal"/>
    <w:uiPriority w:val="47"/>
    <w:rsid w:val="005D25CB"/>
    <w:pPr>
      <w:spacing w:after="0" w:line="240" w:lineRule="auto"/>
    </w:pPr>
    <w:tblPr>
      <w:tblStyleRowBandSize w:val="1"/>
      <w:tblStyleColBandSize w:val="1"/>
      <w:tblBorders>
        <w:top w:val="single" w:sz="4" w:space="0" w:color="EBCC80" w:themeColor="accent5" w:themeTint="99"/>
        <w:bottom w:val="single" w:sz="4" w:space="0" w:color="EBCC80" w:themeColor="accent5" w:themeTint="99"/>
        <w:insideH w:val="single" w:sz="4" w:space="0" w:color="EBCC8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2-Accent4">
    <w:name w:val="List Table 2 Accent 4"/>
    <w:basedOn w:val="TableNormal"/>
    <w:uiPriority w:val="47"/>
    <w:rsid w:val="005D25CB"/>
    <w:pPr>
      <w:spacing w:after="0" w:line="240" w:lineRule="auto"/>
    </w:pPr>
    <w:tblPr>
      <w:tblStyleRowBandSize w:val="1"/>
      <w:tblStyleColBandSize w:val="1"/>
      <w:tblBorders>
        <w:top w:val="single" w:sz="4" w:space="0" w:color="E1D4B7" w:themeColor="accent4" w:themeTint="99"/>
        <w:bottom w:val="single" w:sz="4" w:space="0" w:color="E1D4B7" w:themeColor="accent4" w:themeTint="99"/>
        <w:insideH w:val="single" w:sz="4" w:space="0" w:color="E1D4B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1Light-Accent6">
    <w:name w:val="List Table 1 Light Accent 6"/>
    <w:basedOn w:val="TableNormal"/>
    <w:uiPriority w:val="46"/>
    <w:rsid w:val="005D25CB"/>
    <w:pPr>
      <w:spacing w:after="0" w:line="240" w:lineRule="auto"/>
    </w:pPr>
    <w:tblPr>
      <w:tblStyleRowBandSize w:val="1"/>
      <w:tblStyleColBandSize w:val="1"/>
    </w:tblPr>
    <w:tblStylePr w:type="firstRow">
      <w:rPr>
        <w:b/>
        <w:bCs/>
      </w:rPr>
      <w:tblPr/>
      <w:tcPr>
        <w:tcBorders>
          <w:bottom w:val="single" w:sz="4" w:space="0" w:color="F7F5EF" w:themeColor="accent6" w:themeTint="99"/>
        </w:tcBorders>
      </w:tcPr>
    </w:tblStylePr>
    <w:tblStylePr w:type="lastRow">
      <w:rPr>
        <w:b/>
        <w:bCs/>
      </w:rPr>
      <w:tblPr/>
      <w:tcPr>
        <w:tcBorders>
          <w:top w:val="sing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1Light-Accent5">
    <w:name w:val="List Table 1 Light Accent 5"/>
    <w:basedOn w:val="TableNormal"/>
    <w:uiPriority w:val="46"/>
    <w:rsid w:val="005D25CB"/>
    <w:pPr>
      <w:spacing w:after="0" w:line="240" w:lineRule="auto"/>
    </w:pPr>
    <w:tblPr>
      <w:tblStyleRowBandSize w:val="1"/>
      <w:tblStyleColBandSize w:val="1"/>
    </w:tblPr>
    <w:tblStylePr w:type="firstRow">
      <w:rPr>
        <w:b/>
        <w:bCs/>
      </w:rPr>
      <w:tblPr/>
      <w:tcPr>
        <w:tcBorders>
          <w:bottom w:val="single" w:sz="4" w:space="0" w:color="EBCC80" w:themeColor="accent5" w:themeTint="99"/>
        </w:tcBorders>
      </w:tcPr>
    </w:tblStylePr>
    <w:tblStylePr w:type="lastRow">
      <w:rPr>
        <w:b/>
        <w:bCs/>
      </w:rPr>
      <w:tblPr/>
      <w:tcPr>
        <w:tcBorders>
          <w:top w:val="sing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1Light-Accent4">
    <w:name w:val="List Table 1 Light Accent 4"/>
    <w:basedOn w:val="TableNormal"/>
    <w:uiPriority w:val="46"/>
    <w:rsid w:val="005D25CB"/>
    <w:pPr>
      <w:spacing w:after="0" w:line="240" w:lineRule="auto"/>
    </w:pPr>
    <w:tblPr>
      <w:tblStyleRowBandSize w:val="1"/>
      <w:tblStyleColBandSize w:val="1"/>
    </w:tblPr>
    <w:tblStylePr w:type="firstRow">
      <w:rPr>
        <w:b/>
        <w:bCs/>
      </w:rPr>
      <w:tblPr/>
      <w:tcPr>
        <w:tcBorders>
          <w:bottom w:val="single" w:sz="4" w:space="0" w:color="E1D4B7" w:themeColor="accent4" w:themeTint="99"/>
        </w:tcBorders>
      </w:tcPr>
    </w:tblStylePr>
    <w:tblStylePr w:type="lastRow">
      <w:rPr>
        <w:b/>
        <w:bCs/>
      </w:rPr>
      <w:tblPr/>
      <w:tcPr>
        <w:tcBorders>
          <w:top w:val="sing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7ColourfulAccent6">
    <w:name w:val="Grid Table 7 Colorful Accent 6"/>
    <w:basedOn w:val="TableNormal"/>
    <w:uiPriority w:val="52"/>
    <w:rsid w:val="005D25CB"/>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bottom w:val="single" w:sz="4" w:space="0" w:color="F7F5EF" w:themeColor="accent6" w:themeTint="99"/>
        </w:tcBorders>
      </w:tcPr>
    </w:tblStylePr>
    <w:tblStylePr w:type="nwCell">
      <w:tblPr/>
      <w:tcPr>
        <w:tcBorders>
          <w:bottom w:val="single" w:sz="4" w:space="0" w:color="F7F5EF" w:themeColor="accent6" w:themeTint="99"/>
        </w:tcBorders>
      </w:tcPr>
    </w:tblStylePr>
    <w:tblStylePr w:type="seCell">
      <w:tblPr/>
      <w:tcPr>
        <w:tcBorders>
          <w:top w:val="single" w:sz="4" w:space="0" w:color="F7F5EF" w:themeColor="accent6" w:themeTint="99"/>
        </w:tcBorders>
      </w:tcPr>
    </w:tblStylePr>
    <w:tblStylePr w:type="swCell">
      <w:tblPr/>
      <w:tcPr>
        <w:tcBorders>
          <w:top w:val="single" w:sz="4" w:space="0" w:color="F7F5EF" w:themeColor="accent6" w:themeTint="99"/>
        </w:tcBorders>
      </w:tcPr>
    </w:tblStylePr>
  </w:style>
  <w:style w:type="table" w:styleId="GridTable7ColourfulAccent5">
    <w:name w:val="Grid Table 7 Colorful Accent 5"/>
    <w:basedOn w:val="TableNormal"/>
    <w:uiPriority w:val="52"/>
    <w:rsid w:val="005D25CB"/>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bottom w:val="single" w:sz="4" w:space="0" w:color="EBCC80" w:themeColor="accent5" w:themeTint="99"/>
        </w:tcBorders>
      </w:tcPr>
    </w:tblStylePr>
    <w:tblStylePr w:type="nwCell">
      <w:tblPr/>
      <w:tcPr>
        <w:tcBorders>
          <w:bottom w:val="single" w:sz="4" w:space="0" w:color="EBCC80" w:themeColor="accent5" w:themeTint="99"/>
        </w:tcBorders>
      </w:tcPr>
    </w:tblStylePr>
    <w:tblStylePr w:type="seCell">
      <w:tblPr/>
      <w:tcPr>
        <w:tcBorders>
          <w:top w:val="single" w:sz="4" w:space="0" w:color="EBCC80" w:themeColor="accent5" w:themeTint="99"/>
        </w:tcBorders>
      </w:tcPr>
    </w:tblStylePr>
    <w:tblStylePr w:type="swCell">
      <w:tblPr/>
      <w:tcPr>
        <w:tcBorders>
          <w:top w:val="single" w:sz="4" w:space="0" w:color="EBCC80" w:themeColor="accent5" w:themeTint="99"/>
        </w:tcBorders>
      </w:tcPr>
    </w:tblStylePr>
  </w:style>
  <w:style w:type="table" w:styleId="GridTable7ColourfulAccent4">
    <w:name w:val="Grid Table 7 Colorful Accent 4"/>
    <w:basedOn w:val="TableNormal"/>
    <w:uiPriority w:val="52"/>
    <w:rsid w:val="005D25CB"/>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bottom w:val="single" w:sz="4" w:space="0" w:color="E1D4B7" w:themeColor="accent4" w:themeTint="99"/>
        </w:tcBorders>
      </w:tcPr>
    </w:tblStylePr>
    <w:tblStylePr w:type="nwCell">
      <w:tblPr/>
      <w:tcPr>
        <w:tcBorders>
          <w:bottom w:val="single" w:sz="4" w:space="0" w:color="E1D4B7" w:themeColor="accent4" w:themeTint="99"/>
        </w:tcBorders>
      </w:tcPr>
    </w:tblStylePr>
    <w:tblStylePr w:type="seCell">
      <w:tblPr/>
      <w:tcPr>
        <w:tcBorders>
          <w:top w:val="single" w:sz="4" w:space="0" w:color="E1D4B7" w:themeColor="accent4" w:themeTint="99"/>
        </w:tcBorders>
      </w:tcPr>
    </w:tblStylePr>
    <w:tblStylePr w:type="swCell">
      <w:tblPr/>
      <w:tcPr>
        <w:tcBorders>
          <w:top w:val="single" w:sz="4" w:space="0" w:color="E1D4B7" w:themeColor="accent4" w:themeTint="99"/>
        </w:tcBorders>
      </w:tcPr>
    </w:tblStylePr>
  </w:style>
  <w:style w:type="table" w:styleId="GridTable6ColourfulAccent6">
    <w:name w:val="Grid Table 6 Colorful Accent 6"/>
    <w:basedOn w:val="TableNormal"/>
    <w:uiPriority w:val="51"/>
    <w:rsid w:val="005D25CB"/>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bottom w:val="single" w:sz="12" w:space="0" w:color="F7F5EF" w:themeColor="accent6" w:themeTint="99"/>
        </w:tcBorders>
      </w:tcPr>
    </w:tblStylePr>
    <w:tblStylePr w:type="lastRow">
      <w:rPr>
        <w:b/>
        <w:bCs/>
      </w:rPr>
      <w:tblPr/>
      <w:tcPr>
        <w:tcBorders>
          <w:top w:val="doub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6ColourfulAccent5">
    <w:name w:val="Grid Table 6 Colorful Accent 5"/>
    <w:basedOn w:val="TableNormal"/>
    <w:uiPriority w:val="51"/>
    <w:rsid w:val="005D25CB"/>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bottom w:val="single" w:sz="12" w:space="0" w:color="EBCC80" w:themeColor="accent5" w:themeTint="99"/>
        </w:tcBorders>
      </w:tcPr>
    </w:tblStylePr>
    <w:tblStylePr w:type="lastRow">
      <w:rPr>
        <w:b/>
        <w:bCs/>
      </w:rPr>
      <w:tblPr/>
      <w:tcPr>
        <w:tcBorders>
          <w:top w:val="doub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6ColourfulAccent4">
    <w:name w:val="Grid Table 6 Colorful Accent 4"/>
    <w:basedOn w:val="TableNormal"/>
    <w:uiPriority w:val="51"/>
    <w:rsid w:val="005D25CB"/>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bottom w:val="single" w:sz="12" w:space="0" w:color="E1D4B7" w:themeColor="accent4" w:themeTint="99"/>
        </w:tcBorders>
      </w:tcPr>
    </w:tblStylePr>
    <w:tblStylePr w:type="lastRow">
      <w:rPr>
        <w:b/>
        <w:bCs/>
      </w:rPr>
      <w:tblPr/>
      <w:tcPr>
        <w:tcBorders>
          <w:top w:val="doub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5Dark-Accent6">
    <w:name w:val="Grid Table 5 Dark Accent 6"/>
    <w:basedOn w:val="TableNormal"/>
    <w:uiPriority w:val="50"/>
    <w:rsid w:val="006576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9" w:themeFill="accent6"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0E6" w:themeFill="accent6"/>
      </w:tcPr>
    </w:tblStylePr>
    <w:tblStylePr w:type="lastRow">
      <w:rPr>
        <w:rFonts w:asciiTheme="minorHAnsi" w:hAnsiTheme="minorHAnsi"/>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0E6" w:themeFill="accent6"/>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0E6" w:themeFill="accent6"/>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0E6" w:themeFill="accent6"/>
      </w:tcPr>
    </w:tblStylePr>
    <w:tblStylePr w:type="band1Vert">
      <w:tblPr/>
      <w:tcPr>
        <w:shd w:val="clear" w:color="auto" w:fill="F9F8F4" w:themeFill="accent6" w:themeFillTint="66"/>
      </w:tcPr>
    </w:tblStylePr>
    <w:tblStylePr w:type="band1Horz">
      <w:tblPr/>
      <w:tcPr>
        <w:shd w:val="clear" w:color="auto" w:fill="F9F8F4" w:themeFill="accent6" w:themeFillTint="66"/>
      </w:tcPr>
    </w:tblStylePr>
  </w:style>
  <w:style w:type="table" w:styleId="GridTable5Dark-Accent5">
    <w:name w:val="Grid Table 5 Dark Accent 5"/>
    <w:basedOn w:val="TableNormal"/>
    <w:uiPriority w:val="50"/>
    <w:rsid w:val="006576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ED4" w:themeFill="accent5" w:themeFillTint="33"/>
    </w:tcPr>
    <w:tblStylePr w:type="firstRow">
      <w:rPr>
        <w:rFonts w:asciiTheme="minorHAnsi" w:hAnsiTheme="minorHAnsi"/>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AC2C" w:themeFill="accent5"/>
      </w:tcPr>
    </w:tblStylePr>
    <w:tblStylePr w:type="lastRow">
      <w:rPr>
        <w:rFonts w:asciiTheme="minorHAnsi" w:hAnsiTheme="minorHAnsi"/>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AC2C" w:themeFill="accent5"/>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AC2C" w:themeFill="accent5"/>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AC2C" w:themeFill="accent5"/>
      </w:tcPr>
    </w:tblStylePr>
    <w:tblStylePr w:type="band1Vert">
      <w:tblPr/>
      <w:tcPr>
        <w:shd w:val="clear" w:color="auto" w:fill="F1DDAA" w:themeFill="accent5" w:themeFillTint="66"/>
      </w:tcPr>
    </w:tblStylePr>
    <w:tblStylePr w:type="band1Horz">
      <w:tblPr/>
      <w:tcPr>
        <w:shd w:val="clear" w:color="auto" w:fill="F1DDAA" w:themeFill="accent5" w:themeFillTint="66"/>
      </w:tcPr>
    </w:tblStylePr>
  </w:style>
  <w:style w:type="table" w:styleId="GridTable5Dark-Accent4">
    <w:name w:val="Grid Table 5 Dark Accent 4"/>
    <w:basedOn w:val="TableNormal"/>
    <w:uiPriority w:val="50"/>
    <w:rsid w:val="006576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0E7" w:themeFill="accent4"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B888" w:themeFill="accent4"/>
      </w:tcPr>
    </w:tblStylePr>
    <w:tblStylePr w:type="lastRow">
      <w:rPr>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B888" w:themeFill="accent4"/>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B888" w:themeFill="accent4"/>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B888" w:themeFill="accent4"/>
      </w:tcPr>
    </w:tblStylePr>
    <w:tblStylePr w:type="band1Vert">
      <w:tblPr/>
      <w:tcPr>
        <w:shd w:val="clear" w:color="auto" w:fill="EBE2CF" w:themeFill="accent4" w:themeFillTint="66"/>
      </w:tcPr>
    </w:tblStylePr>
    <w:tblStylePr w:type="band1Horz">
      <w:tblPr/>
      <w:tcPr>
        <w:shd w:val="clear" w:color="auto" w:fill="EBE2CF" w:themeFill="accent4" w:themeFillTint="66"/>
      </w:tcPr>
    </w:tblStylePr>
  </w:style>
  <w:style w:type="table" w:styleId="GridTable4-Accent6">
    <w:name w:val="Grid Table 4 Accent 6"/>
    <w:basedOn w:val="TableNormal"/>
    <w:uiPriority w:val="49"/>
    <w:rsid w:val="00657630"/>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color w:val="auto"/>
      </w:rPr>
      <w:tblPr/>
      <w:tcPr>
        <w:tcBorders>
          <w:top w:val="single" w:sz="4" w:space="0" w:color="F2F0E6" w:themeColor="accent6"/>
          <w:left w:val="single" w:sz="4" w:space="0" w:color="F2F0E6" w:themeColor="accent6"/>
          <w:bottom w:val="single" w:sz="4" w:space="0" w:color="F2F0E6" w:themeColor="accent6"/>
          <w:right w:val="single" w:sz="4" w:space="0" w:color="F2F0E6" w:themeColor="accent6"/>
          <w:insideH w:val="nil"/>
          <w:insideV w:val="nil"/>
        </w:tcBorders>
        <w:shd w:val="clear" w:color="auto" w:fill="F2F0E6" w:themeFill="accent6"/>
      </w:tcPr>
    </w:tblStylePr>
    <w:tblStylePr w:type="lastRow">
      <w:rPr>
        <w:b/>
        <w:bCs/>
      </w:rPr>
      <w:tblPr/>
      <w:tcPr>
        <w:tcBorders>
          <w:top w:val="double" w:sz="4" w:space="0" w:color="F2F0E6" w:themeColor="accent6"/>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4-Accent5">
    <w:name w:val="Grid Table 4 Accent 5"/>
    <w:basedOn w:val="TableNormal"/>
    <w:uiPriority w:val="49"/>
    <w:rsid w:val="00657630"/>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color w:val="auto"/>
      </w:rPr>
      <w:tblPr/>
      <w:tcPr>
        <w:tcBorders>
          <w:top w:val="single" w:sz="4" w:space="0" w:color="DEAC2C" w:themeColor="accent5"/>
          <w:left w:val="single" w:sz="4" w:space="0" w:color="DEAC2C" w:themeColor="accent5"/>
          <w:bottom w:val="single" w:sz="4" w:space="0" w:color="DEAC2C" w:themeColor="accent5"/>
          <w:right w:val="single" w:sz="4" w:space="0" w:color="DEAC2C" w:themeColor="accent5"/>
          <w:insideH w:val="nil"/>
          <w:insideV w:val="nil"/>
        </w:tcBorders>
        <w:shd w:val="clear" w:color="auto" w:fill="DEAC2C" w:themeFill="accent5"/>
      </w:tcPr>
    </w:tblStylePr>
    <w:tblStylePr w:type="lastRow">
      <w:rPr>
        <w:b/>
        <w:bCs/>
      </w:rPr>
      <w:tblPr/>
      <w:tcPr>
        <w:tcBorders>
          <w:top w:val="double" w:sz="4" w:space="0" w:color="DEAC2C" w:themeColor="accent5"/>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4-Accent4">
    <w:name w:val="Grid Table 4 Accent 4"/>
    <w:basedOn w:val="TableNormal"/>
    <w:uiPriority w:val="49"/>
    <w:rsid w:val="00657630"/>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color w:val="auto"/>
      </w:rPr>
      <w:tblPr/>
      <w:tcPr>
        <w:tcBorders>
          <w:top w:val="single" w:sz="4" w:space="0" w:color="CEB888" w:themeColor="accent4"/>
          <w:left w:val="single" w:sz="4" w:space="0" w:color="CEB888" w:themeColor="accent4"/>
          <w:bottom w:val="single" w:sz="4" w:space="0" w:color="CEB888" w:themeColor="accent4"/>
          <w:right w:val="single" w:sz="4" w:space="0" w:color="CEB888" w:themeColor="accent4"/>
          <w:insideH w:val="nil"/>
          <w:insideV w:val="nil"/>
        </w:tcBorders>
        <w:shd w:val="clear" w:color="auto" w:fill="CEB888" w:themeFill="accent4"/>
      </w:tcPr>
    </w:tblStylePr>
    <w:tblStylePr w:type="lastRow">
      <w:rPr>
        <w:b/>
        <w:bCs/>
      </w:rPr>
      <w:tblPr/>
      <w:tcPr>
        <w:tcBorders>
          <w:top w:val="double" w:sz="4" w:space="0" w:color="CEB888" w:themeColor="accent4"/>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3-Accent6">
    <w:name w:val="Grid Table 3 Accent 6"/>
    <w:basedOn w:val="TableNormal"/>
    <w:uiPriority w:val="48"/>
    <w:rsid w:val="00657630"/>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bottom w:val="single" w:sz="4" w:space="0" w:color="F7F5EF" w:themeColor="accent6" w:themeTint="99"/>
        </w:tcBorders>
      </w:tcPr>
    </w:tblStylePr>
    <w:tblStylePr w:type="nwCell">
      <w:tblPr/>
      <w:tcPr>
        <w:tcBorders>
          <w:bottom w:val="single" w:sz="4" w:space="0" w:color="F7F5EF" w:themeColor="accent6" w:themeTint="99"/>
        </w:tcBorders>
      </w:tcPr>
    </w:tblStylePr>
    <w:tblStylePr w:type="seCell">
      <w:tblPr/>
      <w:tcPr>
        <w:tcBorders>
          <w:top w:val="single" w:sz="4" w:space="0" w:color="F7F5EF" w:themeColor="accent6" w:themeTint="99"/>
        </w:tcBorders>
      </w:tcPr>
    </w:tblStylePr>
    <w:tblStylePr w:type="swCell">
      <w:tblPr/>
      <w:tcPr>
        <w:tcBorders>
          <w:top w:val="single" w:sz="4" w:space="0" w:color="F7F5EF" w:themeColor="accent6" w:themeTint="99"/>
        </w:tcBorders>
      </w:tcPr>
    </w:tblStylePr>
  </w:style>
  <w:style w:type="table" w:styleId="GridTable3-Accent5">
    <w:name w:val="Grid Table 3 Accent 5"/>
    <w:basedOn w:val="TableNormal"/>
    <w:uiPriority w:val="48"/>
    <w:rsid w:val="00657630"/>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bottom w:val="single" w:sz="4" w:space="0" w:color="EBCC80" w:themeColor="accent5" w:themeTint="99"/>
        </w:tcBorders>
      </w:tcPr>
    </w:tblStylePr>
    <w:tblStylePr w:type="nwCell">
      <w:tblPr/>
      <w:tcPr>
        <w:tcBorders>
          <w:bottom w:val="single" w:sz="4" w:space="0" w:color="EBCC80" w:themeColor="accent5" w:themeTint="99"/>
        </w:tcBorders>
      </w:tcPr>
    </w:tblStylePr>
    <w:tblStylePr w:type="seCell">
      <w:tblPr/>
      <w:tcPr>
        <w:tcBorders>
          <w:top w:val="single" w:sz="4" w:space="0" w:color="EBCC80" w:themeColor="accent5" w:themeTint="99"/>
        </w:tcBorders>
      </w:tcPr>
    </w:tblStylePr>
    <w:tblStylePr w:type="swCell">
      <w:tblPr/>
      <w:tcPr>
        <w:tcBorders>
          <w:top w:val="single" w:sz="4" w:space="0" w:color="EBCC80" w:themeColor="accent5" w:themeTint="99"/>
        </w:tcBorders>
      </w:tcPr>
    </w:tblStylePr>
  </w:style>
  <w:style w:type="table" w:styleId="GridTable3-Accent4">
    <w:name w:val="Grid Table 3 Accent 4"/>
    <w:basedOn w:val="TableNormal"/>
    <w:uiPriority w:val="48"/>
    <w:rsid w:val="00657630"/>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bottom w:val="single" w:sz="4" w:space="0" w:color="E1D4B7" w:themeColor="accent4" w:themeTint="99"/>
        </w:tcBorders>
      </w:tcPr>
    </w:tblStylePr>
    <w:tblStylePr w:type="nwCell">
      <w:tblPr/>
      <w:tcPr>
        <w:tcBorders>
          <w:bottom w:val="single" w:sz="4" w:space="0" w:color="E1D4B7" w:themeColor="accent4" w:themeTint="99"/>
        </w:tcBorders>
      </w:tcPr>
    </w:tblStylePr>
    <w:tblStylePr w:type="seCell">
      <w:tblPr/>
      <w:tcPr>
        <w:tcBorders>
          <w:top w:val="single" w:sz="4" w:space="0" w:color="E1D4B7" w:themeColor="accent4" w:themeTint="99"/>
        </w:tcBorders>
      </w:tcPr>
    </w:tblStylePr>
    <w:tblStylePr w:type="swCell">
      <w:tblPr/>
      <w:tcPr>
        <w:tcBorders>
          <w:top w:val="single" w:sz="4" w:space="0" w:color="E1D4B7" w:themeColor="accent4" w:themeTint="99"/>
        </w:tcBorders>
      </w:tcPr>
    </w:tblStylePr>
  </w:style>
  <w:style w:type="table" w:styleId="GridTable2-Accent6">
    <w:name w:val="Grid Table 2 Accent 6"/>
    <w:basedOn w:val="TableNormal"/>
    <w:uiPriority w:val="47"/>
    <w:rsid w:val="00657630"/>
    <w:pPr>
      <w:spacing w:after="0" w:line="240" w:lineRule="auto"/>
    </w:pPr>
    <w:tblPr>
      <w:tblStyleRowBandSize w:val="1"/>
      <w:tblStyleColBandSize w:val="1"/>
      <w:tblBorders>
        <w:top w:val="single" w:sz="2" w:space="0" w:color="F7F5EF" w:themeColor="accent6" w:themeTint="99"/>
        <w:bottom w:val="single" w:sz="2" w:space="0" w:color="F7F5EF" w:themeColor="accent6" w:themeTint="99"/>
        <w:insideH w:val="single" w:sz="2" w:space="0" w:color="F7F5EF" w:themeColor="accent6" w:themeTint="99"/>
        <w:insideV w:val="single" w:sz="2" w:space="0" w:color="F7F5EF" w:themeColor="accent6" w:themeTint="99"/>
      </w:tblBorders>
    </w:tblPr>
    <w:tblStylePr w:type="firstRow">
      <w:rPr>
        <w:b/>
        <w:bCs/>
      </w:rPr>
      <w:tblPr/>
      <w:tcPr>
        <w:tcBorders>
          <w:top w:val="nil"/>
          <w:bottom w:val="single" w:sz="12" w:space="0" w:color="F7F5EF" w:themeColor="accent6" w:themeTint="99"/>
          <w:insideH w:val="nil"/>
          <w:insideV w:val="nil"/>
        </w:tcBorders>
        <w:shd w:val="clear" w:color="auto" w:fill="FFFFFF" w:themeFill="background1"/>
      </w:tcPr>
    </w:tblStylePr>
    <w:tblStylePr w:type="lastRow">
      <w:rPr>
        <w:b/>
        <w:bCs/>
      </w:rPr>
      <w:tblPr/>
      <w:tcPr>
        <w:tcBorders>
          <w:top w:val="double" w:sz="2" w:space="0" w:color="F7F5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2-Accent5">
    <w:name w:val="Grid Table 2 Accent 5"/>
    <w:basedOn w:val="TableNormal"/>
    <w:uiPriority w:val="47"/>
    <w:rsid w:val="00657630"/>
    <w:pPr>
      <w:spacing w:after="0" w:line="240" w:lineRule="auto"/>
    </w:pPr>
    <w:tblPr>
      <w:tblStyleRowBandSize w:val="1"/>
      <w:tblStyleColBandSize w:val="1"/>
      <w:tblBorders>
        <w:top w:val="single" w:sz="2" w:space="0" w:color="EBCC80" w:themeColor="accent5" w:themeTint="99"/>
        <w:bottom w:val="single" w:sz="2" w:space="0" w:color="EBCC80" w:themeColor="accent5" w:themeTint="99"/>
        <w:insideH w:val="single" w:sz="2" w:space="0" w:color="EBCC80" w:themeColor="accent5" w:themeTint="99"/>
        <w:insideV w:val="single" w:sz="2" w:space="0" w:color="EBCC80" w:themeColor="accent5" w:themeTint="99"/>
      </w:tblBorders>
    </w:tblPr>
    <w:tblStylePr w:type="firstRow">
      <w:rPr>
        <w:b/>
        <w:bCs/>
      </w:rPr>
      <w:tblPr/>
      <w:tcPr>
        <w:tcBorders>
          <w:top w:val="nil"/>
          <w:bottom w:val="single" w:sz="12" w:space="0" w:color="EBCC80" w:themeColor="accent5" w:themeTint="99"/>
          <w:insideH w:val="nil"/>
          <w:insideV w:val="nil"/>
        </w:tcBorders>
        <w:shd w:val="clear" w:color="auto" w:fill="FFFFFF" w:themeFill="background1"/>
      </w:tcPr>
    </w:tblStylePr>
    <w:tblStylePr w:type="lastRow">
      <w:rPr>
        <w:b/>
        <w:bCs/>
      </w:rPr>
      <w:tblPr/>
      <w:tcPr>
        <w:tcBorders>
          <w:top w:val="double" w:sz="2" w:space="0" w:color="EBCC8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2-Accent4">
    <w:name w:val="Grid Table 2 Accent 4"/>
    <w:basedOn w:val="TableNormal"/>
    <w:uiPriority w:val="47"/>
    <w:rsid w:val="00657630"/>
    <w:pPr>
      <w:spacing w:after="0" w:line="240" w:lineRule="auto"/>
    </w:pPr>
    <w:tblPr>
      <w:tblStyleRowBandSize w:val="1"/>
      <w:tblStyleColBandSize w:val="1"/>
      <w:tblBorders>
        <w:top w:val="single" w:sz="2" w:space="0" w:color="E1D4B7" w:themeColor="accent4" w:themeTint="99"/>
        <w:bottom w:val="single" w:sz="2" w:space="0" w:color="E1D4B7" w:themeColor="accent4" w:themeTint="99"/>
        <w:insideH w:val="single" w:sz="2" w:space="0" w:color="E1D4B7" w:themeColor="accent4" w:themeTint="99"/>
        <w:insideV w:val="single" w:sz="2" w:space="0" w:color="E1D4B7" w:themeColor="accent4" w:themeTint="99"/>
      </w:tblBorders>
    </w:tblPr>
    <w:tblStylePr w:type="firstRow">
      <w:rPr>
        <w:b/>
        <w:bCs/>
      </w:rPr>
      <w:tblPr/>
      <w:tcPr>
        <w:tcBorders>
          <w:top w:val="nil"/>
          <w:bottom w:val="single" w:sz="12" w:space="0" w:color="E1D4B7" w:themeColor="accent4" w:themeTint="99"/>
          <w:insideH w:val="nil"/>
          <w:insideV w:val="nil"/>
        </w:tcBorders>
        <w:shd w:val="clear" w:color="auto" w:fill="FFFFFF" w:themeFill="background1"/>
      </w:tcPr>
    </w:tblStylePr>
    <w:tblStylePr w:type="lastRow">
      <w:rPr>
        <w:b/>
        <w:bCs/>
      </w:rPr>
      <w:tblPr/>
      <w:tcPr>
        <w:tcBorders>
          <w:top w:val="double" w:sz="2" w:space="0" w:color="E1D4B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1Light-Accent6">
    <w:name w:val="Grid Table 1 Light Accent 6"/>
    <w:basedOn w:val="TableNormal"/>
    <w:uiPriority w:val="46"/>
    <w:rsid w:val="00657630"/>
    <w:pPr>
      <w:spacing w:after="0" w:line="240" w:lineRule="auto"/>
    </w:pPr>
    <w:tblPr>
      <w:tblStyleRowBandSize w:val="1"/>
      <w:tblStyleColBandSize w:val="1"/>
      <w:tblBorders>
        <w:top w:val="single" w:sz="4" w:space="0" w:color="F9F8F4" w:themeColor="accent6" w:themeTint="66"/>
        <w:left w:val="single" w:sz="4" w:space="0" w:color="F9F8F4" w:themeColor="accent6" w:themeTint="66"/>
        <w:bottom w:val="single" w:sz="4" w:space="0" w:color="F9F8F4" w:themeColor="accent6" w:themeTint="66"/>
        <w:right w:val="single" w:sz="4" w:space="0" w:color="F9F8F4" w:themeColor="accent6" w:themeTint="66"/>
        <w:insideH w:val="single" w:sz="4" w:space="0" w:color="F9F8F4" w:themeColor="accent6" w:themeTint="66"/>
        <w:insideV w:val="single" w:sz="4" w:space="0" w:color="F9F8F4" w:themeColor="accent6" w:themeTint="66"/>
      </w:tblBorders>
    </w:tblPr>
    <w:tblStylePr w:type="firstRow">
      <w:rPr>
        <w:b/>
        <w:bCs/>
      </w:rPr>
      <w:tblPr/>
      <w:tcPr>
        <w:tcBorders>
          <w:bottom w:val="single" w:sz="12" w:space="0" w:color="F7F5EF" w:themeColor="accent6" w:themeTint="99"/>
        </w:tcBorders>
      </w:tcPr>
    </w:tblStylePr>
    <w:tblStylePr w:type="lastRow">
      <w:rPr>
        <w:b/>
        <w:bCs/>
      </w:rPr>
      <w:tblPr/>
      <w:tcPr>
        <w:tcBorders>
          <w:top w:val="double" w:sz="2" w:space="0" w:color="F7F5EF"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57630"/>
    <w:pPr>
      <w:spacing w:after="0" w:line="240" w:lineRule="auto"/>
    </w:pPr>
    <w:tblPr>
      <w:tblStyleRowBandSize w:val="1"/>
      <w:tblStyleColBandSize w:val="1"/>
      <w:tblBorders>
        <w:top w:val="single" w:sz="4" w:space="0" w:color="F1DDAA" w:themeColor="accent5" w:themeTint="66"/>
        <w:left w:val="single" w:sz="4" w:space="0" w:color="F1DDAA" w:themeColor="accent5" w:themeTint="66"/>
        <w:bottom w:val="single" w:sz="4" w:space="0" w:color="F1DDAA" w:themeColor="accent5" w:themeTint="66"/>
        <w:right w:val="single" w:sz="4" w:space="0" w:color="F1DDAA" w:themeColor="accent5" w:themeTint="66"/>
        <w:insideH w:val="single" w:sz="4" w:space="0" w:color="F1DDAA" w:themeColor="accent5" w:themeTint="66"/>
        <w:insideV w:val="single" w:sz="4" w:space="0" w:color="F1DDAA" w:themeColor="accent5" w:themeTint="66"/>
      </w:tblBorders>
    </w:tblPr>
    <w:tblStylePr w:type="firstRow">
      <w:rPr>
        <w:b/>
        <w:bCs/>
      </w:rPr>
      <w:tblPr/>
      <w:tcPr>
        <w:tcBorders>
          <w:bottom w:val="single" w:sz="12" w:space="0" w:color="EBCC80" w:themeColor="accent5" w:themeTint="99"/>
        </w:tcBorders>
      </w:tcPr>
    </w:tblStylePr>
    <w:tblStylePr w:type="lastRow">
      <w:rPr>
        <w:b/>
        <w:bCs/>
      </w:rPr>
      <w:tblPr/>
      <w:tcPr>
        <w:tcBorders>
          <w:top w:val="double" w:sz="2" w:space="0" w:color="EBCC80"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57630"/>
    <w:pPr>
      <w:spacing w:after="0" w:line="240" w:lineRule="auto"/>
    </w:pPr>
    <w:tblPr>
      <w:tblStyleRowBandSize w:val="1"/>
      <w:tblStyleColBandSize w:val="1"/>
      <w:tblBorders>
        <w:top w:val="single" w:sz="4" w:space="0" w:color="EBE2CF" w:themeColor="accent4" w:themeTint="66"/>
        <w:left w:val="single" w:sz="4" w:space="0" w:color="EBE2CF" w:themeColor="accent4" w:themeTint="66"/>
        <w:bottom w:val="single" w:sz="4" w:space="0" w:color="EBE2CF" w:themeColor="accent4" w:themeTint="66"/>
        <w:right w:val="single" w:sz="4" w:space="0" w:color="EBE2CF" w:themeColor="accent4" w:themeTint="66"/>
        <w:insideH w:val="single" w:sz="4" w:space="0" w:color="EBE2CF" w:themeColor="accent4" w:themeTint="66"/>
        <w:insideV w:val="single" w:sz="4" w:space="0" w:color="EBE2CF" w:themeColor="accent4" w:themeTint="66"/>
      </w:tblBorders>
    </w:tblPr>
    <w:tblStylePr w:type="firstRow">
      <w:rPr>
        <w:b/>
        <w:bCs/>
      </w:rPr>
      <w:tblPr/>
      <w:tcPr>
        <w:tcBorders>
          <w:bottom w:val="single" w:sz="12" w:space="0" w:color="E1D4B7" w:themeColor="accent4" w:themeTint="99"/>
        </w:tcBorders>
      </w:tcPr>
    </w:tblStylePr>
    <w:tblStylePr w:type="lastRow">
      <w:rPr>
        <w:b/>
        <w:bCs/>
      </w:rPr>
      <w:tblPr/>
      <w:tcPr>
        <w:tcBorders>
          <w:top w:val="double" w:sz="2" w:space="0" w:color="E1D4B7" w:themeColor="accent4"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236D36"/>
    <w:pPr>
      <w:spacing w:before="0" w:line="240" w:lineRule="auto"/>
    </w:pPr>
    <w:rPr>
      <w:i/>
      <w:iCs/>
      <w:color w:val="00694B" w:themeColor="accent3"/>
      <w:szCs w:val="18"/>
    </w:rPr>
  </w:style>
  <w:style w:type="paragraph" w:styleId="TOCHeading">
    <w:name w:val="TOC Heading"/>
    <w:basedOn w:val="Heading1"/>
    <w:next w:val="Normal"/>
    <w:uiPriority w:val="39"/>
    <w:unhideWhenUsed/>
    <w:qFormat/>
    <w:rsid w:val="004A2629"/>
    <w:pPr>
      <w:keepNext/>
      <w:keepLines/>
      <w:spacing w:before="240" w:after="0" w:line="259" w:lineRule="auto"/>
      <w:outlineLvl w:val="9"/>
    </w:pPr>
    <w:rPr>
      <w:rFonts w:asciiTheme="majorHAnsi" w:eastAsiaTheme="majorEastAsia" w:hAnsiTheme="majorHAnsi" w:cstheme="majorBidi"/>
      <w:color w:val="112F26" w:themeColor="accent1" w:themeShade="BF"/>
      <w:sz w:val="32"/>
      <w:szCs w:val="32"/>
      <w:lang w:val="en-US"/>
    </w:rPr>
  </w:style>
  <w:style w:type="paragraph" w:styleId="TOC1">
    <w:name w:val="toc 1"/>
    <w:basedOn w:val="Normal"/>
    <w:next w:val="Normal"/>
    <w:autoRedefine/>
    <w:uiPriority w:val="39"/>
    <w:unhideWhenUsed/>
    <w:rsid w:val="00236949"/>
    <w:pPr>
      <w:tabs>
        <w:tab w:val="right" w:leader="dot" w:pos="9968"/>
      </w:tabs>
      <w:spacing w:after="100"/>
    </w:pPr>
  </w:style>
  <w:style w:type="paragraph" w:styleId="TableofFigures">
    <w:name w:val="table of figures"/>
    <w:basedOn w:val="Normal"/>
    <w:next w:val="Normal"/>
    <w:uiPriority w:val="99"/>
    <w:unhideWhenUsed/>
    <w:rsid w:val="004A2629"/>
    <w:pPr>
      <w:spacing w:after="0"/>
    </w:pPr>
  </w:style>
  <w:style w:type="paragraph" w:customStyle="1" w:styleId="Sourcesandnotes">
    <w:name w:val="Sources and notes"/>
    <w:basedOn w:val="Normal"/>
    <w:link w:val="SourcesandnotesChar"/>
    <w:qFormat/>
    <w:rsid w:val="00782808"/>
    <w:rPr>
      <w:sz w:val="16"/>
    </w:rPr>
  </w:style>
  <w:style w:type="character" w:customStyle="1" w:styleId="SourcesandnotesChar">
    <w:name w:val="Sources and notes Char"/>
    <w:basedOn w:val="DefaultParagraphFont"/>
    <w:link w:val="Sourcesandnotes"/>
    <w:rsid w:val="00782808"/>
    <w:rPr>
      <w:sz w:val="16"/>
      <w:szCs w:val="20"/>
    </w:rPr>
  </w:style>
  <w:style w:type="character" w:styleId="UnresolvedMention">
    <w:name w:val="Unresolved Mention"/>
    <w:basedOn w:val="DefaultParagraphFont"/>
    <w:uiPriority w:val="99"/>
    <w:semiHidden/>
    <w:unhideWhenUsed/>
    <w:rsid w:val="005015BE"/>
    <w:rPr>
      <w:color w:val="605E5C"/>
      <w:shd w:val="clear" w:color="auto" w:fill="E1DFDD"/>
    </w:rPr>
  </w:style>
  <w:style w:type="paragraph" w:styleId="TOC2">
    <w:name w:val="toc 2"/>
    <w:basedOn w:val="Normal"/>
    <w:next w:val="Normal"/>
    <w:autoRedefine/>
    <w:uiPriority w:val="39"/>
    <w:unhideWhenUsed/>
    <w:rsid w:val="005937A1"/>
    <w:pPr>
      <w:tabs>
        <w:tab w:val="right" w:leader="dot" w:pos="9968"/>
      </w:tabs>
      <w:spacing w:before="0" w:after="100" w:line="259" w:lineRule="auto"/>
      <w:ind w:left="220"/>
    </w:pPr>
    <w:rPr>
      <w:rFonts w:eastAsiaTheme="minorEastAsia" w:cs="Times New Roman"/>
      <w:sz w:val="22"/>
      <w:szCs w:val="22"/>
      <w:lang w:val="en-US"/>
    </w:rPr>
  </w:style>
  <w:style w:type="paragraph" w:styleId="TOC3">
    <w:name w:val="toc 3"/>
    <w:basedOn w:val="Normal"/>
    <w:next w:val="Normal"/>
    <w:autoRedefine/>
    <w:uiPriority w:val="39"/>
    <w:unhideWhenUsed/>
    <w:rsid w:val="00CA4D45"/>
    <w:pPr>
      <w:spacing w:before="0" w:after="100" w:line="259" w:lineRule="auto"/>
      <w:ind w:left="440"/>
    </w:pPr>
    <w:rPr>
      <w:rFonts w:eastAsiaTheme="minorEastAsia" w:cs="Times New Roman"/>
      <w:sz w:val="22"/>
      <w:szCs w:val="22"/>
      <w:lang w:val="en-US"/>
    </w:rPr>
  </w:style>
  <w:style w:type="character" w:customStyle="1" w:styleId="Heading4Char">
    <w:name w:val="Heading 4 Char"/>
    <w:basedOn w:val="DefaultParagraphFont"/>
    <w:link w:val="Heading4"/>
    <w:uiPriority w:val="9"/>
    <w:semiHidden/>
    <w:rsid w:val="00921460"/>
    <w:rPr>
      <w:rFonts w:asciiTheme="majorHAnsi" w:eastAsiaTheme="majorEastAsia" w:hAnsiTheme="majorHAnsi" w:cstheme="majorBidi"/>
      <w:i/>
      <w:iCs/>
      <w:color w:val="112F26" w:themeColor="accent1" w:themeShade="BF"/>
      <w:sz w:val="20"/>
      <w:szCs w:val="20"/>
    </w:rPr>
  </w:style>
  <w:style w:type="paragraph" w:styleId="BalloonText">
    <w:name w:val="Balloon Text"/>
    <w:basedOn w:val="Normal"/>
    <w:link w:val="BalloonTextChar"/>
    <w:uiPriority w:val="99"/>
    <w:semiHidden/>
    <w:unhideWhenUsed/>
    <w:rsid w:val="004D1BB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BBB"/>
    <w:rPr>
      <w:rFonts w:ascii="Segoe UI" w:hAnsi="Segoe UI" w:cs="Segoe UI"/>
      <w:sz w:val="18"/>
      <w:szCs w:val="18"/>
    </w:rPr>
  </w:style>
  <w:style w:type="paragraph" w:styleId="Bibliography">
    <w:name w:val="Bibliography"/>
    <w:basedOn w:val="Normal"/>
    <w:next w:val="Normal"/>
    <w:uiPriority w:val="37"/>
    <w:semiHidden/>
    <w:unhideWhenUsed/>
    <w:rsid w:val="004D1BBB"/>
  </w:style>
  <w:style w:type="paragraph" w:styleId="BlockText">
    <w:name w:val="Block Text"/>
    <w:basedOn w:val="Normal"/>
    <w:uiPriority w:val="99"/>
    <w:semiHidden/>
    <w:unhideWhenUsed/>
    <w:rsid w:val="004D1BBB"/>
    <w:pPr>
      <w:pBdr>
        <w:top w:val="single" w:sz="2" w:space="10" w:color="173F34" w:themeColor="accent1"/>
        <w:left w:val="single" w:sz="2" w:space="10" w:color="173F34" w:themeColor="accent1"/>
        <w:bottom w:val="single" w:sz="2" w:space="10" w:color="173F34" w:themeColor="accent1"/>
        <w:right w:val="single" w:sz="2" w:space="10" w:color="173F34" w:themeColor="accent1"/>
      </w:pBdr>
      <w:ind w:left="1152" w:right="1152"/>
    </w:pPr>
    <w:rPr>
      <w:rFonts w:eastAsiaTheme="minorEastAsia"/>
      <w:i/>
      <w:iCs/>
      <w:color w:val="173F34" w:themeColor="accent1"/>
    </w:rPr>
  </w:style>
  <w:style w:type="paragraph" w:styleId="BodyText">
    <w:name w:val="Body Text"/>
    <w:basedOn w:val="Normal"/>
    <w:link w:val="BodyTextChar"/>
    <w:uiPriority w:val="99"/>
    <w:semiHidden/>
    <w:unhideWhenUsed/>
    <w:rsid w:val="004D1BBB"/>
    <w:pPr>
      <w:spacing w:after="120"/>
    </w:pPr>
  </w:style>
  <w:style w:type="character" w:customStyle="1" w:styleId="BodyTextChar">
    <w:name w:val="Body Text Char"/>
    <w:basedOn w:val="DefaultParagraphFont"/>
    <w:link w:val="BodyText"/>
    <w:uiPriority w:val="99"/>
    <w:semiHidden/>
    <w:rsid w:val="004D1BBB"/>
    <w:rPr>
      <w:sz w:val="20"/>
      <w:szCs w:val="20"/>
    </w:rPr>
  </w:style>
  <w:style w:type="paragraph" w:styleId="BodyText2">
    <w:name w:val="Body Text 2"/>
    <w:basedOn w:val="Normal"/>
    <w:link w:val="BodyText2Char"/>
    <w:uiPriority w:val="99"/>
    <w:semiHidden/>
    <w:unhideWhenUsed/>
    <w:rsid w:val="004D1BBB"/>
    <w:pPr>
      <w:spacing w:after="120" w:line="480" w:lineRule="auto"/>
    </w:pPr>
  </w:style>
  <w:style w:type="character" w:customStyle="1" w:styleId="BodyText2Char">
    <w:name w:val="Body Text 2 Char"/>
    <w:basedOn w:val="DefaultParagraphFont"/>
    <w:link w:val="BodyText2"/>
    <w:uiPriority w:val="99"/>
    <w:semiHidden/>
    <w:rsid w:val="004D1BBB"/>
    <w:rPr>
      <w:sz w:val="20"/>
      <w:szCs w:val="20"/>
    </w:rPr>
  </w:style>
  <w:style w:type="paragraph" w:styleId="BodyText3">
    <w:name w:val="Body Text 3"/>
    <w:basedOn w:val="Normal"/>
    <w:link w:val="BodyText3Char"/>
    <w:uiPriority w:val="99"/>
    <w:semiHidden/>
    <w:unhideWhenUsed/>
    <w:rsid w:val="004D1BBB"/>
    <w:pPr>
      <w:spacing w:after="120"/>
    </w:pPr>
    <w:rPr>
      <w:sz w:val="16"/>
      <w:szCs w:val="16"/>
    </w:rPr>
  </w:style>
  <w:style w:type="character" w:customStyle="1" w:styleId="BodyText3Char">
    <w:name w:val="Body Text 3 Char"/>
    <w:basedOn w:val="DefaultParagraphFont"/>
    <w:link w:val="BodyText3"/>
    <w:uiPriority w:val="99"/>
    <w:semiHidden/>
    <w:rsid w:val="004D1BBB"/>
    <w:rPr>
      <w:sz w:val="16"/>
      <w:szCs w:val="16"/>
    </w:rPr>
  </w:style>
  <w:style w:type="paragraph" w:styleId="BodyTextFirstIndent">
    <w:name w:val="Body Text First Indent"/>
    <w:basedOn w:val="BodyText"/>
    <w:link w:val="BodyTextFirstIndentChar"/>
    <w:uiPriority w:val="99"/>
    <w:semiHidden/>
    <w:unhideWhenUsed/>
    <w:rsid w:val="004D1BBB"/>
    <w:pPr>
      <w:spacing w:after="200"/>
      <w:ind w:firstLine="360"/>
    </w:pPr>
  </w:style>
  <w:style w:type="character" w:customStyle="1" w:styleId="BodyTextFirstIndentChar">
    <w:name w:val="Body Text First Indent Char"/>
    <w:basedOn w:val="BodyTextChar"/>
    <w:link w:val="BodyTextFirstIndent"/>
    <w:uiPriority w:val="99"/>
    <w:semiHidden/>
    <w:rsid w:val="004D1BBB"/>
    <w:rPr>
      <w:sz w:val="20"/>
      <w:szCs w:val="20"/>
    </w:rPr>
  </w:style>
  <w:style w:type="paragraph" w:styleId="BodyTextIndent">
    <w:name w:val="Body Text Indent"/>
    <w:basedOn w:val="Normal"/>
    <w:link w:val="BodyTextIndentChar"/>
    <w:uiPriority w:val="99"/>
    <w:semiHidden/>
    <w:unhideWhenUsed/>
    <w:rsid w:val="004D1BBB"/>
    <w:pPr>
      <w:spacing w:after="120"/>
      <w:ind w:left="283"/>
    </w:pPr>
  </w:style>
  <w:style w:type="character" w:customStyle="1" w:styleId="BodyTextIndentChar">
    <w:name w:val="Body Text Indent Char"/>
    <w:basedOn w:val="DefaultParagraphFont"/>
    <w:link w:val="BodyTextIndent"/>
    <w:uiPriority w:val="99"/>
    <w:semiHidden/>
    <w:rsid w:val="004D1BBB"/>
    <w:rPr>
      <w:sz w:val="20"/>
      <w:szCs w:val="20"/>
    </w:rPr>
  </w:style>
  <w:style w:type="paragraph" w:styleId="BodyTextFirstIndent2">
    <w:name w:val="Body Text First Indent 2"/>
    <w:basedOn w:val="BodyTextIndent"/>
    <w:link w:val="BodyTextFirstIndent2Char"/>
    <w:uiPriority w:val="99"/>
    <w:semiHidden/>
    <w:unhideWhenUsed/>
    <w:rsid w:val="004D1BBB"/>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4D1BBB"/>
    <w:rPr>
      <w:sz w:val="20"/>
      <w:szCs w:val="20"/>
    </w:rPr>
  </w:style>
  <w:style w:type="paragraph" w:styleId="BodyTextIndent2">
    <w:name w:val="Body Text Indent 2"/>
    <w:basedOn w:val="Normal"/>
    <w:link w:val="BodyTextIndent2Char"/>
    <w:uiPriority w:val="99"/>
    <w:semiHidden/>
    <w:unhideWhenUsed/>
    <w:rsid w:val="004D1BBB"/>
    <w:pPr>
      <w:spacing w:after="120" w:line="480" w:lineRule="auto"/>
      <w:ind w:left="283"/>
    </w:pPr>
  </w:style>
  <w:style w:type="character" w:customStyle="1" w:styleId="BodyTextIndent2Char">
    <w:name w:val="Body Text Indent 2 Char"/>
    <w:basedOn w:val="DefaultParagraphFont"/>
    <w:link w:val="BodyTextIndent2"/>
    <w:uiPriority w:val="99"/>
    <w:semiHidden/>
    <w:rsid w:val="004D1BBB"/>
    <w:rPr>
      <w:sz w:val="20"/>
      <w:szCs w:val="20"/>
    </w:rPr>
  </w:style>
  <w:style w:type="paragraph" w:styleId="BodyTextIndent3">
    <w:name w:val="Body Text Indent 3"/>
    <w:basedOn w:val="Normal"/>
    <w:link w:val="BodyTextIndent3Char"/>
    <w:uiPriority w:val="99"/>
    <w:semiHidden/>
    <w:unhideWhenUsed/>
    <w:rsid w:val="004D1B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D1BBB"/>
    <w:rPr>
      <w:sz w:val="16"/>
      <w:szCs w:val="16"/>
    </w:rPr>
  </w:style>
  <w:style w:type="paragraph" w:styleId="Closing">
    <w:name w:val="Closing"/>
    <w:basedOn w:val="Normal"/>
    <w:link w:val="ClosingChar"/>
    <w:uiPriority w:val="99"/>
    <w:semiHidden/>
    <w:unhideWhenUsed/>
    <w:rsid w:val="004D1BBB"/>
    <w:pPr>
      <w:spacing w:before="0" w:after="0" w:line="240" w:lineRule="auto"/>
      <w:ind w:left="4252"/>
    </w:pPr>
  </w:style>
  <w:style w:type="character" w:customStyle="1" w:styleId="ClosingChar">
    <w:name w:val="Closing Char"/>
    <w:basedOn w:val="DefaultParagraphFont"/>
    <w:link w:val="Closing"/>
    <w:uiPriority w:val="99"/>
    <w:semiHidden/>
    <w:rsid w:val="004D1BBB"/>
    <w:rPr>
      <w:sz w:val="20"/>
      <w:szCs w:val="20"/>
    </w:rPr>
  </w:style>
  <w:style w:type="paragraph" w:styleId="DocumentMap">
    <w:name w:val="Document Map"/>
    <w:basedOn w:val="Normal"/>
    <w:link w:val="DocumentMapChar"/>
    <w:uiPriority w:val="99"/>
    <w:semiHidden/>
    <w:unhideWhenUsed/>
    <w:rsid w:val="004D1BBB"/>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D1BBB"/>
    <w:rPr>
      <w:rFonts w:ascii="Segoe UI" w:hAnsi="Segoe UI" w:cs="Segoe UI"/>
      <w:sz w:val="16"/>
      <w:szCs w:val="16"/>
    </w:rPr>
  </w:style>
  <w:style w:type="paragraph" w:styleId="EmailSignature">
    <w:name w:val="E-mail Signature"/>
    <w:basedOn w:val="Normal"/>
    <w:link w:val="EmailSignatureChar"/>
    <w:uiPriority w:val="99"/>
    <w:semiHidden/>
    <w:unhideWhenUsed/>
    <w:rsid w:val="004D1BBB"/>
    <w:pPr>
      <w:spacing w:before="0" w:after="0" w:line="240" w:lineRule="auto"/>
    </w:pPr>
  </w:style>
  <w:style w:type="character" w:customStyle="1" w:styleId="EmailSignatureChar">
    <w:name w:val="Email Signature Char"/>
    <w:basedOn w:val="DefaultParagraphFont"/>
    <w:link w:val="EmailSignature"/>
    <w:uiPriority w:val="99"/>
    <w:semiHidden/>
    <w:rsid w:val="004D1BBB"/>
    <w:rPr>
      <w:sz w:val="20"/>
      <w:szCs w:val="20"/>
    </w:rPr>
  </w:style>
  <w:style w:type="paragraph" w:styleId="EndnoteText">
    <w:name w:val="endnote text"/>
    <w:basedOn w:val="Normal"/>
    <w:link w:val="EndnoteTextChar"/>
    <w:uiPriority w:val="99"/>
    <w:semiHidden/>
    <w:unhideWhenUsed/>
    <w:rsid w:val="004D1BBB"/>
    <w:pPr>
      <w:spacing w:before="0" w:after="0" w:line="240" w:lineRule="auto"/>
    </w:pPr>
  </w:style>
  <w:style w:type="character" w:customStyle="1" w:styleId="EndnoteTextChar">
    <w:name w:val="Endnote Text Char"/>
    <w:basedOn w:val="DefaultParagraphFont"/>
    <w:link w:val="EndnoteText"/>
    <w:uiPriority w:val="99"/>
    <w:semiHidden/>
    <w:rsid w:val="004D1BBB"/>
    <w:rPr>
      <w:sz w:val="20"/>
      <w:szCs w:val="20"/>
    </w:rPr>
  </w:style>
  <w:style w:type="paragraph" w:styleId="EnvelopeAddress">
    <w:name w:val="envelope address"/>
    <w:basedOn w:val="Normal"/>
    <w:uiPriority w:val="99"/>
    <w:semiHidden/>
    <w:unhideWhenUsed/>
    <w:rsid w:val="004D1BBB"/>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D1BBB"/>
    <w:pPr>
      <w:spacing w:before="0"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4D1BBB"/>
    <w:pPr>
      <w:spacing w:before="0" w:after="0" w:line="240" w:lineRule="auto"/>
    </w:pPr>
  </w:style>
  <w:style w:type="character" w:customStyle="1" w:styleId="FootnoteTextChar">
    <w:name w:val="Footnote Text Char"/>
    <w:basedOn w:val="DefaultParagraphFont"/>
    <w:link w:val="FootnoteText"/>
    <w:uiPriority w:val="99"/>
    <w:semiHidden/>
    <w:rsid w:val="004D1BBB"/>
    <w:rPr>
      <w:sz w:val="20"/>
      <w:szCs w:val="20"/>
    </w:rPr>
  </w:style>
  <w:style w:type="character" w:customStyle="1" w:styleId="Heading5Char">
    <w:name w:val="Heading 5 Char"/>
    <w:basedOn w:val="DefaultParagraphFont"/>
    <w:link w:val="Heading5"/>
    <w:uiPriority w:val="9"/>
    <w:semiHidden/>
    <w:rsid w:val="004D1BBB"/>
    <w:rPr>
      <w:rFonts w:asciiTheme="majorHAnsi" w:eastAsiaTheme="majorEastAsia" w:hAnsiTheme="majorHAnsi" w:cstheme="majorBidi"/>
      <w:color w:val="112F26" w:themeColor="accent1" w:themeShade="BF"/>
      <w:sz w:val="20"/>
      <w:szCs w:val="20"/>
    </w:rPr>
  </w:style>
  <w:style w:type="character" w:customStyle="1" w:styleId="Heading6Char">
    <w:name w:val="Heading 6 Char"/>
    <w:basedOn w:val="DefaultParagraphFont"/>
    <w:link w:val="Heading6"/>
    <w:uiPriority w:val="9"/>
    <w:semiHidden/>
    <w:rsid w:val="004D1BBB"/>
    <w:rPr>
      <w:rFonts w:asciiTheme="majorHAnsi" w:eastAsiaTheme="majorEastAsia" w:hAnsiTheme="majorHAnsi" w:cstheme="majorBidi"/>
      <w:color w:val="0B1F19" w:themeColor="accent1" w:themeShade="7F"/>
      <w:sz w:val="20"/>
      <w:szCs w:val="20"/>
    </w:rPr>
  </w:style>
  <w:style w:type="character" w:customStyle="1" w:styleId="Heading7Char">
    <w:name w:val="Heading 7 Char"/>
    <w:basedOn w:val="DefaultParagraphFont"/>
    <w:link w:val="Heading7"/>
    <w:uiPriority w:val="9"/>
    <w:semiHidden/>
    <w:rsid w:val="004D1BBB"/>
    <w:rPr>
      <w:rFonts w:asciiTheme="majorHAnsi" w:eastAsiaTheme="majorEastAsia" w:hAnsiTheme="majorHAnsi" w:cstheme="majorBidi"/>
      <w:i/>
      <w:iCs/>
      <w:color w:val="0B1F19" w:themeColor="accent1" w:themeShade="7F"/>
      <w:sz w:val="20"/>
      <w:szCs w:val="20"/>
    </w:rPr>
  </w:style>
  <w:style w:type="character" w:customStyle="1" w:styleId="Heading8Char">
    <w:name w:val="Heading 8 Char"/>
    <w:basedOn w:val="DefaultParagraphFont"/>
    <w:link w:val="Heading8"/>
    <w:uiPriority w:val="9"/>
    <w:semiHidden/>
    <w:rsid w:val="004D1B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1BBB"/>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4D1BBB"/>
    <w:pPr>
      <w:spacing w:before="0" w:after="0" w:line="240" w:lineRule="auto"/>
    </w:pPr>
    <w:rPr>
      <w:i/>
      <w:iCs/>
    </w:rPr>
  </w:style>
  <w:style w:type="character" w:customStyle="1" w:styleId="HTMLAddressChar">
    <w:name w:val="HTML Address Char"/>
    <w:basedOn w:val="DefaultParagraphFont"/>
    <w:link w:val="HTMLAddress"/>
    <w:uiPriority w:val="99"/>
    <w:semiHidden/>
    <w:rsid w:val="004D1BBB"/>
    <w:rPr>
      <w:i/>
      <w:iCs/>
      <w:sz w:val="20"/>
      <w:szCs w:val="20"/>
    </w:rPr>
  </w:style>
  <w:style w:type="paragraph" w:styleId="HTMLPreformatted">
    <w:name w:val="HTML Preformatted"/>
    <w:basedOn w:val="Normal"/>
    <w:link w:val="HTMLPreformattedChar"/>
    <w:uiPriority w:val="99"/>
    <w:semiHidden/>
    <w:unhideWhenUsed/>
    <w:rsid w:val="004D1BBB"/>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4D1BBB"/>
    <w:rPr>
      <w:rFonts w:ascii="Consolas" w:hAnsi="Consolas"/>
      <w:sz w:val="20"/>
      <w:szCs w:val="20"/>
    </w:rPr>
  </w:style>
  <w:style w:type="paragraph" w:styleId="Index1">
    <w:name w:val="index 1"/>
    <w:basedOn w:val="Normal"/>
    <w:next w:val="Normal"/>
    <w:autoRedefine/>
    <w:uiPriority w:val="99"/>
    <w:semiHidden/>
    <w:unhideWhenUsed/>
    <w:rsid w:val="004D1BBB"/>
    <w:pPr>
      <w:spacing w:before="0" w:after="0" w:line="240" w:lineRule="auto"/>
      <w:ind w:left="200" w:hanging="200"/>
    </w:pPr>
  </w:style>
  <w:style w:type="paragraph" w:styleId="Index2">
    <w:name w:val="index 2"/>
    <w:basedOn w:val="Normal"/>
    <w:next w:val="Normal"/>
    <w:autoRedefine/>
    <w:uiPriority w:val="99"/>
    <w:semiHidden/>
    <w:unhideWhenUsed/>
    <w:rsid w:val="004D1BBB"/>
    <w:pPr>
      <w:spacing w:before="0" w:after="0" w:line="240" w:lineRule="auto"/>
      <w:ind w:left="400" w:hanging="200"/>
    </w:pPr>
  </w:style>
  <w:style w:type="paragraph" w:styleId="Index3">
    <w:name w:val="index 3"/>
    <w:basedOn w:val="Normal"/>
    <w:next w:val="Normal"/>
    <w:autoRedefine/>
    <w:uiPriority w:val="99"/>
    <w:semiHidden/>
    <w:unhideWhenUsed/>
    <w:rsid w:val="004D1BBB"/>
    <w:pPr>
      <w:spacing w:before="0" w:after="0" w:line="240" w:lineRule="auto"/>
      <w:ind w:left="600" w:hanging="200"/>
    </w:pPr>
  </w:style>
  <w:style w:type="paragraph" w:styleId="Index4">
    <w:name w:val="index 4"/>
    <w:basedOn w:val="Normal"/>
    <w:next w:val="Normal"/>
    <w:autoRedefine/>
    <w:uiPriority w:val="99"/>
    <w:semiHidden/>
    <w:unhideWhenUsed/>
    <w:rsid w:val="004D1BBB"/>
    <w:pPr>
      <w:spacing w:before="0" w:after="0" w:line="240" w:lineRule="auto"/>
      <w:ind w:left="800" w:hanging="200"/>
    </w:pPr>
  </w:style>
  <w:style w:type="paragraph" w:styleId="Index5">
    <w:name w:val="index 5"/>
    <w:basedOn w:val="Normal"/>
    <w:next w:val="Normal"/>
    <w:autoRedefine/>
    <w:uiPriority w:val="99"/>
    <w:semiHidden/>
    <w:unhideWhenUsed/>
    <w:rsid w:val="004D1BBB"/>
    <w:pPr>
      <w:spacing w:before="0" w:after="0" w:line="240" w:lineRule="auto"/>
      <w:ind w:left="1000" w:hanging="200"/>
    </w:pPr>
  </w:style>
  <w:style w:type="paragraph" w:styleId="Index6">
    <w:name w:val="index 6"/>
    <w:basedOn w:val="Normal"/>
    <w:next w:val="Normal"/>
    <w:autoRedefine/>
    <w:uiPriority w:val="99"/>
    <w:semiHidden/>
    <w:unhideWhenUsed/>
    <w:rsid w:val="004D1BBB"/>
    <w:pPr>
      <w:spacing w:before="0" w:after="0" w:line="240" w:lineRule="auto"/>
      <w:ind w:left="1200" w:hanging="200"/>
    </w:pPr>
  </w:style>
  <w:style w:type="paragraph" w:styleId="Index7">
    <w:name w:val="index 7"/>
    <w:basedOn w:val="Normal"/>
    <w:next w:val="Normal"/>
    <w:autoRedefine/>
    <w:uiPriority w:val="99"/>
    <w:semiHidden/>
    <w:unhideWhenUsed/>
    <w:rsid w:val="004D1BBB"/>
    <w:pPr>
      <w:spacing w:before="0" w:after="0" w:line="240" w:lineRule="auto"/>
      <w:ind w:left="1400" w:hanging="200"/>
    </w:pPr>
  </w:style>
  <w:style w:type="paragraph" w:styleId="Index8">
    <w:name w:val="index 8"/>
    <w:basedOn w:val="Normal"/>
    <w:next w:val="Normal"/>
    <w:autoRedefine/>
    <w:uiPriority w:val="99"/>
    <w:semiHidden/>
    <w:unhideWhenUsed/>
    <w:rsid w:val="004D1BBB"/>
    <w:pPr>
      <w:spacing w:before="0" w:after="0" w:line="240" w:lineRule="auto"/>
      <w:ind w:left="1600" w:hanging="200"/>
    </w:pPr>
  </w:style>
  <w:style w:type="paragraph" w:styleId="Index9">
    <w:name w:val="index 9"/>
    <w:basedOn w:val="Normal"/>
    <w:next w:val="Normal"/>
    <w:autoRedefine/>
    <w:uiPriority w:val="99"/>
    <w:semiHidden/>
    <w:unhideWhenUsed/>
    <w:rsid w:val="004D1BBB"/>
    <w:pPr>
      <w:spacing w:before="0" w:after="0" w:line="240" w:lineRule="auto"/>
      <w:ind w:left="1800" w:hanging="200"/>
    </w:pPr>
  </w:style>
  <w:style w:type="paragraph" w:styleId="IndexHeading">
    <w:name w:val="index heading"/>
    <w:basedOn w:val="Normal"/>
    <w:next w:val="Index1"/>
    <w:uiPriority w:val="99"/>
    <w:semiHidden/>
    <w:unhideWhenUsed/>
    <w:rsid w:val="004D1BBB"/>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4D1BBB"/>
    <w:pPr>
      <w:pBdr>
        <w:top w:val="single" w:sz="4" w:space="10" w:color="173F34" w:themeColor="accent1"/>
        <w:bottom w:val="single" w:sz="4" w:space="10" w:color="173F34" w:themeColor="accent1"/>
      </w:pBdr>
      <w:spacing w:before="360" w:after="360"/>
      <w:ind w:left="864" w:right="864"/>
      <w:jc w:val="center"/>
    </w:pPr>
    <w:rPr>
      <w:i/>
      <w:iCs/>
      <w:color w:val="173F34" w:themeColor="accent1"/>
    </w:rPr>
  </w:style>
  <w:style w:type="character" w:customStyle="1" w:styleId="IntenseQuoteChar">
    <w:name w:val="Intense Quote Char"/>
    <w:basedOn w:val="DefaultParagraphFont"/>
    <w:link w:val="IntenseQuote"/>
    <w:uiPriority w:val="30"/>
    <w:rsid w:val="004D1BBB"/>
    <w:rPr>
      <w:i/>
      <w:iCs/>
      <w:color w:val="173F34" w:themeColor="accent1"/>
      <w:sz w:val="20"/>
      <w:szCs w:val="20"/>
    </w:rPr>
  </w:style>
  <w:style w:type="paragraph" w:styleId="List">
    <w:name w:val="List"/>
    <w:basedOn w:val="Normal"/>
    <w:uiPriority w:val="99"/>
    <w:semiHidden/>
    <w:unhideWhenUsed/>
    <w:rsid w:val="004D1BBB"/>
    <w:pPr>
      <w:ind w:left="283" w:hanging="283"/>
      <w:contextualSpacing/>
    </w:pPr>
  </w:style>
  <w:style w:type="paragraph" w:styleId="List2">
    <w:name w:val="List 2"/>
    <w:basedOn w:val="Normal"/>
    <w:uiPriority w:val="99"/>
    <w:semiHidden/>
    <w:unhideWhenUsed/>
    <w:rsid w:val="004D1BBB"/>
    <w:pPr>
      <w:ind w:left="566" w:hanging="283"/>
      <w:contextualSpacing/>
    </w:pPr>
  </w:style>
  <w:style w:type="paragraph" w:styleId="List3">
    <w:name w:val="List 3"/>
    <w:basedOn w:val="Normal"/>
    <w:uiPriority w:val="99"/>
    <w:semiHidden/>
    <w:unhideWhenUsed/>
    <w:rsid w:val="004D1BBB"/>
    <w:pPr>
      <w:ind w:left="849" w:hanging="283"/>
      <w:contextualSpacing/>
    </w:pPr>
  </w:style>
  <w:style w:type="paragraph" w:styleId="List4">
    <w:name w:val="List 4"/>
    <w:basedOn w:val="Normal"/>
    <w:uiPriority w:val="99"/>
    <w:semiHidden/>
    <w:unhideWhenUsed/>
    <w:rsid w:val="004D1BBB"/>
    <w:pPr>
      <w:ind w:left="1132" w:hanging="283"/>
      <w:contextualSpacing/>
    </w:pPr>
  </w:style>
  <w:style w:type="paragraph" w:styleId="List5">
    <w:name w:val="List 5"/>
    <w:basedOn w:val="Normal"/>
    <w:uiPriority w:val="99"/>
    <w:semiHidden/>
    <w:unhideWhenUsed/>
    <w:rsid w:val="004D1BBB"/>
    <w:pPr>
      <w:ind w:left="1415" w:hanging="283"/>
      <w:contextualSpacing/>
    </w:pPr>
  </w:style>
  <w:style w:type="paragraph" w:styleId="ListBullet4">
    <w:name w:val="List Bullet 4"/>
    <w:basedOn w:val="Normal"/>
    <w:uiPriority w:val="99"/>
    <w:semiHidden/>
    <w:unhideWhenUsed/>
    <w:rsid w:val="004D1BBB"/>
    <w:pPr>
      <w:numPr>
        <w:numId w:val="13"/>
      </w:numPr>
      <w:contextualSpacing/>
    </w:pPr>
  </w:style>
  <w:style w:type="paragraph" w:styleId="ListBullet5">
    <w:name w:val="List Bullet 5"/>
    <w:basedOn w:val="Normal"/>
    <w:uiPriority w:val="99"/>
    <w:semiHidden/>
    <w:unhideWhenUsed/>
    <w:rsid w:val="004D1BBB"/>
    <w:pPr>
      <w:numPr>
        <w:numId w:val="14"/>
      </w:numPr>
      <w:contextualSpacing/>
    </w:pPr>
  </w:style>
  <w:style w:type="paragraph" w:styleId="ListContinue">
    <w:name w:val="List Continue"/>
    <w:basedOn w:val="Normal"/>
    <w:uiPriority w:val="99"/>
    <w:semiHidden/>
    <w:unhideWhenUsed/>
    <w:rsid w:val="004D1BBB"/>
    <w:pPr>
      <w:spacing w:after="120"/>
      <w:ind w:left="283"/>
      <w:contextualSpacing/>
    </w:pPr>
  </w:style>
  <w:style w:type="paragraph" w:styleId="ListContinue2">
    <w:name w:val="List Continue 2"/>
    <w:basedOn w:val="Normal"/>
    <w:uiPriority w:val="99"/>
    <w:semiHidden/>
    <w:unhideWhenUsed/>
    <w:rsid w:val="004D1BBB"/>
    <w:pPr>
      <w:spacing w:after="120"/>
      <w:ind w:left="566"/>
      <w:contextualSpacing/>
    </w:pPr>
  </w:style>
  <w:style w:type="paragraph" w:styleId="ListContinue3">
    <w:name w:val="List Continue 3"/>
    <w:basedOn w:val="Normal"/>
    <w:uiPriority w:val="99"/>
    <w:semiHidden/>
    <w:unhideWhenUsed/>
    <w:rsid w:val="004D1BBB"/>
    <w:pPr>
      <w:spacing w:after="120"/>
      <w:ind w:left="849"/>
      <w:contextualSpacing/>
    </w:pPr>
  </w:style>
  <w:style w:type="paragraph" w:styleId="ListContinue4">
    <w:name w:val="List Continue 4"/>
    <w:basedOn w:val="Normal"/>
    <w:uiPriority w:val="99"/>
    <w:semiHidden/>
    <w:unhideWhenUsed/>
    <w:rsid w:val="004D1BBB"/>
    <w:pPr>
      <w:spacing w:after="120"/>
      <w:ind w:left="1132"/>
      <w:contextualSpacing/>
    </w:pPr>
  </w:style>
  <w:style w:type="paragraph" w:styleId="ListContinue5">
    <w:name w:val="List Continue 5"/>
    <w:basedOn w:val="Normal"/>
    <w:uiPriority w:val="99"/>
    <w:semiHidden/>
    <w:unhideWhenUsed/>
    <w:rsid w:val="004D1BBB"/>
    <w:pPr>
      <w:spacing w:after="120"/>
      <w:ind w:left="1415"/>
      <w:contextualSpacing/>
    </w:pPr>
  </w:style>
  <w:style w:type="paragraph" w:styleId="ListNumber">
    <w:name w:val="List Number"/>
    <w:basedOn w:val="Normal"/>
    <w:uiPriority w:val="99"/>
    <w:semiHidden/>
    <w:unhideWhenUsed/>
    <w:rsid w:val="004D1BBB"/>
    <w:pPr>
      <w:numPr>
        <w:numId w:val="15"/>
      </w:numPr>
      <w:ind w:left="0" w:firstLine="0"/>
      <w:contextualSpacing/>
    </w:pPr>
  </w:style>
  <w:style w:type="paragraph" w:styleId="ListNumber2">
    <w:name w:val="List Number 2"/>
    <w:basedOn w:val="Normal"/>
    <w:uiPriority w:val="99"/>
    <w:semiHidden/>
    <w:unhideWhenUsed/>
    <w:rsid w:val="004D1BBB"/>
    <w:pPr>
      <w:numPr>
        <w:numId w:val="16"/>
      </w:numPr>
      <w:tabs>
        <w:tab w:val="num" w:pos="360"/>
      </w:tabs>
      <w:ind w:left="0" w:firstLine="0"/>
      <w:contextualSpacing/>
    </w:pPr>
  </w:style>
  <w:style w:type="paragraph" w:styleId="ListNumber3">
    <w:name w:val="List Number 3"/>
    <w:basedOn w:val="Normal"/>
    <w:uiPriority w:val="99"/>
    <w:semiHidden/>
    <w:unhideWhenUsed/>
    <w:rsid w:val="004D1BBB"/>
    <w:pPr>
      <w:numPr>
        <w:numId w:val="17"/>
      </w:numPr>
      <w:tabs>
        <w:tab w:val="num" w:pos="360"/>
      </w:tabs>
      <w:ind w:left="0" w:firstLine="0"/>
      <w:contextualSpacing/>
    </w:pPr>
  </w:style>
  <w:style w:type="paragraph" w:styleId="ListNumber4">
    <w:name w:val="List Number 4"/>
    <w:basedOn w:val="Normal"/>
    <w:uiPriority w:val="99"/>
    <w:semiHidden/>
    <w:unhideWhenUsed/>
    <w:rsid w:val="004D1BBB"/>
    <w:pPr>
      <w:numPr>
        <w:numId w:val="18"/>
      </w:numPr>
      <w:tabs>
        <w:tab w:val="num" w:pos="360"/>
      </w:tabs>
      <w:ind w:left="0" w:firstLine="0"/>
      <w:contextualSpacing/>
    </w:pPr>
  </w:style>
  <w:style w:type="paragraph" w:styleId="ListNumber5">
    <w:name w:val="List Number 5"/>
    <w:basedOn w:val="Normal"/>
    <w:uiPriority w:val="99"/>
    <w:semiHidden/>
    <w:unhideWhenUsed/>
    <w:rsid w:val="004D1BBB"/>
    <w:pPr>
      <w:numPr>
        <w:numId w:val="19"/>
      </w:numPr>
      <w:tabs>
        <w:tab w:val="num" w:pos="360"/>
      </w:tabs>
      <w:ind w:left="0" w:firstLine="0"/>
      <w:contextualSpacing/>
    </w:pPr>
  </w:style>
  <w:style w:type="paragraph" w:styleId="MacroText">
    <w:name w:val="macro"/>
    <w:link w:val="MacroTextChar"/>
    <w:uiPriority w:val="99"/>
    <w:semiHidden/>
    <w:unhideWhenUsed/>
    <w:rsid w:val="004D1BBB"/>
    <w:pPr>
      <w:tabs>
        <w:tab w:val="left" w:pos="480"/>
        <w:tab w:val="left" w:pos="960"/>
        <w:tab w:val="left" w:pos="1440"/>
        <w:tab w:val="left" w:pos="1920"/>
        <w:tab w:val="left" w:pos="2400"/>
        <w:tab w:val="left" w:pos="2880"/>
        <w:tab w:val="left" w:pos="3360"/>
        <w:tab w:val="left" w:pos="3840"/>
        <w:tab w:val="left" w:pos="4320"/>
      </w:tabs>
      <w:spacing w:before="200" w:after="0" w:line="30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4D1BBB"/>
    <w:rPr>
      <w:rFonts w:ascii="Consolas" w:hAnsi="Consolas"/>
      <w:sz w:val="20"/>
      <w:szCs w:val="20"/>
    </w:rPr>
  </w:style>
  <w:style w:type="paragraph" w:styleId="MessageHeader">
    <w:name w:val="Message Header"/>
    <w:basedOn w:val="Normal"/>
    <w:link w:val="MessageHeaderChar"/>
    <w:uiPriority w:val="99"/>
    <w:semiHidden/>
    <w:unhideWhenUsed/>
    <w:rsid w:val="004D1BBB"/>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D1BB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4D1BBB"/>
    <w:rPr>
      <w:rFonts w:ascii="Times New Roman" w:hAnsi="Times New Roman" w:cs="Times New Roman"/>
      <w:sz w:val="24"/>
      <w:szCs w:val="24"/>
    </w:rPr>
  </w:style>
  <w:style w:type="paragraph" w:styleId="NormalIndent">
    <w:name w:val="Normal Indent"/>
    <w:basedOn w:val="Normal"/>
    <w:uiPriority w:val="99"/>
    <w:semiHidden/>
    <w:unhideWhenUsed/>
    <w:rsid w:val="004D1BBB"/>
    <w:pPr>
      <w:ind w:left="720"/>
    </w:pPr>
  </w:style>
  <w:style w:type="paragraph" w:styleId="NoteHeading">
    <w:name w:val="Note Heading"/>
    <w:basedOn w:val="Normal"/>
    <w:next w:val="Normal"/>
    <w:link w:val="NoteHeadingChar"/>
    <w:uiPriority w:val="99"/>
    <w:semiHidden/>
    <w:unhideWhenUsed/>
    <w:rsid w:val="004D1BBB"/>
    <w:pPr>
      <w:spacing w:before="0" w:after="0" w:line="240" w:lineRule="auto"/>
    </w:pPr>
  </w:style>
  <w:style w:type="character" w:customStyle="1" w:styleId="NoteHeadingChar">
    <w:name w:val="Note Heading Char"/>
    <w:basedOn w:val="DefaultParagraphFont"/>
    <w:link w:val="NoteHeading"/>
    <w:uiPriority w:val="99"/>
    <w:semiHidden/>
    <w:rsid w:val="004D1BBB"/>
    <w:rPr>
      <w:sz w:val="20"/>
      <w:szCs w:val="20"/>
    </w:rPr>
  </w:style>
  <w:style w:type="paragraph" w:styleId="PlainText">
    <w:name w:val="Plain Text"/>
    <w:basedOn w:val="Normal"/>
    <w:link w:val="PlainTextChar"/>
    <w:uiPriority w:val="99"/>
    <w:semiHidden/>
    <w:unhideWhenUsed/>
    <w:rsid w:val="004D1BBB"/>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D1BBB"/>
    <w:rPr>
      <w:rFonts w:ascii="Consolas" w:hAnsi="Consolas"/>
      <w:sz w:val="21"/>
      <w:szCs w:val="21"/>
    </w:rPr>
  </w:style>
  <w:style w:type="paragraph" w:styleId="Salutation">
    <w:name w:val="Salutation"/>
    <w:basedOn w:val="Normal"/>
    <w:next w:val="Normal"/>
    <w:link w:val="SalutationChar"/>
    <w:uiPriority w:val="99"/>
    <w:semiHidden/>
    <w:unhideWhenUsed/>
    <w:rsid w:val="004D1BBB"/>
  </w:style>
  <w:style w:type="character" w:customStyle="1" w:styleId="SalutationChar">
    <w:name w:val="Salutation Char"/>
    <w:basedOn w:val="DefaultParagraphFont"/>
    <w:link w:val="Salutation"/>
    <w:uiPriority w:val="99"/>
    <w:semiHidden/>
    <w:rsid w:val="004D1BBB"/>
    <w:rPr>
      <w:sz w:val="20"/>
      <w:szCs w:val="20"/>
    </w:rPr>
  </w:style>
  <w:style w:type="paragraph" w:styleId="Signature">
    <w:name w:val="Signature"/>
    <w:basedOn w:val="Normal"/>
    <w:link w:val="SignatureChar"/>
    <w:uiPriority w:val="99"/>
    <w:semiHidden/>
    <w:unhideWhenUsed/>
    <w:rsid w:val="004D1BBB"/>
    <w:pPr>
      <w:spacing w:before="0" w:after="0" w:line="240" w:lineRule="auto"/>
      <w:ind w:left="4252"/>
    </w:pPr>
  </w:style>
  <w:style w:type="character" w:customStyle="1" w:styleId="SignatureChar">
    <w:name w:val="Signature Char"/>
    <w:basedOn w:val="DefaultParagraphFont"/>
    <w:link w:val="Signature"/>
    <w:uiPriority w:val="99"/>
    <w:semiHidden/>
    <w:rsid w:val="004D1BBB"/>
    <w:rPr>
      <w:sz w:val="20"/>
      <w:szCs w:val="20"/>
    </w:rPr>
  </w:style>
  <w:style w:type="paragraph" w:styleId="TableofAuthorities">
    <w:name w:val="table of authorities"/>
    <w:basedOn w:val="Normal"/>
    <w:next w:val="Normal"/>
    <w:uiPriority w:val="99"/>
    <w:semiHidden/>
    <w:unhideWhenUsed/>
    <w:rsid w:val="004D1BBB"/>
    <w:pPr>
      <w:spacing w:after="0"/>
      <w:ind w:left="200" w:hanging="200"/>
    </w:pPr>
  </w:style>
  <w:style w:type="paragraph" w:styleId="TOAHeading">
    <w:name w:val="toa heading"/>
    <w:basedOn w:val="Normal"/>
    <w:next w:val="Normal"/>
    <w:uiPriority w:val="99"/>
    <w:semiHidden/>
    <w:unhideWhenUsed/>
    <w:rsid w:val="004D1BB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4D1BBB"/>
    <w:pPr>
      <w:spacing w:after="100"/>
      <w:ind w:left="600"/>
    </w:pPr>
  </w:style>
  <w:style w:type="paragraph" w:styleId="TOC5">
    <w:name w:val="toc 5"/>
    <w:basedOn w:val="Normal"/>
    <w:next w:val="Normal"/>
    <w:autoRedefine/>
    <w:uiPriority w:val="39"/>
    <w:semiHidden/>
    <w:unhideWhenUsed/>
    <w:rsid w:val="004D1BBB"/>
    <w:pPr>
      <w:spacing w:after="100"/>
      <w:ind w:left="800"/>
    </w:pPr>
  </w:style>
  <w:style w:type="paragraph" w:styleId="TOC6">
    <w:name w:val="toc 6"/>
    <w:basedOn w:val="Normal"/>
    <w:next w:val="Normal"/>
    <w:autoRedefine/>
    <w:uiPriority w:val="39"/>
    <w:semiHidden/>
    <w:unhideWhenUsed/>
    <w:rsid w:val="004D1BBB"/>
    <w:pPr>
      <w:spacing w:after="100"/>
      <w:ind w:left="1000"/>
    </w:pPr>
  </w:style>
  <w:style w:type="paragraph" w:styleId="TOC7">
    <w:name w:val="toc 7"/>
    <w:basedOn w:val="Normal"/>
    <w:next w:val="Normal"/>
    <w:autoRedefine/>
    <w:uiPriority w:val="39"/>
    <w:semiHidden/>
    <w:unhideWhenUsed/>
    <w:rsid w:val="004D1BBB"/>
    <w:pPr>
      <w:spacing w:after="100"/>
      <w:ind w:left="1200"/>
    </w:pPr>
  </w:style>
  <w:style w:type="paragraph" w:styleId="TOC8">
    <w:name w:val="toc 8"/>
    <w:basedOn w:val="Normal"/>
    <w:next w:val="Normal"/>
    <w:autoRedefine/>
    <w:uiPriority w:val="39"/>
    <w:semiHidden/>
    <w:unhideWhenUsed/>
    <w:rsid w:val="004D1BBB"/>
    <w:pPr>
      <w:spacing w:after="100"/>
      <w:ind w:left="1400"/>
    </w:pPr>
  </w:style>
  <w:style w:type="paragraph" w:styleId="TOC9">
    <w:name w:val="toc 9"/>
    <w:basedOn w:val="Normal"/>
    <w:next w:val="Normal"/>
    <w:autoRedefine/>
    <w:uiPriority w:val="39"/>
    <w:semiHidden/>
    <w:unhideWhenUsed/>
    <w:rsid w:val="004D1BBB"/>
    <w:pPr>
      <w:spacing w:after="100"/>
      <w:ind w:left="1600"/>
    </w:pPr>
  </w:style>
  <w:style w:type="character" w:styleId="FootnoteReference">
    <w:name w:val="footnote reference"/>
    <w:basedOn w:val="DefaultParagraphFont"/>
    <w:uiPriority w:val="99"/>
    <w:semiHidden/>
    <w:unhideWhenUsed/>
    <w:rsid w:val="00F357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hyperlink" Target="https://creativecommons.org/licenses/by/4.0/legalcode"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Nation Brand 2022">
      <a:dk1>
        <a:srgbClr val="000000"/>
      </a:dk1>
      <a:lt1>
        <a:srgbClr val="FFFFFF"/>
      </a:lt1>
      <a:dk2>
        <a:srgbClr val="000000"/>
      </a:dk2>
      <a:lt2>
        <a:srgbClr val="FFFFFF"/>
      </a:lt2>
      <a:accent1>
        <a:srgbClr val="173F34"/>
      </a:accent1>
      <a:accent2>
        <a:srgbClr val="00BA6C"/>
      </a:accent2>
      <a:accent3>
        <a:srgbClr val="00694B"/>
      </a:accent3>
      <a:accent4>
        <a:srgbClr val="CEB888"/>
      </a:accent4>
      <a:accent5>
        <a:srgbClr val="DEAC2C"/>
      </a:accent5>
      <a:accent6>
        <a:srgbClr val="F2F0E6"/>
      </a:accent6>
      <a:hlink>
        <a:srgbClr val="0563C1"/>
      </a:hlink>
      <a:folHlink>
        <a:srgbClr val="954F72"/>
      </a:folHlink>
    </a:clrScheme>
    <a:fontScheme name="Nation Brand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37</Pages>
  <Words>4959</Words>
  <Characters>30468</Characters>
  <Application>Microsoft Office Word</Application>
  <DocSecurity>0</DocSecurity>
  <Lines>595</Lines>
  <Paragraphs>338</Paragraphs>
  <ScaleCrop>false</ScaleCrop>
  <HeadingPairs>
    <vt:vector size="2" baseType="variant">
      <vt:variant>
        <vt:lpstr>Title</vt:lpstr>
      </vt:variant>
      <vt:variant>
        <vt:i4>1</vt:i4>
      </vt:variant>
    </vt:vector>
  </HeadingPairs>
  <TitlesOfParts>
    <vt:vector size="1" baseType="lpstr">
      <vt:lpstr>Austrade’s Trade and Investment Report 2025–26</vt:lpstr>
    </vt:vector>
  </TitlesOfParts>
  <Manager/>
  <Company/>
  <LinksUpToDate>false</LinksUpToDate>
  <CharactersWithSpaces>35380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Austrade’s Trade and Investment Report 2025–26</dc:title>
  <dc:subject>Landscape web publishing version</dc:subject>
  <dc:creator>srilanka@austrade.gov.au</dc:creator>
  <cp:keywords/>
  <dc:description>Editable text version retaining only the cover, maps and graphics as images.</dc:description>
  <cp:lastModifiedBy>Ash-Holland [Hobart]</cp:lastModifiedBy>
  <cp:revision>103</cp:revision>
  <dcterms:created xsi:type="dcterms:W3CDTF">2026-09-09T02:16:00Z</dcterms:created>
  <dcterms:modified xsi:type="dcterms:W3CDTF">2026-10-11T23:57:00Z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160a83-df68-4146-9dd5-ccaae79426db_Enabled">
    <vt:lpwstr>true</vt:lpwstr>
  </property>
  <property fmtid="{D5CDD505-2E9C-101B-9397-08002B2CF9AE}" pid="3" name="MSIP_Label_72160a83-df68-4146-9dd5-ccaae79426db_SetDate">
    <vt:lpwstr>2026-09-08T08:22:32Z</vt:lpwstr>
  </property>
  <property fmtid="{D5CDD505-2E9C-101B-9397-08002B2CF9AE}" pid="4" name="MSIP_Label_72160a83-df68-4146-9dd5-ccaae79426db_Method">
    <vt:lpwstr>Standard</vt:lpwstr>
  </property>
  <property fmtid="{D5CDD505-2E9C-101B-9397-08002B2CF9AE}" pid="5" name="MSIP_Label_72160a83-df68-4146-9dd5-ccaae79426db_Name">
    <vt:lpwstr>OFFICIAL</vt:lpwstr>
  </property>
  <property fmtid="{D5CDD505-2E9C-101B-9397-08002B2CF9AE}" pid="6" name="MSIP_Label_72160a83-df68-4146-9dd5-ccaae79426db_SiteId">
    <vt:lpwstr>c6ba7d27-a97a-40a4-82e4-4d23131de9f4</vt:lpwstr>
  </property>
  <property fmtid="{D5CDD505-2E9C-101B-9397-08002B2CF9AE}" pid="7" name="MSIP_Label_72160a83-df68-4146-9dd5-ccaae79426db_ActionId">
    <vt:lpwstr>76d5e01a-5787-48a2-bfd4-91ec7d321cef</vt:lpwstr>
  </property>
  <property fmtid="{D5CDD505-2E9C-101B-9397-08002B2CF9AE}" pid="8" name="MSIP_Label_72160a83-df68-4146-9dd5-ccaae79426db_ContentBits">
    <vt:lpwstr>0</vt:lpwstr>
  </property>
</Properties>
</file>